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4A971BB">
      <w:pPr>
        <w:ind w:firstLine="480"/>
        <w:jc w:val="center"/>
        <w:rPr>
          <w:szCs w:val="28"/>
        </w:rPr>
      </w:pPr>
      <w:bookmarkStart w:id="0" w:name="_Hlk174391679"/>
      <w:bookmarkEnd w:id="0"/>
      <w:bookmarkStart w:id="102" w:name="_GoBack"/>
    </w:p>
    <w:p w14:paraId="3B384E8E">
      <w:pPr>
        <w:ind w:firstLine="480"/>
        <w:jc w:val="center"/>
        <w:rPr>
          <w:szCs w:val="28"/>
        </w:rPr>
      </w:pPr>
    </w:p>
    <w:p w14:paraId="22606021">
      <w:pPr>
        <w:ind w:firstLine="0" w:firstLineChars="0"/>
        <w:jc w:val="center"/>
        <w:rPr>
          <w:rFonts w:eastAsia="楷体"/>
          <w:b/>
          <w:bCs/>
          <w:sz w:val="56"/>
          <w:szCs w:val="56"/>
        </w:rPr>
      </w:pPr>
      <w:bookmarkStart w:id="1" w:name="_Hlk97050216"/>
      <w:r>
        <w:rPr>
          <w:rFonts w:eastAsia="楷体"/>
          <w:b/>
          <w:bCs/>
          <w:sz w:val="56"/>
          <w:szCs w:val="56"/>
        </w:rPr>
        <w:t>安徽金安矿业有限公司</w:t>
      </w:r>
    </w:p>
    <w:p w14:paraId="398F79AF">
      <w:pPr>
        <w:ind w:firstLine="0" w:firstLineChars="0"/>
        <w:jc w:val="center"/>
        <w:rPr>
          <w:rFonts w:eastAsia="楷体"/>
          <w:b/>
          <w:bCs/>
          <w:sz w:val="72"/>
          <w:szCs w:val="72"/>
        </w:rPr>
      </w:pPr>
      <w:bookmarkStart w:id="2" w:name="_Hlk51765005"/>
      <w:r>
        <w:rPr>
          <w:rFonts w:hint="eastAsia" w:eastAsia="楷体"/>
          <w:b/>
          <w:bCs/>
          <w:sz w:val="72"/>
          <w:szCs w:val="72"/>
        </w:rPr>
        <w:t>草楼铁矿工程</w:t>
      </w:r>
      <w:bookmarkEnd w:id="2"/>
      <w:r>
        <w:rPr>
          <w:rFonts w:hint="eastAsia" w:eastAsia="楷体"/>
          <w:b/>
          <w:bCs/>
          <w:sz w:val="72"/>
          <w:szCs w:val="72"/>
        </w:rPr>
        <w:t>环境影响后评价报告书</w:t>
      </w:r>
      <w:bookmarkEnd w:id="1"/>
    </w:p>
    <w:p w14:paraId="00D772FB">
      <w:pPr>
        <w:ind w:firstLine="480"/>
      </w:pPr>
    </w:p>
    <w:p w14:paraId="06AFD02F">
      <w:pPr>
        <w:ind w:firstLine="480"/>
      </w:pPr>
    </w:p>
    <w:p w14:paraId="1B787045">
      <w:pPr>
        <w:ind w:firstLine="480"/>
      </w:pPr>
    </w:p>
    <w:p w14:paraId="476E6236">
      <w:pPr>
        <w:ind w:firstLine="480"/>
      </w:pPr>
    </w:p>
    <w:p w14:paraId="42873684">
      <w:pPr>
        <w:ind w:firstLine="480"/>
      </w:pPr>
    </w:p>
    <w:p w14:paraId="281E12F8">
      <w:pPr>
        <w:ind w:firstLine="480"/>
      </w:pPr>
    </w:p>
    <w:p w14:paraId="08A5A7A8">
      <w:pPr>
        <w:ind w:firstLine="480"/>
      </w:pPr>
    </w:p>
    <w:p w14:paraId="46FC4635">
      <w:pPr>
        <w:ind w:firstLine="480"/>
      </w:pPr>
    </w:p>
    <w:p w14:paraId="3F024E10">
      <w:pPr>
        <w:ind w:firstLine="480"/>
      </w:pPr>
    </w:p>
    <w:p w14:paraId="0F19143E">
      <w:pPr>
        <w:ind w:firstLine="480"/>
      </w:pPr>
    </w:p>
    <w:p w14:paraId="021B75B1">
      <w:pPr>
        <w:ind w:firstLine="480"/>
      </w:pPr>
    </w:p>
    <w:p w14:paraId="013DC814">
      <w:pPr>
        <w:ind w:firstLine="480"/>
      </w:pPr>
    </w:p>
    <w:p w14:paraId="1050D546">
      <w:pPr>
        <w:ind w:firstLine="480"/>
      </w:pPr>
    </w:p>
    <w:p w14:paraId="49B6B700">
      <w:pPr>
        <w:ind w:firstLine="480"/>
      </w:pPr>
    </w:p>
    <w:p w14:paraId="238AC5B4">
      <w:pPr>
        <w:ind w:firstLine="480"/>
      </w:pPr>
    </w:p>
    <w:p w14:paraId="1DF61697">
      <w:pPr>
        <w:ind w:firstLine="480"/>
      </w:pPr>
    </w:p>
    <w:p w14:paraId="3778F1CA">
      <w:pPr>
        <w:ind w:firstLine="480"/>
      </w:pPr>
    </w:p>
    <w:p w14:paraId="473CD506">
      <w:pPr>
        <w:ind w:firstLine="1265" w:firstLineChars="350"/>
        <w:rPr>
          <w:rFonts w:eastAsia="楷体"/>
          <w:b/>
          <w:bCs/>
          <w:sz w:val="36"/>
          <w:szCs w:val="36"/>
        </w:rPr>
      </w:pPr>
      <w:r>
        <w:rPr>
          <w:rFonts w:hint="eastAsia" w:eastAsia="楷体"/>
          <w:b/>
          <w:bCs/>
          <w:sz w:val="36"/>
          <w:szCs w:val="36"/>
        </w:rPr>
        <w:t>建设单位：</w:t>
      </w:r>
      <w:r>
        <w:rPr>
          <w:rFonts w:eastAsia="楷体"/>
          <w:b/>
          <w:bCs/>
          <w:sz w:val="36"/>
          <w:szCs w:val="36"/>
        </w:rPr>
        <w:t>安徽金安矿业有限公司</w:t>
      </w:r>
    </w:p>
    <w:p w14:paraId="6AE010CB">
      <w:pPr>
        <w:ind w:firstLine="1265" w:firstLineChars="350"/>
        <w:rPr>
          <w:rFonts w:eastAsia="楷体"/>
          <w:b/>
          <w:bCs/>
          <w:sz w:val="36"/>
          <w:szCs w:val="36"/>
        </w:rPr>
      </w:pPr>
      <w:r>
        <w:rPr>
          <w:rFonts w:hint="eastAsia" w:eastAsia="楷体"/>
          <w:b/>
          <w:bCs/>
          <w:sz w:val="36"/>
          <w:szCs w:val="36"/>
        </w:rPr>
        <w:t>编制单位：安徽长之源环境工程有限公司</w:t>
      </w:r>
    </w:p>
    <w:p w14:paraId="4CBCE679">
      <w:pPr>
        <w:ind w:firstLine="0" w:firstLineChars="0"/>
        <w:jc w:val="center"/>
        <w:rPr>
          <w:rFonts w:eastAsia="楷体"/>
          <w:b/>
          <w:bCs/>
          <w:sz w:val="36"/>
          <w:szCs w:val="36"/>
        </w:rPr>
      </w:pPr>
      <w:r>
        <w:rPr>
          <w:rFonts w:hint="eastAsia" w:eastAsia="楷体"/>
          <w:b/>
          <w:bCs/>
          <w:sz w:val="36"/>
          <w:szCs w:val="36"/>
        </w:rPr>
        <w:t>2024年8月</w:t>
      </w:r>
    </w:p>
    <w:p w14:paraId="068DD4E5">
      <w:pPr>
        <w:ind w:firstLine="0" w:firstLineChars="0"/>
        <w:jc w:val="center"/>
        <w:rPr>
          <w:rFonts w:eastAsia="楷体"/>
          <w:b/>
          <w:bCs/>
          <w:sz w:val="28"/>
          <w:szCs w:val="32"/>
        </w:rPr>
      </w:pPr>
    </w:p>
    <w:p w14:paraId="5D09DD15">
      <w:pPr>
        <w:ind w:firstLine="482"/>
      </w:pPr>
      <w:r>
        <w:rPr>
          <w:rFonts w:hint="eastAsia"/>
          <w:b/>
          <w:bCs/>
        </w:rPr>
        <w:t>项目名称：</w:t>
      </w:r>
      <w:bookmarkStart w:id="3" w:name="_Hlk174345404"/>
      <w:r>
        <w:rPr>
          <w:rFonts w:hint="eastAsia"/>
        </w:rPr>
        <w:t>安徽金安矿业有限公司</w:t>
      </w:r>
      <w:bookmarkEnd w:id="3"/>
      <w:r>
        <w:rPr>
          <w:rFonts w:hint="eastAsia"/>
        </w:rPr>
        <w:t>草楼铁矿工程环境影响后评价报告书</w:t>
      </w:r>
    </w:p>
    <w:p w14:paraId="64C7E952">
      <w:pPr>
        <w:ind w:firstLine="482"/>
      </w:pPr>
      <w:r>
        <w:rPr>
          <w:rFonts w:hint="eastAsia"/>
          <w:b/>
          <w:bCs/>
        </w:rPr>
        <w:t>项目负责人：</w:t>
      </w:r>
      <w:r>
        <w:rPr>
          <w:rFonts w:hint="eastAsia"/>
        </w:rPr>
        <w:t xml:space="preserve"> </w:t>
      </w:r>
    </w:p>
    <w:p w14:paraId="20DE9B5E">
      <w:pPr>
        <w:ind w:firstLine="482"/>
      </w:pPr>
      <w:r>
        <w:rPr>
          <w:rFonts w:hint="eastAsia"/>
          <w:b/>
          <w:bCs/>
        </w:rPr>
        <w:t>报告编写人：</w:t>
      </w:r>
      <w:r>
        <w:rPr>
          <w:rFonts w:hint="eastAsia"/>
        </w:rPr>
        <w:t>高鹏程 丁会</w:t>
      </w:r>
    </w:p>
    <w:p w14:paraId="3FECA7AE">
      <w:pPr>
        <w:ind w:firstLine="482"/>
      </w:pPr>
      <w:r>
        <w:rPr>
          <w:rFonts w:hint="eastAsia"/>
          <w:b/>
          <w:bCs/>
        </w:rPr>
        <w:t>报告审核人：</w:t>
      </w:r>
      <w:r>
        <w:rPr>
          <w:rFonts w:hint="eastAsia"/>
        </w:rPr>
        <w:t xml:space="preserve"> </w:t>
      </w:r>
    </w:p>
    <w:p w14:paraId="624DF95B">
      <w:pPr>
        <w:ind w:firstLine="480"/>
      </w:pPr>
    </w:p>
    <w:p w14:paraId="699FD216">
      <w:pPr>
        <w:ind w:firstLine="480"/>
      </w:pPr>
    </w:p>
    <w:p w14:paraId="7338AB94">
      <w:pPr>
        <w:ind w:firstLine="480"/>
      </w:pPr>
    </w:p>
    <w:p w14:paraId="10A42C05">
      <w:pPr>
        <w:ind w:firstLine="480"/>
      </w:pPr>
    </w:p>
    <w:p w14:paraId="070506B5">
      <w:pPr>
        <w:ind w:firstLine="480"/>
      </w:pPr>
    </w:p>
    <w:p w14:paraId="14086891">
      <w:pPr>
        <w:ind w:firstLine="480"/>
      </w:pPr>
    </w:p>
    <w:p w14:paraId="1A7565E7">
      <w:pPr>
        <w:ind w:firstLine="480"/>
      </w:pPr>
    </w:p>
    <w:p w14:paraId="503A7567">
      <w:pPr>
        <w:ind w:firstLine="480"/>
      </w:pPr>
    </w:p>
    <w:p w14:paraId="19F2A6B6">
      <w:pPr>
        <w:ind w:firstLine="480"/>
      </w:pPr>
    </w:p>
    <w:p w14:paraId="4538A953">
      <w:pPr>
        <w:ind w:firstLine="480"/>
      </w:pPr>
    </w:p>
    <w:p w14:paraId="6E1F47FC">
      <w:pPr>
        <w:ind w:left="480" w:leftChars="200" w:firstLine="0" w:firstLineChars="0"/>
      </w:pPr>
      <w:r>
        <w:rPr>
          <w:rFonts w:hint="eastAsia"/>
        </w:rPr>
        <w:t>建设单位：</w:t>
      </w:r>
      <w:r>
        <w:rPr>
          <w:rFonts w:hint="eastAsia"/>
          <w:u w:val="single"/>
        </w:rPr>
        <w:t>安徽金安矿业有限公司</w:t>
      </w:r>
      <w:r>
        <w:rPr>
          <w:rFonts w:hint="eastAsia"/>
        </w:rPr>
        <w:t xml:space="preserve"> </w:t>
      </w:r>
      <w:r>
        <w:t xml:space="preserve">           </w:t>
      </w:r>
      <w:r>
        <w:rPr>
          <w:rFonts w:hint="eastAsia"/>
        </w:rPr>
        <w:t>编制单位：</w:t>
      </w:r>
      <w:r>
        <w:rPr>
          <w:rFonts w:hint="eastAsia"/>
          <w:u w:val="single"/>
        </w:rPr>
        <w:t>安徽长之源环境工（盖章）</w:t>
      </w:r>
      <w:r>
        <w:rPr>
          <w:rFonts w:hint="eastAsia"/>
        </w:rPr>
        <w:t xml:space="preserve"> </w:t>
      </w:r>
      <w:r>
        <w:t xml:space="preserve">                                </w:t>
      </w:r>
      <w:r>
        <w:rPr>
          <w:u w:val="single"/>
        </w:rPr>
        <w:t xml:space="preserve"> </w:t>
      </w:r>
      <w:r>
        <w:rPr>
          <w:rFonts w:hint="eastAsia"/>
          <w:u w:val="single"/>
        </w:rPr>
        <w:t>程有限公司（盖章）</w:t>
      </w:r>
    </w:p>
    <w:p w14:paraId="0CFC081F">
      <w:pPr>
        <w:ind w:firstLine="480"/>
      </w:pPr>
      <w:r>
        <w:rPr>
          <w:rFonts w:hint="eastAsia"/>
        </w:rPr>
        <w:t xml:space="preserve">邮编： </w:t>
      </w:r>
      <w:r>
        <w:t xml:space="preserve">237400                             </w:t>
      </w:r>
      <w:r>
        <w:rPr>
          <w:rFonts w:hint="eastAsia"/>
        </w:rPr>
        <w:t>邮编：2</w:t>
      </w:r>
      <w:r>
        <w:t>30000</w:t>
      </w:r>
    </w:p>
    <w:p w14:paraId="74F60B4D">
      <w:pPr>
        <w:ind w:left="5520" w:leftChars="200" w:hanging="5040" w:hangingChars="2100"/>
      </w:pPr>
      <w:r>
        <w:rPr>
          <w:rFonts w:hint="eastAsia"/>
        </w:rPr>
        <w:t xml:space="preserve">地址：安徽省六安市霍邱县 </w:t>
      </w:r>
      <w:r>
        <w:t xml:space="preserve">                 </w:t>
      </w:r>
      <w:r>
        <w:rPr>
          <w:rFonts w:hint="eastAsia"/>
        </w:rPr>
        <w:t>地址：安徽省合肥市包河区大连路6</w:t>
      </w:r>
      <w:r>
        <w:t>686</w:t>
      </w:r>
      <w:r>
        <w:rPr>
          <w:rFonts w:hint="eastAsia"/>
        </w:rPr>
        <w:t>号会上总部广场B办1</w:t>
      </w:r>
      <w:r>
        <w:t>001</w:t>
      </w:r>
    </w:p>
    <w:p w14:paraId="1D06D573">
      <w:pPr>
        <w:ind w:firstLine="480"/>
      </w:pPr>
    </w:p>
    <w:p w14:paraId="1ACD309E">
      <w:pPr>
        <w:ind w:firstLine="480"/>
        <w:sectPr>
          <w:headerReference r:id="rId7" w:type="first"/>
          <w:footerReference r:id="rId10" w:type="first"/>
          <w:headerReference r:id="rId5" w:type="default"/>
          <w:footerReference r:id="rId8" w:type="default"/>
          <w:headerReference r:id="rId6" w:type="even"/>
          <w:footerReference r:id="rId9" w:type="even"/>
          <w:pgSz w:w="11906" w:h="16838"/>
          <w:pgMar w:top="1440" w:right="1644" w:bottom="1440" w:left="1644" w:header="851" w:footer="992" w:gutter="0"/>
          <w:cols w:space="425" w:num="1"/>
          <w:docGrid w:type="lines" w:linePitch="312" w:charSpace="0"/>
        </w:sectPr>
      </w:pPr>
    </w:p>
    <w:p w14:paraId="234F1EE6">
      <w:pPr>
        <w:ind w:firstLine="0" w:firstLineChars="0"/>
        <w:jc w:val="center"/>
        <w:rPr>
          <w:b/>
          <w:bCs/>
          <w:sz w:val="32"/>
          <w:szCs w:val="36"/>
        </w:rPr>
      </w:pPr>
      <w:r>
        <w:rPr>
          <w:rFonts w:hint="eastAsia"/>
          <w:b/>
          <w:bCs/>
          <w:sz w:val="32"/>
          <w:szCs w:val="36"/>
        </w:rPr>
        <w:t>目 录</w:t>
      </w:r>
    </w:p>
    <w:sdt>
      <w:sdtPr>
        <w:rPr>
          <w:lang w:val="zh-CN"/>
        </w:rPr>
        <w:id w:val="985128127"/>
        <w:docPartObj>
          <w:docPartGallery w:val="Table of Contents"/>
          <w:docPartUnique/>
        </w:docPartObj>
      </w:sdtPr>
      <w:sdtEndPr>
        <w:rPr>
          <w:b/>
          <w:bCs/>
          <w:lang w:val="zh-CN"/>
        </w:rPr>
      </w:sdtEndPr>
      <w:sdtContent>
        <w:p w14:paraId="1A5B1B23">
          <w:pPr>
            <w:pStyle w:val="21"/>
            <w:tabs>
              <w:tab w:val="right" w:leader="dot" w:pos="8302"/>
            </w:tabs>
            <w:ind w:firstLine="480"/>
            <w:rPr>
              <w:rFonts w:hint="eastAsia" w:asciiTheme="minorHAnsi" w:hAnsiTheme="minorHAnsi" w:eastAsiaTheme="minorEastAsia"/>
              <w:sz w:val="21"/>
            </w:rPr>
          </w:pPr>
          <w:r>
            <w:fldChar w:fldCharType="begin"/>
          </w:r>
          <w:r>
            <w:instrText xml:space="preserve"> TOC \o "1-2" \h \z \u </w:instrText>
          </w:r>
          <w:r>
            <w:fldChar w:fldCharType="separate"/>
          </w:r>
          <w:r>
            <w:fldChar w:fldCharType="begin"/>
          </w:r>
          <w:r>
            <w:instrText xml:space="preserve"> HYPERLINK \l "_Toc85213477" </w:instrText>
          </w:r>
          <w:r>
            <w:fldChar w:fldCharType="separate"/>
          </w:r>
          <w:r>
            <w:rPr>
              <w:rStyle w:val="38"/>
              <w:color w:val="auto"/>
            </w:rPr>
            <w:t>概 述</w:t>
          </w:r>
          <w:r>
            <w:tab/>
          </w:r>
          <w:r>
            <w:fldChar w:fldCharType="begin"/>
          </w:r>
          <w:r>
            <w:instrText xml:space="preserve"> PAGEREF _Toc85213477 \h </w:instrText>
          </w:r>
          <w:r>
            <w:fldChar w:fldCharType="separate"/>
          </w:r>
          <w:r>
            <w:t>1</w:t>
          </w:r>
          <w:r>
            <w:fldChar w:fldCharType="end"/>
          </w:r>
          <w:r>
            <w:fldChar w:fldCharType="end"/>
          </w:r>
        </w:p>
        <w:p w14:paraId="342CBE32">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"_Toc85213478" </w:instrText>
          </w:r>
          <w:r>
            <w:fldChar w:fldCharType="separate"/>
          </w:r>
          <w:r>
            <w:rPr>
              <w:rStyle w:val="38"/>
              <w:color w:val="auto"/>
            </w:rPr>
            <w:t>1 项目来源</w:t>
          </w:r>
          <w:r>
            <w:tab/>
          </w:r>
          <w:r>
            <w:fldChar w:fldCharType="begin"/>
          </w:r>
          <w:r>
            <w:instrText xml:space="preserve"> PAGEREF _Toc85213478 \h </w:instrText>
          </w:r>
          <w:r>
            <w:fldChar w:fldCharType="separate"/>
          </w:r>
          <w:r>
            <w:t>1</w:t>
          </w:r>
          <w:r>
            <w:fldChar w:fldCharType="end"/>
          </w:r>
          <w:r>
            <w:fldChar w:fldCharType="end"/>
          </w:r>
        </w:p>
        <w:p w14:paraId="33894BA6">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"_Toc85213479" </w:instrText>
          </w:r>
          <w:r>
            <w:fldChar w:fldCharType="separate"/>
          </w:r>
          <w:r>
            <w:rPr>
              <w:rStyle w:val="38"/>
              <w:color w:val="auto"/>
            </w:rPr>
            <w:t>2 关注的主要环境问题</w:t>
          </w:r>
          <w:r>
            <w:tab/>
          </w:r>
          <w:r>
            <w:fldChar w:fldCharType="begin"/>
          </w:r>
          <w:r>
            <w:instrText xml:space="preserve"> PAGEREF _Toc85213479 \h </w:instrText>
          </w:r>
          <w:r>
            <w:fldChar w:fldCharType="separate"/>
          </w:r>
          <w:r>
            <w:t>3</w:t>
          </w:r>
          <w:r>
            <w:fldChar w:fldCharType="end"/>
          </w:r>
          <w:r>
            <w:fldChar w:fldCharType="end"/>
          </w:r>
        </w:p>
        <w:p w14:paraId="3527DDB9">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"_Toc85213480" </w:instrText>
          </w:r>
          <w:r>
            <w:fldChar w:fldCharType="separate"/>
          </w:r>
          <w:r>
            <w:rPr>
              <w:rStyle w:val="38"/>
              <w:color w:val="auto"/>
            </w:rPr>
            <w:t>3 工作过程</w:t>
          </w:r>
          <w:r>
            <w:tab/>
          </w:r>
          <w:r>
            <w:fldChar w:fldCharType="begin"/>
          </w:r>
          <w:r>
            <w:instrText xml:space="preserve"> PAGEREF _Toc85213480 \h </w:instrText>
          </w:r>
          <w:r>
            <w:fldChar w:fldCharType="separate"/>
          </w:r>
          <w:r>
            <w:t>3</w:t>
          </w:r>
          <w:r>
            <w:fldChar w:fldCharType="end"/>
          </w:r>
          <w:r>
            <w:fldChar w:fldCharType="end"/>
          </w:r>
        </w:p>
        <w:p w14:paraId="5571C172">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"_Toc85213481" </w:instrText>
          </w:r>
          <w:r>
            <w:fldChar w:fldCharType="separate"/>
          </w:r>
          <w:r>
            <w:rPr>
              <w:rStyle w:val="38"/>
              <w:color w:val="auto"/>
            </w:rPr>
            <w:t>4 环境影响后评价报告书的主要结论</w:t>
          </w:r>
          <w:r>
            <w:tab/>
          </w:r>
          <w:r>
            <w:fldChar w:fldCharType="begin"/>
          </w:r>
          <w:r>
            <w:instrText xml:space="preserve"> PAGEREF _Toc85213481 \h </w:instrText>
          </w:r>
          <w:r>
            <w:fldChar w:fldCharType="separate"/>
          </w:r>
          <w:r>
            <w:t>5</w:t>
          </w:r>
          <w:r>
            <w:fldChar w:fldCharType="end"/>
          </w:r>
          <w:r>
            <w:fldChar w:fldCharType="end"/>
          </w:r>
        </w:p>
        <w:p w14:paraId="081717F2">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"_Toc85213482" </w:instrText>
          </w:r>
          <w:r>
            <w:fldChar w:fldCharType="separate"/>
          </w:r>
          <w:r>
            <w:rPr>
              <w:rStyle w:val="38"/>
              <w:color w:val="auto"/>
            </w:rPr>
            <w:t>1 总则</w:t>
          </w:r>
          <w:r>
            <w:tab/>
          </w:r>
          <w:r>
            <w:fldChar w:fldCharType="begin"/>
          </w:r>
          <w:r>
            <w:instrText xml:space="preserve"> PAGEREF _Toc85213482 \h </w:instrText>
          </w:r>
          <w:r>
            <w:fldChar w:fldCharType="separate"/>
          </w:r>
          <w:r>
            <w:t>6</w:t>
          </w:r>
          <w:r>
            <w:fldChar w:fldCharType="end"/>
          </w:r>
          <w:r>
            <w:fldChar w:fldCharType="end"/>
          </w:r>
        </w:p>
        <w:p w14:paraId="78FE571B">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"_Toc85213483" </w:instrText>
          </w:r>
          <w:r>
            <w:fldChar w:fldCharType="separate"/>
          </w:r>
          <w:r>
            <w:rPr>
              <w:rStyle w:val="38"/>
              <w:color w:val="auto"/>
            </w:rPr>
            <w:t>1.1 评价目的与指导思想</w:t>
          </w:r>
          <w:r>
            <w:tab/>
          </w:r>
          <w:r>
            <w:fldChar w:fldCharType="begin"/>
          </w:r>
          <w:r>
            <w:instrText xml:space="preserve"> PAGEREF _Toc85213483 \h </w:instrText>
          </w:r>
          <w:r>
            <w:fldChar w:fldCharType="separate"/>
          </w:r>
          <w:r>
            <w:t>6</w:t>
          </w:r>
          <w:r>
            <w:fldChar w:fldCharType="end"/>
          </w:r>
          <w:r>
            <w:fldChar w:fldCharType="end"/>
          </w:r>
        </w:p>
        <w:p w14:paraId="5060AFDA">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"_Toc85213484" </w:instrText>
          </w:r>
          <w:r>
            <w:fldChar w:fldCharType="separate"/>
          </w:r>
          <w:r>
            <w:rPr>
              <w:rStyle w:val="38"/>
              <w:color w:val="auto"/>
            </w:rPr>
            <w:t>1.2 评价依据</w:t>
          </w:r>
          <w:r>
            <w:tab/>
          </w:r>
          <w:r>
            <w:fldChar w:fldCharType="begin"/>
          </w:r>
          <w:r>
            <w:instrText xml:space="preserve"> PAGEREF _Toc85213484 \h </w:instrText>
          </w:r>
          <w:r>
            <w:fldChar w:fldCharType="separate"/>
          </w:r>
          <w:r>
            <w:t>7</w:t>
          </w:r>
          <w:r>
            <w:fldChar w:fldCharType="end"/>
          </w:r>
          <w:r>
            <w:fldChar w:fldCharType="end"/>
          </w:r>
        </w:p>
        <w:p w14:paraId="28472094">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"_Toc85213485" </w:instrText>
          </w:r>
          <w:r>
            <w:fldChar w:fldCharType="separate"/>
          </w:r>
          <w:r>
            <w:rPr>
              <w:rStyle w:val="38"/>
              <w:color w:val="auto"/>
            </w:rPr>
            <w:t>1.3 评价内容及评价因子</w:t>
          </w:r>
          <w:r>
            <w:tab/>
          </w:r>
          <w:r>
            <w:fldChar w:fldCharType="begin"/>
          </w:r>
          <w:r>
            <w:instrText xml:space="preserve"> PAGEREF _Toc85213485 \h </w:instrText>
          </w:r>
          <w:r>
            <w:fldChar w:fldCharType="separate"/>
          </w:r>
          <w:r>
            <w:t>10</w:t>
          </w:r>
          <w:r>
            <w:fldChar w:fldCharType="end"/>
          </w:r>
          <w:r>
            <w:fldChar w:fldCharType="end"/>
          </w:r>
        </w:p>
        <w:p w14:paraId="4BB99433">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"_Toc85213486" </w:instrText>
          </w:r>
          <w:r>
            <w:fldChar w:fldCharType="separate"/>
          </w:r>
          <w:r>
            <w:rPr>
              <w:rStyle w:val="38"/>
              <w:color w:val="auto"/>
            </w:rPr>
            <w:t>1.4 评价标准</w:t>
          </w:r>
          <w:r>
            <w:tab/>
          </w:r>
          <w:r>
            <w:fldChar w:fldCharType="begin"/>
          </w:r>
          <w:r>
            <w:instrText xml:space="preserve"> PAGEREF _Toc85213486 \h </w:instrText>
          </w:r>
          <w:r>
            <w:fldChar w:fldCharType="separate"/>
          </w:r>
          <w:r>
            <w:t>11</w:t>
          </w:r>
          <w:r>
            <w:fldChar w:fldCharType="end"/>
          </w:r>
          <w:r>
            <w:fldChar w:fldCharType="end"/>
          </w:r>
        </w:p>
        <w:p w14:paraId="2977387A">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"_Toc85213487" </w:instrText>
          </w:r>
          <w:r>
            <w:fldChar w:fldCharType="separate"/>
          </w:r>
          <w:r>
            <w:rPr>
              <w:rStyle w:val="38"/>
              <w:color w:val="auto"/>
            </w:rPr>
            <w:t>1.5 评价等级及评价范围</w:t>
          </w:r>
          <w:r>
            <w:tab/>
          </w:r>
          <w:r>
            <w:fldChar w:fldCharType="begin"/>
          </w:r>
          <w:r>
            <w:instrText xml:space="preserve"> PAGEREF _Toc85213487 \h </w:instrText>
          </w:r>
          <w:r>
            <w:fldChar w:fldCharType="separate"/>
          </w:r>
          <w:r>
            <w:t>18</w:t>
          </w:r>
          <w:r>
            <w:fldChar w:fldCharType="end"/>
          </w:r>
          <w:r>
            <w:fldChar w:fldCharType="end"/>
          </w:r>
        </w:p>
        <w:p w14:paraId="5DBE72E4">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"_Toc85213488" </w:instrText>
          </w:r>
          <w:r>
            <w:fldChar w:fldCharType="separate"/>
          </w:r>
          <w:r>
            <w:rPr>
              <w:rStyle w:val="38"/>
              <w:color w:val="auto"/>
            </w:rPr>
            <w:t>1.6 环境保护目标</w:t>
          </w:r>
          <w:r>
            <w:tab/>
          </w:r>
          <w:r>
            <w:fldChar w:fldCharType="begin"/>
          </w:r>
          <w:r>
            <w:instrText xml:space="preserve"> PAGEREF _Toc85213488 \h </w:instrText>
          </w:r>
          <w:r>
            <w:fldChar w:fldCharType="separate"/>
          </w:r>
          <w:r>
            <w:t>18</w:t>
          </w:r>
          <w:r>
            <w:fldChar w:fldCharType="end"/>
          </w:r>
          <w:r>
            <w:fldChar w:fldCharType="end"/>
          </w:r>
        </w:p>
        <w:p w14:paraId="6E4A751C">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"_Toc85213489" </w:instrText>
          </w:r>
          <w:r>
            <w:fldChar w:fldCharType="separate"/>
          </w:r>
          <w:r>
            <w:rPr>
              <w:rStyle w:val="38"/>
              <w:color w:val="auto"/>
            </w:rPr>
            <w:t>2 建设项目过程回顾</w:t>
          </w:r>
          <w:r>
            <w:tab/>
          </w:r>
          <w:r>
            <w:fldChar w:fldCharType="begin"/>
          </w:r>
          <w:r>
            <w:instrText xml:space="preserve"> PAGEREF _Toc85213489 \h </w:instrText>
          </w:r>
          <w:r>
            <w:fldChar w:fldCharType="separate"/>
          </w:r>
          <w:r>
            <w:t>26</w:t>
          </w:r>
          <w:r>
            <w:fldChar w:fldCharType="end"/>
          </w:r>
          <w:r>
            <w:fldChar w:fldCharType="end"/>
          </w:r>
        </w:p>
        <w:p w14:paraId="397B9CAC">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"_Toc85213490" </w:instrText>
          </w:r>
          <w:r>
            <w:fldChar w:fldCharType="separate"/>
          </w:r>
          <w:r>
            <w:rPr>
              <w:rStyle w:val="38"/>
              <w:color w:val="auto"/>
            </w:rPr>
            <w:t>2.1 环境影响评价回顾</w:t>
          </w:r>
          <w:r>
            <w:tab/>
          </w:r>
          <w:r>
            <w:fldChar w:fldCharType="begin"/>
          </w:r>
          <w:r>
            <w:instrText xml:space="preserve"> PAGEREF _Toc85213490 \h </w:instrText>
          </w:r>
          <w:r>
            <w:fldChar w:fldCharType="separate"/>
          </w:r>
          <w:r>
            <w:t>26</w:t>
          </w:r>
          <w:r>
            <w:fldChar w:fldCharType="end"/>
          </w:r>
          <w:r>
            <w:fldChar w:fldCharType="end"/>
          </w:r>
        </w:p>
        <w:p w14:paraId="563642BB">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"_Toc85213491" </w:instrText>
          </w:r>
          <w:r>
            <w:fldChar w:fldCharType="separate"/>
          </w:r>
          <w:r>
            <w:rPr>
              <w:rStyle w:val="38"/>
              <w:color w:val="auto"/>
            </w:rPr>
            <w:t>2.2 环境保护设施竣工验收回顾</w:t>
          </w:r>
          <w:r>
            <w:tab/>
          </w:r>
          <w:r>
            <w:fldChar w:fldCharType="begin"/>
          </w:r>
          <w:r>
            <w:instrText xml:space="preserve"> PAGEREF _Toc85213491 \h </w:instrText>
          </w:r>
          <w:r>
            <w:fldChar w:fldCharType="separate"/>
          </w:r>
          <w:r>
            <w:t>27</w:t>
          </w:r>
          <w:r>
            <w:fldChar w:fldCharType="end"/>
          </w:r>
          <w:r>
            <w:fldChar w:fldCharType="end"/>
          </w:r>
        </w:p>
        <w:p w14:paraId="7AAAEE60">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"_Toc85213492" </w:instrText>
          </w:r>
          <w:r>
            <w:fldChar w:fldCharType="separate"/>
          </w:r>
          <w:r>
            <w:rPr>
              <w:rStyle w:val="38"/>
              <w:color w:val="auto"/>
            </w:rPr>
            <w:t>2.3 环境监测情况回顾</w:t>
          </w:r>
          <w:r>
            <w:tab/>
          </w:r>
          <w:r>
            <w:fldChar w:fldCharType="begin"/>
          </w:r>
          <w:r>
            <w:instrText xml:space="preserve"> PAGEREF _Toc85213492 \h </w:instrText>
          </w:r>
          <w:r>
            <w:fldChar w:fldCharType="separate"/>
          </w:r>
          <w:r>
            <w:t>39</w:t>
          </w:r>
          <w:r>
            <w:fldChar w:fldCharType="end"/>
          </w:r>
          <w:r>
            <w:fldChar w:fldCharType="end"/>
          </w:r>
        </w:p>
        <w:p w14:paraId="0A87CF0A">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"_Toc85213493" </w:instrText>
          </w:r>
          <w:r>
            <w:fldChar w:fldCharType="separate"/>
          </w:r>
          <w:r>
            <w:rPr>
              <w:rStyle w:val="38"/>
              <w:color w:val="auto"/>
            </w:rPr>
            <w:t>2.4 公众意见收集调查回顾</w:t>
          </w:r>
          <w:r>
            <w:tab/>
          </w:r>
          <w:r>
            <w:fldChar w:fldCharType="begin"/>
          </w:r>
          <w:r>
            <w:instrText xml:space="preserve"> PAGEREF _Toc85213493 \h </w:instrText>
          </w:r>
          <w:r>
            <w:fldChar w:fldCharType="separate"/>
          </w:r>
          <w:r>
            <w:t>41</w:t>
          </w:r>
          <w:r>
            <w:fldChar w:fldCharType="end"/>
          </w:r>
          <w:r>
            <w:fldChar w:fldCharType="end"/>
          </w:r>
        </w:p>
        <w:p w14:paraId="171E7758">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"_Toc85213494" </w:instrText>
          </w:r>
          <w:r>
            <w:fldChar w:fldCharType="separate"/>
          </w:r>
          <w:r>
            <w:rPr>
              <w:rStyle w:val="38"/>
              <w:color w:val="auto"/>
            </w:rPr>
            <w:t>3 建设项目工程评价</w:t>
          </w:r>
          <w:r>
            <w:tab/>
          </w:r>
          <w:r>
            <w:fldChar w:fldCharType="begin"/>
          </w:r>
          <w:r>
            <w:instrText xml:space="preserve"> PAGEREF _Toc85213494 \h </w:instrText>
          </w:r>
          <w:r>
            <w:fldChar w:fldCharType="separate"/>
          </w:r>
          <w:r>
            <w:t>43</w:t>
          </w:r>
          <w:r>
            <w:fldChar w:fldCharType="end"/>
          </w:r>
          <w:r>
            <w:fldChar w:fldCharType="end"/>
          </w:r>
        </w:p>
        <w:p w14:paraId="06D5341A">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"_Toc85213495" </w:instrText>
          </w:r>
          <w:r>
            <w:fldChar w:fldCharType="separate"/>
          </w:r>
          <w:r>
            <w:rPr>
              <w:rStyle w:val="38"/>
              <w:color w:val="auto"/>
            </w:rPr>
            <w:t>3.1 项目变动情况判定</w:t>
          </w:r>
          <w:r>
            <w:tab/>
          </w:r>
          <w:r>
            <w:fldChar w:fldCharType="begin"/>
          </w:r>
          <w:r>
            <w:instrText xml:space="preserve"> PAGEREF _Toc85213495 \h </w:instrText>
          </w:r>
          <w:r>
            <w:fldChar w:fldCharType="separate"/>
          </w:r>
          <w:r>
            <w:t>43</w:t>
          </w:r>
          <w:r>
            <w:fldChar w:fldCharType="end"/>
          </w:r>
          <w:r>
            <w:fldChar w:fldCharType="end"/>
          </w:r>
        </w:p>
        <w:p w14:paraId="3C3C87B6">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"_Toc85213496" </w:instrText>
          </w:r>
          <w:r>
            <w:fldChar w:fldCharType="separate"/>
          </w:r>
          <w:r>
            <w:rPr>
              <w:rStyle w:val="38"/>
              <w:color w:val="auto"/>
            </w:rPr>
            <w:t>3.2 建设项目基本情况</w:t>
          </w:r>
          <w:r>
            <w:tab/>
          </w:r>
          <w:r>
            <w:fldChar w:fldCharType="begin"/>
          </w:r>
          <w:r>
            <w:instrText xml:space="preserve"> PAGEREF _Toc85213496 \h </w:instrText>
          </w:r>
          <w:r>
            <w:fldChar w:fldCharType="separate"/>
          </w:r>
          <w:r>
            <w:t>50</w:t>
          </w:r>
          <w:r>
            <w:fldChar w:fldCharType="end"/>
          </w:r>
          <w:r>
            <w:fldChar w:fldCharType="end"/>
          </w:r>
        </w:p>
        <w:p w14:paraId="792F28C8">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"_Toc85213497" </w:instrText>
          </w:r>
          <w:r>
            <w:fldChar w:fldCharType="separate"/>
          </w:r>
          <w:r>
            <w:rPr>
              <w:rStyle w:val="38"/>
              <w:color w:val="auto"/>
            </w:rPr>
            <w:t>3.3 生产工艺</w:t>
          </w:r>
          <w:r>
            <w:tab/>
          </w:r>
          <w:r>
            <w:fldChar w:fldCharType="begin"/>
          </w:r>
          <w:r>
            <w:instrText xml:space="preserve"> PAGEREF _Toc85213497 \h </w:instrText>
          </w:r>
          <w:r>
            <w:fldChar w:fldCharType="separate"/>
          </w:r>
          <w:r>
            <w:t>67</w:t>
          </w:r>
          <w:r>
            <w:fldChar w:fldCharType="end"/>
          </w:r>
          <w:r>
            <w:fldChar w:fldCharType="end"/>
          </w:r>
        </w:p>
        <w:p w14:paraId="213C6E6E">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"_Toc85213498" </w:instrText>
          </w:r>
          <w:r>
            <w:fldChar w:fldCharType="separate"/>
          </w:r>
          <w:r>
            <w:rPr>
              <w:rStyle w:val="38"/>
              <w:color w:val="auto"/>
            </w:rPr>
            <w:t>3.4 污染源分析</w:t>
          </w:r>
          <w:r>
            <w:tab/>
          </w:r>
          <w:r>
            <w:fldChar w:fldCharType="begin"/>
          </w:r>
          <w:r>
            <w:instrText xml:space="preserve"> PAGEREF _Toc85213498 \h </w:instrText>
          </w:r>
          <w:r>
            <w:fldChar w:fldCharType="separate"/>
          </w:r>
          <w:r>
            <w:t>84</w:t>
          </w:r>
          <w:r>
            <w:fldChar w:fldCharType="end"/>
          </w:r>
          <w:r>
            <w:fldChar w:fldCharType="end"/>
          </w:r>
        </w:p>
        <w:p w14:paraId="2665297C">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"_Toc85213499" </w:instrText>
          </w:r>
          <w:r>
            <w:fldChar w:fldCharType="separate"/>
          </w:r>
          <w:r>
            <w:rPr>
              <w:rStyle w:val="38"/>
              <w:color w:val="auto"/>
            </w:rPr>
            <w:t>3.5 环保措施建设及运行情况</w:t>
          </w:r>
          <w:r>
            <w:tab/>
          </w:r>
          <w:r>
            <w:fldChar w:fldCharType="begin"/>
          </w:r>
          <w:r>
            <w:instrText xml:space="preserve"> PAGEREF _Toc85213499 \h </w:instrText>
          </w:r>
          <w:r>
            <w:fldChar w:fldCharType="separate"/>
          </w:r>
          <w:r>
            <w:t>95</w:t>
          </w:r>
          <w:r>
            <w:fldChar w:fldCharType="end"/>
          </w:r>
          <w:r>
            <w:fldChar w:fldCharType="end"/>
          </w:r>
        </w:p>
        <w:p w14:paraId="11F54461">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"_Toc85213500" </w:instrText>
          </w:r>
          <w:r>
            <w:fldChar w:fldCharType="separate"/>
          </w:r>
          <w:r>
            <w:rPr>
              <w:rStyle w:val="38"/>
              <w:color w:val="auto"/>
            </w:rPr>
            <w:t>4 区域环境变化评价</w:t>
          </w:r>
          <w:r>
            <w:tab/>
          </w:r>
          <w:r>
            <w:fldChar w:fldCharType="begin"/>
          </w:r>
          <w:r>
            <w:instrText xml:space="preserve"> PAGEREF _Toc85213500 \h </w:instrText>
          </w:r>
          <w:r>
            <w:fldChar w:fldCharType="separate"/>
          </w:r>
          <w:r>
            <w:t>96</w:t>
          </w:r>
          <w:r>
            <w:fldChar w:fldCharType="end"/>
          </w:r>
          <w:r>
            <w:fldChar w:fldCharType="end"/>
          </w:r>
        </w:p>
        <w:p w14:paraId="094CF7E9">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"_Toc85213501" </w:instrText>
          </w:r>
          <w:r>
            <w:fldChar w:fldCharType="separate"/>
          </w:r>
          <w:r>
            <w:rPr>
              <w:rStyle w:val="38"/>
              <w:color w:val="auto"/>
            </w:rPr>
            <w:t>4.1 自然环境</w:t>
          </w:r>
          <w:r>
            <w:tab/>
          </w:r>
          <w:r>
            <w:fldChar w:fldCharType="begin"/>
          </w:r>
          <w:r>
            <w:instrText xml:space="preserve"> PAGEREF _Toc85213501 \h </w:instrText>
          </w:r>
          <w:r>
            <w:fldChar w:fldCharType="separate"/>
          </w:r>
          <w:r>
            <w:t>96</w:t>
          </w:r>
          <w:r>
            <w:fldChar w:fldCharType="end"/>
          </w:r>
          <w:r>
            <w:fldChar w:fldCharType="end"/>
          </w:r>
        </w:p>
        <w:p w14:paraId="68CF61BC">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"_Toc85213502" </w:instrText>
          </w:r>
          <w:r>
            <w:fldChar w:fldCharType="separate"/>
          </w:r>
          <w:r>
            <w:rPr>
              <w:rStyle w:val="38"/>
              <w:color w:val="auto"/>
            </w:rPr>
            <w:t>4.2 环境保护目标变化</w:t>
          </w:r>
          <w:r>
            <w:tab/>
          </w:r>
          <w:r>
            <w:fldChar w:fldCharType="begin"/>
          </w:r>
          <w:r>
            <w:instrText xml:space="preserve"> PAGEREF _Toc85213502 \h </w:instrText>
          </w:r>
          <w:r>
            <w:fldChar w:fldCharType="separate"/>
          </w:r>
          <w:r>
            <w:t>100</w:t>
          </w:r>
          <w:r>
            <w:fldChar w:fldCharType="end"/>
          </w:r>
          <w:r>
            <w:fldChar w:fldCharType="end"/>
          </w:r>
        </w:p>
        <w:p w14:paraId="76E55D0F">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"_Toc85213503" </w:instrText>
          </w:r>
          <w:r>
            <w:fldChar w:fldCharType="separate"/>
          </w:r>
          <w:r>
            <w:rPr>
              <w:rStyle w:val="38"/>
              <w:color w:val="auto"/>
            </w:rPr>
            <w:t>4.3 污染源变化</w:t>
          </w:r>
          <w:r>
            <w:tab/>
          </w:r>
          <w:r>
            <w:fldChar w:fldCharType="begin"/>
          </w:r>
          <w:r>
            <w:instrText xml:space="preserve"> PAGEREF _Toc85213503 \h </w:instrText>
          </w:r>
          <w:r>
            <w:fldChar w:fldCharType="separate"/>
          </w:r>
          <w:r>
            <w:t>108</w:t>
          </w:r>
          <w:r>
            <w:fldChar w:fldCharType="end"/>
          </w:r>
          <w:r>
            <w:fldChar w:fldCharType="end"/>
          </w:r>
        </w:p>
        <w:p w14:paraId="582FFAA4">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"_Toc85213504" </w:instrText>
          </w:r>
          <w:r>
            <w:fldChar w:fldCharType="separate"/>
          </w:r>
          <w:r>
            <w:rPr>
              <w:rStyle w:val="38"/>
              <w:rFonts w:cstheme="majorBidi"/>
              <w:color w:val="auto"/>
            </w:rPr>
            <w:t>4.4 区域环境质量现状及变化分析</w:t>
          </w:r>
          <w:r>
            <w:tab/>
          </w:r>
          <w:r>
            <w:fldChar w:fldCharType="begin"/>
          </w:r>
          <w:r>
            <w:instrText xml:space="preserve"> PAGEREF _Toc85213504 \h </w:instrText>
          </w:r>
          <w:r>
            <w:fldChar w:fldCharType="separate"/>
          </w:r>
          <w:r>
            <w:t>111</w:t>
          </w:r>
          <w:r>
            <w:fldChar w:fldCharType="end"/>
          </w:r>
          <w:r>
            <w:fldChar w:fldCharType="end"/>
          </w:r>
        </w:p>
        <w:p w14:paraId="43AF3886">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"_Toc85213505" </w:instrText>
          </w:r>
          <w:r>
            <w:fldChar w:fldCharType="separate"/>
          </w:r>
          <w:r>
            <w:rPr>
              <w:rStyle w:val="38"/>
              <w:color w:val="auto"/>
            </w:rPr>
            <w:t>5 环境保护措施有效性评价</w:t>
          </w:r>
          <w:r>
            <w:tab/>
          </w:r>
          <w:r>
            <w:fldChar w:fldCharType="begin"/>
          </w:r>
          <w:r>
            <w:instrText xml:space="preserve"> PAGEREF _Toc85213505 \h </w:instrText>
          </w:r>
          <w:r>
            <w:fldChar w:fldCharType="separate"/>
          </w:r>
          <w:r>
            <w:t>132</w:t>
          </w:r>
          <w:r>
            <w:fldChar w:fldCharType="end"/>
          </w:r>
          <w:r>
            <w:fldChar w:fldCharType="end"/>
          </w:r>
        </w:p>
        <w:p w14:paraId="34184971">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"_Toc85213506" </w:instrText>
          </w:r>
          <w:r>
            <w:fldChar w:fldCharType="separate"/>
          </w:r>
          <w:r>
            <w:rPr>
              <w:rStyle w:val="38"/>
              <w:color w:val="auto"/>
            </w:rPr>
            <w:t>5.1 生态环境保护措施有效性评价</w:t>
          </w:r>
          <w:r>
            <w:tab/>
          </w:r>
          <w:r>
            <w:fldChar w:fldCharType="begin"/>
          </w:r>
          <w:r>
            <w:instrText xml:space="preserve"> PAGEREF _Toc85213506 \h </w:instrText>
          </w:r>
          <w:r>
            <w:fldChar w:fldCharType="separate"/>
          </w:r>
          <w:r>
            <w:t>132</w:t>
          </w:r>
          <w:r>
            <w:fldChar w:fldCharType="end"/>
          </w:r>
          <w:r>
            <w:fldChar w:fldCharType="end"/>
          </w:r>
        </w:p>
        <w:p w14:paraId="22C648F2">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"_Toc85213507" </w:instrText>
          </w:r>
          <w:r>
            <w:fldChar w:fldCharType="separate"/>
          </w:r>
          <w:r>
            <w:rPr>
              <w:rStyle w:val="38"/>
              <w:color w:val="auto"/>
            </w:rPr>
            <w:t>5.2 地下水环境保护措施有效性评价</w:t>
          </w:r>
          <w:r>
            <w:tab/>
          </w:r>
          <w:r>
            <w:fldChar w:fldCharType="begin"/>
          </w:r>
          <w:r>
            <w:instrText xml:space="preserve"> PAGEREF _Toc85213507 \h </w:instrText>
          </w:r>
          <w:r>
            <w:fldChar w:fldCharType="separate"/>
          </w:r>
          <w:r>
            <w:t>134</w:t>
          </w:r>
          <w:r>
            <w:fldChar w:fldCharType="end"/>
          </w:r>
          <w:r>
            <w:fldChar w:fldCharType="end"/>
          </w:r>
        </w:p>
        <w:p w14:paraId="2BE93E09">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"_Toc85213508" </w:instrText>
          </w:r>
          <w:r>
            <w:fldChar w:fldCharType="separate"/>
          </w:r>
          <w:r>
            <w:rPr>
              <w:rStyle w:val="38"/>
              <w:color w:val="auto"/>
            </w:rPr>
            <w:t>5.3 大气环境污染治理措施有效性评价</w:t>
          </w:r>
          <w:r>
            <w:tab/>
          </w:r>
          <w:r>
            <w:fldChar w:fldCharType="begin"/>
          </w:r>
          <w:r>
            <w:instrText xml:space="preserve"> PAGEREF _Toc85213508 \h </w:instrText>
          </w:r>
          <w:r>
            <w:fldChar w:fldCharType="separate"/>
          </w:r>
          <w:r>
            <w:t>135</w:t>
          </w:r>
          <w:r>
            <w:fldChar w:fldCharType="end"/>
          </w:r>
          <w:r>
            <w:fldChar w:fldCharType="end"/>
          </w:r>
        </w:p>
        <w:p w14:paraId="2DFDBC1B">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"_Toc85213509" </w:instrText>
          </w:r>
          <w:r>
            <w:fldChar w:fldCharType="separate"/>
          </w:r>
          <w:r>
            <w:rPr>
              <w:rStyle w:val="38"/>
              <w:color w:val="auto"/>
            </w:rPr>
            <w:t>5.4 地表水环境污染防治措施有效性评价</w:t>
          </w:r>
          <w:r>
            <w:tab/>
          </w:r>
          <w:r>
            <w:fldChar w:fldCharType="begin"/>
          </w:r>
          <w:r>
            <w:instrText xml:space="preserve"> PAGEREF _Toc85213509 \h </w:instrText>
          </w:r>
          <w:r>
            <w:fldChar w:fldCharType="separate"/>
          </w:r>
          <w:r>
            <w:t>137</w:t>
          </w:r>
          <w:r>
            <w:fldChar w:fldCharType="end"/>
          </w:r>
          <w:r>
            <w:fldChar w:fldCharType="end"/>
          </w:r>
        </w:p>
        <w:p w14:paraId="7A2633AB">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"_Toc85213510" </w:instrText>
          </w:r>
          <w:r>
            <w:fldChar w:fldCharType="separate"/>
          </w:r>
          <w:r>
            <w:rPr>
              <w:rStyle w:val="38"/>
              <w:color w:val="auto"/>
            </w:rPr>
            <w:t>5.5 声环境污染防治措施有效性评价</w:t>
          </w:r>
          <w:r>
            <w:tab/>
          </w:r>
          <w:r>
            <w:fldChar w:fldCharType="begin"/>
          </w:r>
          <w:r>
            <w:instrText xml:space="preserve"> PAGEREF _Toc85213510 \h </w:instrText>
          </w:r>
          <w:r>
            <w:fldChar w:fldCharType="separate"/>
          </w:r>
          <w:r>
            <w:t>139</w:t>
          </w:r>
          <w:r>
            <w:fldChar w:fldCharType="end"/>
          </w:r>
          <w:r>
            <w:fldChar w:fldCharType="end"/>
          </w:r>
        </w:p>
        <w:p w14:paraId="26991B7D">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"_Toc85213511" </w:instrText>
          </w:r>
          <w:r>
            <w:fldChar w:fldCharType="separate"/>
          </w:r>
          <w:r>
            <w:rPr>
              <w:rStyle w:val="38"/>
              <w:color w:val="auto"/>
            </w:rPr>
            <w:t>5.6 固体废物污染防治措施有效性评价</w:t>
          </w:r>
          <w:r>
            <w:tab/>
          </w:r>
          <w:r>
            <w:fldChar w:fldCharType="begin"/>
          </w:r>
          <w:r>
            <w:instrText xml:space="preserve"> PAGEREF _Toc85213511 \h </w:instrText>
          </w:r>
          <w:r>
            <w:fldChar w:fldCharType="separate"/>
          </w:r>
          <w:r>
            <w:t>140</w:t>
          </w:r>
          <w:r>
            <w:fldChar w:fldCharType="end"/>
          </w:r>
          <w:r>
            <w:fldChar w:fldCharType="end"/>
          </w:r>
        </w:p>
        <w:p w14:paraId="5AC04155">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"_Toc85213512" </w:instrText>
          </w:r>
          <w:r>
            <w:fldChar w:fldCharType="separate"/>
          </w:r>
          <w:r>
            <w:rPr>
              <w:rStyle w:val="38"/>
              <w:color w:val="auto"/>
            </w:rPr>
            <w:t>5.7 环境风险防范措施有效性评估</w:t>
          </w:r>
          <w:r>
            <w:tab/>
          </w:r>
          <w:r>
            <w:fldChar w:fldCharType="begin"/>
          </w:r>
          <w:r>
            <w:instrText xml:space="preserve"> PAGEREF _Toc85213512 \h </w:instrText>
          </w:r>
          <w:r>
            <w:fldChar w:fldCharType="separate"/>
          </w:r>
          <w:r>
            <w:t>141</w:t>
          </w:r>
          <w:r>
            <w:fldChar w:fldCharType="end"/>
          </w:r>
          <w:r>
            <w:fldChar w:fldCharType="end"/>
          </w:r>
        </w:p>
        <w:p w14:paraId="1C973931">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"_Toc85213513" </w:instrText>
          </w:r>
          <w:r>
            <w:fldChar w:fldCharType="separate"/>
          </w:r>
          <w:r>
            <w:rPr>
              <w:rStyle w:val="38"/>
              <w:rFonts w:cstheme="majorBidi"/>
              <w:color w:val="auto"/>
            </w:rPr>
            <w:t>5.8 土壤污染防治措施有效性评估</w:t>
          </w:r>
          <w:r>
            <w:tab/>
          </w:r>
          <w:r>
            <w:fldChar w:fldCharType="begin"/>
          </w:r>
          <w:r>
            <w:instrText xml:space="preserve"> PAGEREF _Toc85213513 \h </w:instrText>
          </w:r>
          <w:r>
            <w:fldChar w:fldCharType="separate"/>
          </w:r>
          <w:r>
            <w:t>144</w:t>
          </w:r>
          <w:r>
            <w:fldChar w:fldCharType="end"/>
          </w:r>
          <w:r>
            <w:fldChar w:fldCharType="end"/>
          </w:r>
        </w:p>
        <w:p w14:paraId="7079C212">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"_Toc85213514" </w:instrText>
          </w:r>
          <w:r>
            <w:fldChar w:fldCharType="separate"/>
          </w:r>
          <w:r>
            <w:rPr>
              <w:rStyle w:val="38"/>
              <w:color w:val="auto"/>
              <w:kern w:val="44"/>
            </w:rPr>
            <w:t>6 环境影响预测验证</w:t>
          </w:r>
          <w:r>
            <w:tab/>
          </w:r>
          <w:r>
            <w:fldChar w:fldCharType="begin"/>
          </w:r>
          <w:r>
            <w:instrText xml:space="preserve"> PAGEREF _Toc85213514 \h </w:instrText>
          </w:r>
          <w:r>
            <w:fldChar w:fldCharType="separate"/>
          </w:r>
          <w:r>
            <w:t>145</w:t>
          </w:r>
          <w:r>
            <w:fldChar w:fldCharType="end"/>
          </w:r>
          <w:r>
            <w:fldChar w:fldCharType="end"/>
          </w:r>
        </w:p>
        <w:p w14:paraId="0A17325D">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"_Toc85213515" </w:instrText>
          </w:r>
          <w:r>
            <w:fldChar w:fldCharType="separate"/>
          </w:r>
          <w:r>
            <w:rPr>
              <w:rStyle w:val="38"/>
              <w:rFonts w:cstheme="majorBidi"/>
              <w:color w:val="auto"/>
            </w:rPr>
            <w:t>6.1 生态环境影响预测验证</w:t>
          </w:r>
          <w:r>
            <w:tab/>
          </w:r>
          <w:r>
            <w:fldChar w:fldCharType="begin"/>
          </w:r>
          <w:r>
            <w:instrText xml:space="preserve"> PAGEREF _Toc85213515 \h </w:instrText>
          </w:r>
          <w:r>
            <w:fldChar w:fldCharType="separate"/>
          </w:r>
          <w:r>
            <w:t>145</w:t>
          </w:r>
          <w:r>
            <w:fldChar w:fldCharType="end"/>
          </w:r>
          <w:r>
            <w:fldChar w:fldCharType="end"/>
          </w:r>
        </w:p>
        <w:p w14:paraId="36F3DD26">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"_Toc85213516" </w:instrText>
          </w:r>
          <w:r>
            <w:fldChar w:fldCharType="separate"/>
          </w:r>
          <w:r>
            <w:rPr>
              <w:rStyle w:val="38"/>
              <w:rFonts w:cstheme="majorBidi"/>
              <w:color w:val="auto"/>
            </w:rPr>
            <w:t>6.2 地下水环境影响预测验证</w:t>
          </w:r>
          <w:r>
            <w:tab/>
          </w:r>
          <w:r>
            <w:fldChar w:fldCharType="begin"/>
          </w:r>
          <w:r>
            <w:instrText xml:space="preserve"> PAGEREF _Toc85213516 \h </w:instrText>
          </w:r>
          <w:r>
            <w:fldChar w:fldCharType="separate"/>
          </w:r>
          <w:r>
            <w:t>147</w:t>
          </w:r>
          <w:r>
            <w:fldChar w:fldCharType="end"/>
          </w:r>
          <w:r>
            <w:fldChar w:fldCharType="end"/>
          </w:r>
        </w:p>
        <w:p w14:paraId="4477B998">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"_Toc85213517" </w:instrText>
          </w:r>
          <w:r>
            <w:fldChar w:fldCharType="separate"/>
          </w:r>
          <w:r>
            <w:rPr>
              <w:rStyle w:val="38"/>
              <w:rFonts w:cstheme="majorBidi"/>
              <w:color w:val="auto"/>
            </w:rPr>
            <w:t>6.3 大气环境影响预测验证</w:t>
          </w:r>
          <w:r>
            <w:tab/>
          </w:r>
          <w:r>
            <w:fldChar w:fldCharType="begin"/>
          </w:r>
          <w:r>
            <w:instrText xml:space="preserve"> PAGEREF _Toc85213517 \h </w:instrText>
          </w:r>
          <w:r>
            <w:fldChar w:fldCharType="separate"/>
          </w:r>
          <w:r>
            <w:t>155</w:t>
          </w:r>
          <w:r>
            <w:fldChar w:fldCharType="end"/>
          </w:r>
          <w:r>
            <w:fldChar w:fldCharType="end"/>
          </w:r>
        </w:p>
        <w:p w14:paraId="4017DE4D">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"_Toc85213518" </w:instrText>
          </w:r>
          <w:r>
            <w:fldChar w:fldCharType="separate"/>
          </w:r>
          <w:r>
            <w:rPr>
              <w:rStyle w:val="38"/>
              <w:rFonts w:cstheme="majorBidi"/>
              <w:color w:val="auto"/>
            </w:rPr>
            <w:t>6.4 地表水环境影响预测验证</w:t>
          </w:r>
          <w:r>
            <w:tab/>
          </w:r>
          <w:r>
            <w:fldChar w:fldCharType="begin"/>
          </w:r>
          <w:r>
            <w:instrText xml:space="preserve"> PAGEREF _Toc85213518 \h </w:instrText>
          </w:r>
          <w:r>
            <w:fldChar w:fldCharType="separate"/>
          </w:r>
          <w:r>
            <w:t>156</w:t>
          </w:r>
          <w:r>
            <w:fldChar w:fldCharType="end"/>
          </w:r>
          <w:r>
            <w:fldChar w:fldCharType="end"/>
          </w:r>
        </w:p>
        <w:p w14:paraId="6EB800E5">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"_Toc85213519" </w:instrText>
          </w:r>
          <w:r>
            <w:fldChar w:fldCharType="separate"/>
          </w:r>
          <w:r>
            <w:rPr>
              <w:rStyle w:val="38"/>
              <w:rFonts w:cstheme="majorBidi"/>
              <w:color w:val="auto"/>
            </w:rPr>
            <w:t>6.5 声环境影响预测验证</w:t>
          </w:r>
          <w:r>
            <w:tab/>
          </w:r>
          <w:r>
            <w:fldChar w:fldCharType="begin"/>
          </w:r>
          <w:r>
            <w:instrText xml:space="preserve"> PAGEREF _Toc85213519 \h </w:instrText>
          </w:r>
          <w:r>
            <w:fldChar w:fldCharType="separate"/>
          </w:r>
          <w:r>
            <w:t>157</w:t>
          </w:r>
          <w:r>
            <w:fldChar w:fldCharType="end"/>
          </w:r>
          <w:r>
            <w:fldChar w:fldCharType="end"/>
          </w:r>
        </w:p>
        <w:p w14:paraId="240731A0">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"_Toc85213520" </w:instrText>
          </w:r>
          <w:r>
            <w:fldChar w:fldCharType="separate"/>
          </w:r>
          <w:r>
            <w:rPr>
              <w:rStyle w:val="38"/>
              <w:rFonts w:cstheme="majorBidi"/>
              <w:color w:val="auto"/>
            </w:rPr>
            <w:t>6.6 固体废物环境影响预测验证</w:t>
          </w:r>
          <w:r>
            <w:tab/>
          </w:r>
          <w:r>
            <w:fldChar w:fldCharType="begin"/>
          </w:r>
          <w:r>
            <w:instrText xml:space="preserve"> PAGEREF _Toc85213520 \h </w:instrText>
          </w:r>
          <w:r>
            <w:fldChar w:fldCharType="separate"/>
          </w:r>
          <w:r>
            <w:t>158</w:t>
          </w:r>
          <w:r>
            <w:fldChar w:fldCharType="end"/>
          </w:r>
          <w:r>
            <w:fldChar w:fldCharType="end"/>
          </w:r>
        </w:p>
        <w:p w14:paraId="43079846">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"_Toc85213521" </w:instrText>
          </w:r>
          <w:r>
            <w:fldChar w:fldCharType="separate"/>
          </w:r>
          <w:r>
            <w:rPr>
              <w:rStyle w:val="38"/>
              <w:rFonts w:cstheme="majorBidi"/>
              <w:color w:val="auto"/>
            </w:rPr>
            <w:t>6.7 环境风险影响预测验证</w:t>
          </w:r>
          <w:r>
            <w:tab/>
          </w:r>
          <w:r>
            <w:fldChar w:fldCharType="begin"/>
          </w:r>
          <w:r>
            <w:instrText xml:space="preserve"> PAGEREF _Toc85213521 \h </w:instrText>
          </w:r>
          <w:r>
            <w:fldChar w:fldCharType="separate"/>
          </w:r>
          <w:r>
            <w:t>160</w:t>
          </w:r>
          <w:r>
            <w:fldChar w:fldCharType="end"/>
          </w:r>
          <w:r>
            <w:fldChar w:fldCharType="end"/>
          </w:r>
        </w:p>
        <w:p w14:paraId="15698468">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"_Toc85213522" </w:instrText>
          </w:r>
          <w:r>
            <w:fldChar w:fldCharType="separate"/>
          </w:r>
          <w:r>
            <w:rPr>
              <w:rStyle w:val="38"/>
              <w:color w:val="auto"/>
              <w:kern w:val="44"/>
            </w:rPr>
            <w:t>7 环境保护补救方案和改进措施</w:t>
          </w:r>
          <w:r>
            <w:tab/>
          </w:r>
          <w:r>
            <w:fldChar w:fldCharType="begin"/>
          </w:r>
          <w:r>
            <w:instrText xml:space="preserve"> PAGEREF _Toc85213522 \h </w:instrText>
          </w:r>
          <w:r>
            <w:fldChar w:fldCharType="separate"/>
          </w:r>
          <w:r>
            <w:t>161</w:t>
          </w:r>
          <w:r>
            <w:fldChar w:fldCharType="end"/>
          </w:r>
          <w:r>
            <w:fldChar w:fldCharType="end"/>
          </w:r>
        </w:p>
        <w:p w14:paraId="0C094E7E">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"_Toc85213523" </w:instrText>
          </w:r>
          <w:r>
            <w:fldChar w:fldCharType="separate"/>
          </w:r>
          <w:r>
            <w:rPr>
              <w:rStyle w:val="38"/>
              <w:rFonts w:cstheme="majorBidi"/>
              <w:color w:val="auto"/>
            </w:rPr>
            <w:t>7.1 生态保护措施补救方案和改进措施</w:t>
          </w:r>
          <w:r>
            <w:tab/>
          </w:r>
          <w:r>
            <w:fldChar w:fldCharType="begin"/>
          </w:r>
          <w:r>
            <w:instrText xml:space="preserve"> PAGEREF _Toc85213523 \h </w:instrText>
          </w:r>
          <w:r>
            <w:fldChar w:fldCharType="separate"/>
          </w:r>
          <w:r>
            <w:t>161</w:t>
          </w:r>
          <w:r>
            <w:fldChar w:fldCharType="end"/>
          </w:r>
          <w:r>
            <w:fldChar w:fldCharType="end"/>
          </w:r>
        </w:p>
        <w:p w14:paraId="5C1500E7">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"_Toc85213524" </w:instrText>
          </w:r>
          <w:r>
            <w:fldChar w:fldCharType="separate"/>
          </w:r>
          <w:r>
            <w:rPr>
              <w:rStyle w:val="38"/>
              <w:rFonts w:cstheme="majorBidi"/>
              <w:color w:val="auto"/>
            </w:rPr>
            <w:t>7.2 大气污染防治设施补救方案和改进措施</w:t>
          </w:r>
          <w:r>
            <w:tab/>
          </w:r>
          <w:r>
            <w:fldChar w:fldCharType="begin"/>
          </w:r>
          <w:r>
            <w:instrText xml:space="preserve"> PAGEREF _Toc85213524 \h </w:instrText>
          </w:r>
          <w:r>
            <w:fldChar w:fldCharType="separate"/>
          </w:r>
          <w:r>
            <w:t>161</w:t>
          </w:r>
          <w:r>
            <w:fldChar w:fldCharType="end"/>
          </w:r>
          <w:r>
            <w:fldChar w:fldCharType="end"/>
          </w:r>
        </w:p>
        <w:p w14:paraId="2CD0828C">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"_Toc85213525" </w:instrText>
          </w:r>
          <w:r>
            <w:fldChar w:fldCharType="separate"/>
          </w:r>
          <w:r>
            <w:rPr>
              <w:rStyle w:val="38"/>
              <w:rFonts w:cstheme="majorBidi"/>
              <w:color w:val="auto"/>
            </w:rPr>
            <w:t>7.3 水污染防治设施补救方案和改进措施</w:t>
          </w:r>
          <w:r>
            <w:tab/>
          </w:r>
          <w:r>
            <w:fldChar w:fldCharType="begin"/>
          </w:r>
          <w:r>
            <w:instrText xml:space="preserve"> PAGEREF _Toc85213525 \h </w:instrText>
          </w:r>
          <w:r>
            <w:fldChar w:fldCharType="separate"/>
          </w:r>
          <w:r>
            <w:t>162</w:t>
          </w:r>
          <w:r>
            <w:fldChar w:fldCharType="end"/>
          </w:r>
          <w:r>
            <w:fldChar w:fldCharType="end"/>
          </w:r>
        </w:p>
        <w:p w14:paraId="562D0C86">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"_Toc85213526" </w:instrText>
          </w:r>
          <w:r>
            <w:fldChar w:fldCharType="separate"/>
          </w:r>
          <w:r>
            <w:rPr>
              <w:rStyle w:val="38"/>
              <w:rFonts w:cstheme="majorBidi"/>
              <w:color w:val="auto"/>
            </w:rPr>
            <w:t>7.4 声环境污染防治设施补救方案和改进措施</w:t>
          </w:r>
          <w:r>
            <w:tab/>
          </w:r>
          <w:r>
            <w:fldChar w:fldCharType="begin"/>
          </w:r>
          <w:r>
            <w:instrText xml:space="preserve"> PAGEREF _Toc85213526 \h </w:instrText>
          </w:r>
          <w:r>
            <w:fldChar w:fldCharType="separate"/>
          </w:r>
          <w:r>
            <w:t>162</w:t>
          </w:r>
          <w:r>
            <w:fldChar w:fldCharType="end"/>
          </w:r>
          <w:r>
            <w:fldChar w:fldCharType="end"/>
          </w:r>
        </w:p>
        <w:p w14:paraId="19465E74">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"_Toc85213527" </w:instrText>
          </w:r>
          <w:r>
            <w:fldChar w:fldCharType="separate"/>
          </w:r>
          <w:r>
            <w:rPr>
              <w:rStyle w:val="38"/>
              <w:rFonts w:cstheme="majorBidi"/>
              <w:color w:val="auto"/>
            </w:rPr>
            <w:t>7.5 固体废物处置措施补救方案和改进措施</w:t>
          </w:r>
          <w:r>
            <w:tab/>
          </w:r>
          <w:r>
            <w:fldChar w:fldCharType="begin"/>
          </w:r>
          <w:r>
            <w:instrText xml:space="preserve"> PAGEREF _Toc85213527 \h </w:instrText>
          </w:r>
          <w:r>
            <w:fldChar w:fldCharType="separate"/>
          </w:r>
          <w:r>
            <w:t>162</w:t>
          </w:r>
          <w:r>
            <w:fldChar w:fldCharType="end"/>
          </w:r>
          <w:r>
            <w:fldChar w:fldCharType="end"/>
          </w:r>
        </w:p>
        <w:p w14:paraId="3BA23F97">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"_Toc85213528" </w:instrText>
          </w:r>
          <w:r>
            <w:fldChar w:fldCharType="separate"/>
          </w:r>
          <w:r>
            <w:rPr>
              <w:rStyle w:val="38"/>
              <w:rFonts w:cstheme="majorBidi"/>
              <w:color w:val="auto"/>
            </w:rPr>
            <w:t>7.6 环境风险防范补救方案和改进措施</w:t>
          </w:r>
          <w:r>
            <w:tab/>
          </w:r>
          <w:r>
            <w:fldChar w:fldCharType="begin"/>
          </w:r>
          <w:r>
            <w:instrText xml:space="preserve"> PAGEREF _Toc85213528 \h </w:instrText>
          </w:r>
          <w:r>
            <w:fldChar w:fldCharType="separate"/>
          </w:r>
          <w:r>
            <w:t>163</w:t>
          </w:r>
          <w:r>
            <w:fldChar w:fldCharType="end"/>
          </w:r>
          <w:r>
            <w:fldChar w:fldCharType="end"/>
          </w:r>
        </w:p>
        <w:p w14:paraId="5A6E4737">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"_Toc85213529" </w:instrText>
          </w:r>
          <w:r>
            <w:fldChar w:fldCharType="separate"/>
          </w:r>
          <w:r>
            <w:rPr>
              <w:rStyle w:val="38"/>
              <w:color w:val="auto"/>
            </w:rPr>
            <w:t>8 环境管理与环境监测</w:t>
          </w:r>
          <w:r>
            <w:tab/>
          </w:r>
          <w:r>
            <w:fldChar w:fldCharType="begin"/>
          </w:r>
          <w:r>
            <w:instrText xml:space="preserve"> PAGEREF _Toc85213529 \h </w:instrText>
          </w:r>
          <w:r>
            <w:fldChar w:fldCharType="separate"/>
          </w:r>
          <w:r>
            <w:t>164</w:t>
          </w:r>
          <w:r>
            <w:fldChar w:fldCharType="end"/>
          </w:r>
          <w:r>
            <w:fldChar w:fldCharType="end"/>
          </w:r>
        </w:p>
        <w:p w14:paraId="53AEEE22">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"_Toc85213530" </w:instrText>
          </w:r>
          <w:r>
            <w:fldChar w:fldCharType="separate"/>
          </w:r>
          <w:r>
            <w:rPr>
              <w:rStyle w:val="38"/>
              <w:color w:val="auto"/>
            </w:rPr>
            <w:t>8.1 环境信息公开</w:t>
          </w:r>
          <w:r>
            <w:tab/>
          </w:r>
          <w:r>
            <w:fldChar w:fldCharType="begin"/>
          </w:r>
          <w:r>
            <w:instrText xml:space="preserve"> PAGEREF _Toc85213530 \h </w:instrText>
          </w:r>
          <w:r>
            <w:fldChar w:fldCharType="separate"/>
          </w:r>
          <w:r>
            <w:t>164</w:t>
          </w:r>
          <w:r>
            <w:fldChar w:fldCharType="end"/>
          </w:r>
          <w:r>
            <w:fldChar w:fldCharType="end"/>
          </w:r>
        </w:p>
        <w:p w14:paraId="78F2706E">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"_Toc85213531" </w:instrText>
          </w:r>
          <w:r>
            <w:fldChar w:fldCharType="separate"/>
          </w:r>
          <w:r>
            <w:rPr>
              <w:rStyle w:val="38"/>
              <w:color w:val="auto"/>
            </w:rPr>
            <w:t>8.2 环境管理</w:t>
          </w:r>
          <w:r>
            <w:tab/>
          </w:r>
          <w:r>
            <w:fldChar w:fldCharType="begin"/>
          </w:r>
          <w:r>
            <w:instrText xml:space="preserve"> PAGEREF _Toc85213531 \h </w:instrText>
          </w:r>
          <w:r>
            <w:fldChar w:fldCharType="separate"/>
          </w:r>
          <w:r>
            <w:t>165</w:t>
          </w:r>
          <w:r>
            <w:fldChar w:fldCharType="end"/>
          </w:r>
          <w:r>
            <w:fldChar w:fldCharType="end"/>
          </w:r>
        </w:p>
        <w:p w14:paraId="07D02340">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"_Toc85213532" </w:instrText>
          </w:r>
          <w:r>
            <w:fldChar w:fldCharType="separate"/>
          </w:r>
          <w:r>
            <w:rPr>
              <w:rStyle w:val="38"/>
              <w:color w:val="auto"/>
            </w:rPr>
            <w:t>8.3 环境监测计划</w:t>
          </w:r>
          <w:r>
            <w:tab/>
          </w:r>
          <w:r>
            <w:fldChar w:fldCharType="begin"/>
          </w:r>
          <w:r>
            <w:instrText xml:space="preserve"> PAGEREF _Toc85213532 \h </w:instrText>
          </w:r>
          <w:r>
            <w:fldChar w:fldCharType="separate"/>
          </w:r>
          <w:r>
            <w:t>167</w:t>
          </w:r>
          <w:r>
            <w:fldChar w:fldCharType="end"/>
          </w:r>
          <w:r>
            <w:fldChar w:fldCharType="end"/>
          </w:r>
        </w:p>
        <w:p w14:paraId="56E50851">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"_Toc85213533" </w:instrText>
          </w:r>
          <w:r>
            <w:fldChar w:fldCharType="separate"/>
          </w:r>
          <w:r>
            <w:rPr>
              <w:rStyle w:val="38"/>
              <w:color w:val="auto"/>
            </w:rPr>
            <w:t>9 公众意见调查</w:t>
          </w:r>
          <w:r>
            <w:tab/>
          </w:r>
          <w:r>
            <w:fldChar w:fldCharType="begin"/>
          </w:r>
          <w:r>
            <w:instrText xml:space="preserve"> PAGEREF _Toc85213533 \h </w:instrText>
          </w:r>
          <w:r>
            <w:fldChar w:fldCharType="separate"/>
          </w:r>
          <w:r>
            <w:t>170</w:t>
          </w:r>
          <w:r>
            <w:fldChar w:fldCharType="end"/>
          </w:r>
          <w:r>
            <w:fldChar w:fldCharType="end"/>
          </w:r>
        </w:p>
        <w:p w14:paraId="2B7D02DD">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"_Toc85213534" </w:instrText>
          </w:r>
          <w:r>
            <w:fldChar w:fldCharType="separate"/>
          </w:r>
          <w:r>
            <w:rPr>
              <w:rStyle w:val="38"/>
              <w:color w:val="auto"/>
            </w:rPr>
            <w:t>9.1 调查目的</w:t>
          </w:r>
          <w:r>
            <w:tab/>
          </w:r>
          <w:r>
            <w:fldChar w:fldCharType="begin"/>
          </w:r>
          <w:r>
            <w:instrText xml:space="preserve"> PAGEREF _Toc85213534 \h </w:instrText>
          </w:r>
          <w:r>
            <w:fldChar w:fldCharType="separate"/>
          </w:r>
          <w:r>
            <w:t>170</w:t>
          </w:r>
          <w:r>
            <w:fldChar w:fldCharType="end"/>
          </w:r>
          <w:r>
            <w:fldChar w:fldCharType="end"/>
          </w:r>
        </w:p>
        <w:p w14:paraId="75E3A04A">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"_Toc85213535" </w:instrText>
          </w:r>
          <w:r>
            <w:fldChar w:fldCharType="separate"/>
          </w:r>
          <w:r>
            <w:rPr>
              <w:rStyle w:val="38"/>
              <w:color w:val="auto"/>
            </w:rPr>
            <w:t>9.2 调查方式及调查内容</w:t>
          </w:r>
          <w:r>
            <w:tab/>
          </w:r>
          <w:r>
            <w:fldChar w:fldCharType="begin"/>
          </w:r>
          <w:r>
            <w:instrText xml:space="preserve"> PAGEREF _Toc85213535 \h </w:instrText>
          </w:r>
          <w:r>
            <w:fldChar w:fldCharType="separate"/>
          </w:r>
          <w:r>
            <w:t>170</w:t>
          </w:r>
          <w:r>
            <w:fldChar w:fldCharType="end"/>
          </w:r>
          <w:r>
            <w:fldChar w:fldCharType="end"/>
          </w:r>
        </w:p>
        <w:p w14:paraId="38892614">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"_Toc85213536" </w:instrText>
          </w:r>
          <w:r>
            <w:fldChar w:fldCharType="separate"/>
          </w:r>
          <w:r>
            <w:rPr>
              <w:rStyle w:val="38"/>
              <w:color w:val="auto"/>
            </w:rPr>
            <w:t>9.3 调查结果分析</w:t>
          </w:r>
          <w:r>
            <w:tab/>
          </w:r>
          <w:r>
            <w:fldChar w:fldCharType="begin"/>
          </w:r>
          <w:r>
            <w:instrText xml:space="preserve"> PAGEREF _Toc85213536 \h </w:instrText>
          </w:r>
          <w:r>
            <w:fldChar w:fldCharType="separate"/>
          </w:r>
          <w:r>
            <w:t>170</w:t>
          </w:r>
          <w:r>
            <w:fldChar w:fldCharType="end"/>
          </w:r>
          <w:r>
            <w:fldChar w:fldCharType="end"/>
          </w:r>
        </w:p>
        <w:p w14:paraId="00869606">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"_Toc85213537" </w:instrText>
          </w:r>
          <w:r>
            <w:fldChar w:fldCharType="separate"/>
          </w:r>
          <w:r>
            <w:rPr>
              <w:rStyle w:val="38"/>
              <w:color w:val="auto"/>
            </w:rPr>
            <w:t>9.4 公众意见采纳情况</w:t>
          </w:r>
          <w:r>
            <w:tab/>
          </w:r>
          <w:r>
            <w:fldChar w:fldCharType="begin"/>
          </w:r>
          <w:r>
            <w:instrText xml:space="preserve"> PAGEREF _Toc85213537 \h </w:instrText>
          </w:r>
          <w:r>
            <w:fldChar w:fldCharType="separate"/>
          </w:r>
          <w:r>
            <w:t>172</w:t>
          </w:r>
          <w:r>
            <w:fldChar w:fldCharType="end"/>
          </w:r>
          <w:r>
            <w:fldChar w:fldCharType="end"/>
          </w:r>
        </w:p>
        <w:p w14:paraId="463625F7">
          <w:pPr>
            <w:pStyle w:val="21"/>
            <w:tabs>
              <w:tab w:val="right" w:leader="dot" w:pos="8302"/>
            </w:tabs>
            <w:ind w:firstLine="480"/>
            <w:rPr>
              <w:rFonts w:hint="eastAsia" w:asciiTheme="minorHAnsi" w:hAnsiTheme="minorHAnsi" w:eastAsiaTheme="minorEastAsia"/>
              <w:sz w:val="21"/>
            </w:rPr>
          </w:pPr>
          <w:r>
            <w:fldChar w:fldCharType="begin"/>
          </w:r>
          <w:r>
            <w:instrText xml:space="preserve"> HYPERLINK \l "_Toc85213538" </w:instrText>
          </w:r>
          <w:r>
            <w:fldChar w:fldCharType="separate"/>
          </w:r>
          <w:r>
            <w:rPr>
              <w:rStyle w:val="38"/>
              <w:color w:val="auto"/>
            </w:rPr>
            <w:t>10 后评价结论与建议</w:t>
          </w:r>
          <w:r>
            <w:tab/>
          </w:r>
          <w:r>
            <w:fldChar w:fldCharType="begin"/>
          </w:r>
          <w:r>
            <w:instrText xml:space="preserve"> PAGEREF _Toc85213538 \h </w:instrText>
          </w:r>
          <w:r>
            <w:fldChar w:fldCharType="separate"/>
          </w:r>
          <w:r>
            <w:t>173</w:t>
          </w:r>
          <w:r>
            <w:fldChar w:fldCharType="end"/>
          </w:r>
          <w:r>
            <w:fldChar w:fldCharType="end"/>
          </w:r>
        </w:p>
        <w:p w14:paraId="265B6101">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"_Toc85213539" </w:instrText>
          </w:r>
          <w:r>
            <w:fldChar w:fldCharType="separate"/>
          </w:r>
          <w:r>
            <w:rPr>
              <w:rStyle w:val="38"/>
              <w:color w:val="auto"/>
            </w:rPr>
            <w:t>10.1 结论</w:t>
          </w:r>
          <w:r>
            <w:tab/>
          </w:r>
          <w:r>
            <w:fldChar w:fldCharType="begin"/>
          </w:r>
          <w:r>
            <w:instrText xml:space="preserve"> PAGEREF _Toc85213539 \h </w:instrText>
          </w:r>
          <w:r>
            <w:fldChar w:fldCharType="separate"/>
          </w:r>
          <w:r>
            <w:t>173</w:t>
          </w:r>
          <w:r>
            <w:fldChar w:fldCharType="end"/>
          </w:r>
          <w:r>
            <w:fldChar w:fldCharType="end"/>
          </w:r>
        </w:p>
        <w:p w14:paraId="1AA5345D">
          <w:pPr>
            <w:pStyle w:val="26"/>
            <w:tabs>
              <w:tab w:val="right" w:leader="dot" w:pos="8302"/>
            </w:tabs>
            <w:ind w:left="480" w:firstLine="480"/>
            <w:rPr>
              <w:rFonts w:hint="eastAsia" w:asciiTheme="minorHAnsi" w:hAnsiTheme="minorHAnsi" w:eastAsiaTheme="minorEastAsia"/>
              <w:sz w:val="21"/>
            </w:rPr>
          </w:pPr>
          <w:r>
            <w:fldChar w:fldCharType="begin"/>
          </w:r>
          <w:r>
            <w:instrText xml:space="preserve"> HYPERLINK \l "_Toc85213540" </w:instrText>
          </w:r>
          <w:r>
            <w:fldChar w:fldCharType="separate"/>
          </w:r>
          <w:r>
            <w:rPr>
              <w:rStyle w:val="38"/>
              <w:color w:val="auto"/>
            </w:rPr>
            <w:t>10.2 建议</w:t>
          </w:r>
          <w:r>
            <w:tab/>
          </w:r>
          <w:r>
            <w:fldChar w:fldCharType="begin"/>
          </w:r>
          <w:r>
            <w:instrText xml:space="preserve"> PAGEREF _Toc85213540 \h </w:instrText>
          </w:r>
          <w:r>
            <w:fldChar w:fldCharType="separate"/>
          </w:r>
          <w:r>
            <w:t>176</w:t>
          </w:r>
          <w:r>
            <w:fldChar w:fldCharType="end"/>
          </w:r>
          <w:r>
            <w:fldChar w:fldCharType="end"/>
          </w:r>
        </w:p>
        <w:p w14:paraId="121B6E51">
          <w:pPr>
            <w:pStyle w:val="21"/>
            <w:tabs>
              <w:tab w:val="right" w:leader="dot" w:pos="8302"/>
            </w:tabs>
            <w:ind w:firstLine="480"/>
          </w:pPr>
          <w:r>
            <w:fldChar w:fldCharType="end"/>
          </w:r>
        </w:p>
      </w:sdtContent>
    </w:sdt>
    <w:p w14:paraId="5A9BEDFA">
      <w:pPr>
        <w:ind w:firstLine="0" w:firstLineChars="0"/>
        <w:jc w:val="center"/>
        <w:rPr>
          <w:b/>
          <w:bCs/>
          <w:szCs w:val="28"/>
        </w:rPr>
      </w:pPr>
    </w:p>
    <w:p w14:paraId="08CA748C">
      <w:pPr>
        <w:ind w:firstLine="0" w:firstLineChars="0"/>
        <w:jc w:val="center"/>
        <w:rPr>
          <w:b/>
          <w:bCs/>
          <w:szCs w:val="28"/>
        </w:rPr>
      </w:pPr>
    </w:p>
    <w:p w14:paraId="16561D65">
      <w:pPr>
        <w:ind w:firstLine="480"/>
        <w:sectPr>
          <w:footerReference r:id="rId11" w:type="default"/>
          <w:pgSz w:w="11906" w:h="16838"/>
          <w:pgMar w:top="1440" w:right="1797" w:bottom="1440" w:left="1797" w:header="851" w:footer="992" w:gutter="0"/>
          <w:pgNumType w:fmt="upperRoman" w:start="1"/>
          <w:cols w:space="425" w:num="1"/>
          <w:docGrid w:type="lines" w:linePitch="312" w:charSpace="0"/>
        </w:sectPr>
      </w:pPr>
    </w:p>
    <w:p w14:paraId="01B45C1D">
      <w:pPr>
        <w:ind w:firstLine="482"/>
        <w:rPr>
          <w:b/>
          <w:bCs/>
        </w:rPr>
      </w:pPr>
      <w:r>
        <w:rPr>
          <w:rFonts w:hint="eastAsia"/>
          <w:b/>
          <w:bCs/>
        </w:rPr>
        <w:t>附件：</w:t>
      </w:r>
    </w:p>
    <w:p w14:paraId="0EC218E8">
      <w:pPr>
        <w:ind w:firstLine="480"/>
      </w:pPr>
    </w:p>
    <w:p w14:paraId="4F9120C6">
      <w:pPr>
        <w:ind w:firstLine="480"/>
      </w:pPr>
    </w:p>
    <w:p w14:paraId="1D877BC3">
      <w:pPr>
        <w:ind w:firstLine="480"/>
      </w:pPr>
    </w:p>
    <w:p w14:paraId="3A8A8C04">
      <w:pPr>
        <w:ind w:firstLine="480"/>
        <w:sectPr>
          <w:pgSz w:w="11906" w:h="16838"/>
          <w:pgMar w:top="1440" w:right="1797" w:bottom="1440" w:left="1797" w:header="851" w:footer="992" w:gutter="0"/>
          <w:pgNumType w:fmt="upperRoman"/>
          <w:cols w:space="425" w:num="1"/>
          <w:docGrid w:type="lines" w:linePitch="312" w:charSpace="0"/>
        </w:sectPr>
      </w:pPr>
    </w:p>
    <w:p w14:paraId="3735D7D4">
      <w:pPr>
        <w:pStyle w:val="2"/>
        <w:ind w:firstLine="883"/>
      </w:pPr>
      <w:bookmarkStart w:id="4" w:name="_Toc85213477"/>
      <w:bookmarkStart w:id="5" w:name="_Toc85121403"/>
      <w:r>
        <w:rPr>
          <w:rFonts w:hint="eastAsia"/>
        </w:rPr>
        <w:t>概 述</w:t>
      </w:r>
      <w:bookmarkEnd w:id="4"/>
      <w:bookmarkEnd w:id="5"/>
    </w:p>
    <w:p w14:paraId="0000F297">
      <w:pPr>
        <w:pStyle w:val="3"/>
      </w:pPr>
      <w:bookmarkStart w:id="6" w:name="_Toc85213478"/>
      <w:r>
        <w:rPr>
          <w:rFonts w:hint="eastAsia"/>
        </w:rPr>
        <w:t>1</w:t>
      </w:r>
      <w:r>
        <w:t xml:space="preserve"> </w:t>
      </w:r>
      <w:r>
        <w:rPr>
          <w:rFonts w:hint="eastAsia"/>
        </w:rPr>
        <w:t>项目来源</w:t>
      </w:r>
      <w:bookmarkEnd w:id="6"/>
    </w:p>
    <w:p w14:paraId="60DB0368">
      <w:pPr>
        <w:widowControl/>
        <w:ind w:firstLine="504"/>
        <w:jc w:val="left"/>
        <w:rPr>
          <w:rFonts w:cs="Times New Roman"/>
          <w:snapToGrid w:val="0"/>
          <w:spacing w:val="6"/>
          <w:kern w:val="28"/>
          <w:szCs w:val="20"/>
          <w:lang w:val="zh-CN"/>
        </w:rPr>
      </w:pPr>
      <w:bookmarkStart w:id="7" w:name="_Hlk106350775"/>
      <w:bookmarkStart w:id="8" w:name="_Hlk55489846"/>
      <w:r>
        <w:rPr>
          <w:rFonts w:cs="Times New Roman"/>
          <w:snapToGrid w:val="0"/>
          <w:spacing w:val="6"/>
          <w:kern w:val="28"/>
          <w:szCs w:val="20"/>
          <w:lang w:val="zh-CN"/>
        </w:rPr>
        <w:t>安徽金安矿业有限公司</w:t>
      </w:r>
      <w:bookmarkEnd w:id="7"/>
      <w:r>
        <w:rPr>
          <w:rFonts w:cs="Times New Roman"/>
          <w:snapToGrid w:val="0"/>
          <w:spacing w:val="6"/>
          <w:kern w:val="28"/>
          <w:szCs w:val="20"/>
          <w:lang w:val="zh-CN"/>
        </w:rPr>
        <w:t>草楼铁矿位于安徽省霍邱县的范桥乡境内，矿床中心地 理坐标为东经115°58′45″，北纬32°25′19″。安徽金安矿业有限公司草楼铁矿一期工程由马鞍山矿山研究院工程勘察设计研究院设计，设计规模为采选100万t/a，服务年限30年，矿山设计为地下开采，下盘竖井开拓、中央对角式通风，选矿采用单一磁选。矿山于2004年7月开工建设，2007年9月投入试运行，2008年5月原安徽省环保局以环监验[2008]37 号文对该项目进行了验收，2008年7月正式投入生产。</w:t>
      </w:r>
    </w:p>
    <w:p w14:paraId="4D1E8845">
      <w:pPr>
        <w:widowControl/>
        <w:ind w:firstLine="504"/>
        <w:jc w:val="left"/>
        <w:rPr>
          <w:rFonts w:cs="Times New Roman"/>
          <w:snapToGrid w:val="0"/>
          <w:spacing w:val="6"/>
          <w:kern w:val="28"/>
          <w:szCs w:val="20"/>
          <w:lang w:val="zh-CN"/>
        </w:rPr>
      </w:pPr>
      <w:r>
        <w:rPr>
          <w:rFonts w:cs="Times New Roman"/>
          <w:snapToGrid w:val="0"/>
          <w:spacing w:val="6"/>
          <w:kern w:val="28"/>
          <w:szCs w:val="20"/>
          <w:lang w:val="zh-CN"/>
        </w:rPr>
        <w:t>2009年，安徽金安矿业有限公司草楼铁矿决定将采选规模由100万t/a扩大至 300万t/年，以适应铁精矿市场的变化。根据 《中华人民共和国环境影响评价法》及《建设项目环境保护管理条例》有关规定，2009年4月，安徽金安矿业有限公司委托北京矿冶研究总院承担该工程环境影响评价工作，2010年4月取得了环境保护部批复《关于安徽金安矿业有限公司草楼铁矿 300 万吨/年扩建工程环境影响报告书的批复》（环审[2010]123号）。项目于2010年5月开工建设，2012年12月项目竣工。</w:t>
      </w:r>
      <w:r>
        <w:rPr>
          <w:rFonts w:hint="eastAsia" w:cs="Times New Roman"/>
          <w:snapToGrid w:val="0"/>
          <w:spacing w:val="6"/>
          <w:kern w:val="28"/>
          <w:szCs w:val="20"/>
          <w:lang w:val="zh-CN"/>
        </w:rPr>
        <w:t>根据2</w:t>
      </w:r>
      <w:r>
        <w:rPr>
          <w:rFonts w:cs="Times New Roman"/>
          <w:snapToGrid w:val="0"/>
          <w:spacing w:val="6"/>
          <w:kern w:val="28"/>
          <w:szCs w:val="20"/>
          <w:lang w:val="zh-CN"/>
        </w:rPr>
        <w:t>010</w:t>
      </w:r>
      <w:r>
        <w:rPr>
          <w:rFonts w:hint="eastAsia" w:cs="Times New Roman"/>
          <w:snapToGrid w:val="0"/>
          <w:spacing w:val="6"/>
          <w:kern w:val="28"/>
          <w:szCs w:val="20"/>
          <w:lang w:val="zh-CN"/>
        </w:rPr>
        <w:t>年安徽金安矿业有限公司编制的霍邱县草楼铁矿矿产资源开发利用方案中描述，在采矿权范围内累计查明资源储量(111b+122b+333):矿石量9334.99万吨，TFe平均品位29.62%。累计消耗资源储量(111b):矿石量710.57万吨，TFe平均品位28.19%。项目开采方式为地下开采，矿山服务年限为2</w:t>
      </w:r>
      <w:r>
        <w:rPr>
          <w:rFonts w:cs="Times New Roman"/>
          <w:snapToGrid w:val="0"/>
          <w:spacing w:val="6"/>
          <w:kern w:val="28"/>
          <w:szCs w:val="20"/>
          <w:lang w:val="zh-CN"/>
        </w:rPr>
        <w:t>3</w:t>
      </w:r>
      <w:r>
        <w:rPr>
          <w:rFonts w:hint="eastAsia" w:cs="Times New Roman"/>
          <w:snapToGrid w:val="0"/>
          <w:spacing w:val="6"/>
          <w:kern w:val="28"/>
          <w:szCs w:val="20"/>
          <w:lang w:val="zh-CN"/>
        </w:rPr>
        <w:t>年。</w:t>
      </w:r>
    </w:p>
    <w:p w14:paraId="664C9331">
      <w:pPr>
        <w:widowControl/>
        <w:ind w:firstLine="504"/>
        <w:jc w:val="left"/>
        <w:rPr>
          <w:rFonts w:cs="Times New Roman"/>
          <w:snapToGrid w:val="0"/>
          <w:spacing w:val="6"/>
          <w:kern w:val="28"/>
          <w:szCs w:val="20"/>
          <w:lang w:val="zh-CN"/>
        </w:rPr>
      </w:pPr>
      <w:r>
        <w:rPr>
          <w:rFonts w:cs="Times New Roman"/>
          <w:snapToGrid w:val="0"/>
          <w:spacing w:val="6"/>
          <w:kern w:val="28"/>
          <w:szCs w:val="20"/>
          <w:lang w:val="zh-CN"/>
        </w:rPr>
        <w:t>2012年12月安徽金安矿业有限公司委托环境保护部环境工程评估中心承担安徽金安矿业有限公司草楼铁矿300万吨/年扩建工程竣工环境保护验收调查报告的编制 工作，2013年6月编制完成。2013年11月27日，环境保护部出具了《关于安徽金安矿业有限公司草楼铁矿 300 万吨/年扩建工程竣工环境保护验收意见的函》（环验[2013]272号）。</w:t>
      </w:r>
    </w:p>
    <w:p w14:paraId="259751A8">
      <w:pPr>
        <w:widowControl/>
        <w:ind w:firstLine="504"/>
        <w:jc w:val="left"/>
        <w:rPr>
          <w:rFonts w:cs="Times New Roman"/>
          <w:snapToGrid w:val="0"/>
          <w:spacing w:val="6"/>
          <w:kern w:val="28"/>
          <w:szCs w:val="20"/>
          <w:lang w:val="zh-CN"/>
        </w:rPr>
      </w:pPr>
      <w:r>
        <w:rPr>
          <w:rFonts w:hint="eastAsia" w:cs="Times New Roman"/>
          <w:snapToGrid w:val="0"/>
          <w:spacing w:val="6"/>
          <w:kern w:val="28"/>
          <w:szCs w:val="20"/>
          <w:lang w:val="zh-CN"/>
        </w:rPr>
        <w:t>2009年，</w:t>
      </w:r>
      <w:r>
        <w:rPr>
          <w:rFonts w:cs="Times New Roman"/>
          <w:snapToGrid w:val="0"/>
          <w:spacing w:val="6"/>
          <w:kern w:val="28"/>
          <w:szCs w:val="20"/>
          <w:lang w:val="zh-CN"/>
        </w:rPr>
        <w:t>安徽金安矿业有限公司</w:t>
      </w:r>
      <w:r>
        <w:rPr>
          <w:rFonts w:hint="eastAsia" w:cs="Times New Roman"/>
          <w:snapToGrid w:val="0"/>
          <w:spacing w:val="6"/>
          <w:kern w:val="28"/>
          <w:szCs w:val="20"/>
          <w:lang w:val="zh-CN"/>
        </w:rPr>
        <w:t>结合霍邱县铁矿开发实际情况及自身优势，新建一个充填胶结剂项目，并于2009年1月22日取得六安市环境保护局《关于年产100万吨矿山充填胶结剂项目环境影响报告表的批复》（环监</w:t>
      </w:r>
      <w:r>
        <w:rPr>
          <w:rFonts w:cs="Times New Roman"/>
          <w:snapToGrid w:val="0"/>
          <w:spacing w:val="6"/>
          <w:kern w:val="28"/>
          <w:szCs w:val="20"/>
          <w:lang w:val="zh-CN"/>
        </w:rPr>
        <w:t>[20</w:t>
      </w:r>
      <w:r>
        <w:rPr>
          <w:rFonts w:hint="eastAsia" w:cs="Times New Roman"/>
          <w:snapToGrid w:val="0"/>
          <w:spacing w:val="6"/>
          <w:kern w:val="28"/>
          <w:szCs w:val="20"/>
          <w:lang w:val="zh-CN"/>
        </w:rPr>
        <w:t>09</w:t>
      </w:r>
      <w:r>
        <w:rPr>
          <w:rFonts w:cs="Times New Roman"/>
          <w:snapToGrid w:val="0"/>
          <w:spacing w:val="6"/>
          <w:kern w:val="28"/>
          <w:szCs w:val="20"/>
          <w:lang w:val="zh-CN"/>
        </w:rPr>
        <w:t>]</w:t>
      </w:r>
      <w:r>
        <w:rPr>
          <w:rFonts w:hint="eastAsia" w:cs="Times New Roman"/>
          <w:snapToGrid w:val="0"/>
          <w:spacing w:val="6"/>
          <w:kern w:val="28"/>
          <w:szCs w:val="20"/>
          <w:lang w:val="zh-CN"/>
        </w:rPr>
        <w:t>9号）。</w:t>
      </w:r>
      <w:r>
        <w:rPr>
          <w:rFonts w:hint="eastAsia" w:cs="Times New Roman"/>
          <w:snapToGrid w:val="0"/>
          <w:spacing w:val="6"/>
          <w:kern w:val="28"/>
          <w:szCs w:val="20"/>
        </w:rPr>
        <w:t>2010年6月，安徽金安矿业有限公司成立全资子公司安徽绿源新材料科技发展有限公司（以下简称“绿源公司”），绿源公司成立后接手了原安徽金安矿业有限公司矿山充填胶结剂项目，</w:t>
      </w:r>
      <w:r>
        <w:rPr>
          <w:rFonts w:hint="eastAsia" w:cs="Times New Roman"/>
          <w:snapToGrid w:val="0"/>
          <w:spacing w:val="6"/>
          <w:kern w:val="28"/>
          <w:szCs w:val="20"/>
          <w:lang w:val="zh-CN"/>
        </w:rPr>
        <w:t>项目于2009年3月开工建设，2012年3月一期工程及其配套环保设施竣工并投入试生产，形成年产35万吨矿山充填胶结剂生产能力。并取得六安市环境保护局《关于年产 100万吨矿山充填胶结剂项目一期工程竣工环境保护验收意见的函》（六环评〔2013]29号）。</w:t>
      </w:r>
    </w:p>
    <w:p w14:paraId="45DC8404">
      <w:pPr>
        <w:widowControl/>
        <w:ind w:firstLine="504"/>
        <w:jc w:val="left"/>
        <w:rPr>
          <w:rFonts w:cs="Times New Roman"/>
          <w:snapToGrid w:val="0"/>
          <w:spacing w:val="6"/>
          <w:kern w:val="28"/>
          <w:szCs w:val="20"/>
          <w:lang w:val="zh-CN"/>
        </w:rPr>
      </w:pPr>
      <w:r>
        <w:rPr>
          <w:rFonts w:hint="eastAsia" w:cs="Times New Roman"/>
          <w:snapToGrid w:val="0"/>
          <w:spacing w:val="6"/>
          <w:kern w:val="28"/>
          <w:szCs w:val="20"/>
          <w:lang w:val="zh-CN"/>
        </w:rPr>
        <w:t>鉴于草楼铁矿已生产多年，生产</w:t>
      </w:r>
      <w:r>
        <w:rPr>
          <w:rFonts w:cs="Times New Roman"/>
          <w:snapToGrid w:val="0"/>
          <w:spacing w:val="6"/>
          <w:kern w:val="28"/>
          <w:szCs w:val="20"/>
          <w:lang w:val="zh-CN"/>
        </w:rPr>
        <w:t>规模为</w:t>
      </w:r>
      <w:r>
        <w:rPr>
          <w:rFonts w:hint="eastAsia" w:cs="Times New Roman"/>
          <w:snapToGrid w:val="0"/>
          <w:spacing w:val="6"/>
          <w:kern w:val="28"/>
          <w:szCs w:val="20"/>
          <w:lang w:val="zh-CN"/>
        </w:rPr>
        <w:t>300万t/a，矿山由三个采区组成,其中0～19线间为主采区，0线以南</w:t>
      </w:r>
      <w:r>
        <w:rPr>
          <w:rFonts w:cs="Times New Roman"/>
          <w:snapToGrid w:val="0"/>
          <w:spacing w:val="6"/>
          <w:kern w:val="28"/>
          <w:szCs w:val="20"/>
          <w:lang w:val="zh-CN"/>
        </w:rPr>
        <w:t>为</w:t>
      </w:r>
      <w:r>
        <w:rPr>
          <w:rFonts w:hint="eastAsia" w:cs="Times New Roman"/>
          <w:snapToGrid w:val="0"/>
          <w:spacing w:val="6"/>
          <w:kern w:val="28"/>
          <w:szCs w:val="20"/>
          <w:lang w:val="zh-CN"/>
        </w:rPr>
        <w:t>南采区，19线以北</w:t>
      </w:r>
      <w:r>
        <w:rPr>
          <w:rFonts w:cs="Times New Roman"/>
          <w:snapToGrid w:val="0"/>
          <w:spacing w:val="6"/>
          <w:kern w:val="28"/>
          <w:szCs w:val="20"/>
          <w:lang w:val="zh-CN"/>
        </w:rPr>
        <w:t>为</w:t>
      </w:r>
      <w:r>
        <w:rPr>
          <w:rFonts w:hint="eastAsia" w:cs="Times New Roman"/>
          <w:snapToGrid w:val="0"/>
          <w:spacing w:val="6"/>
          <w:kern w:val="28"/>
          <w:szCs w:val="20"/>
          <w:lang w:val="zh-CN"/>
        </w:rPr>
        <w:t>北采区，三个采区开拓</w:t>
      </w:r>
      <w:r>
        <w:rPr>
          <w:rFonts w:cs="Times New Roman"/>
          <w:snapToGrid w:val="0"/>
          <w:spacing w:val="6"/>
          <w:kern w:val="28"/>
          <w:szCs w:val="20"/>
          <w:lang w:val="zh-CN"/>
        </w:rPr>
        <w:t>系统</w:t>
      </w:r>
      <w:r>
        <w:rPr>
          <w:rFonts w:hint="eastAsia" w:cs="Times New Roman"/>
          <w:snapToGrid w:val="0"/>
          <w:spacing w:val="6"/>
          <w:kern w:val="28"/>
          <w:szCs w:val="20"/>
          <w:lang w:val="zh-CN"/>
        </w:rPr>
        <w:t>相对</w:t>
      </w:r>
      <w:r>
        <w:rPr>
          <w:rFonts w:cs="Times New Roman"/>
          <w:snapToGrid w:val="0"/>
          <w:spacing w:val="6"/>
          <w:kern w:val="28"/>
          <w:szCs w:val="20"/>
          <w:lang w:val="zh-CN"/>
        </w:rPr>
        <w:t>独立</w:t>
      </w:r>
      <w:r>
        <w:rPr>
          <w:rFonts w:hint="eastAsia" w:cs="Times New Roman"/>
          <w:snapToGrid w:val="0"/>
          <w:spacing w:val="6"/>
          <w:kern w:val="28"/>
          <w:szCs w:val="20"/>
          <w:lang w:val="zh-CN"/>
        </w:rPr>
        <w:t>。</w:t>
      </w:r>
    </w:p>
    <w:p w14:paraId="37C16472">
      <w:pPr>
        <w:widowControl/>
        <w:ind w:firstLine="504"/>
        <w:jc w:val="left"/>
        <w:rPr>
          <w:rFonts w:cs="Times New Roman"/>
          <w:snapToGrid w:val="0"/>
          <w:spacing w:val="6"/>
          <w:kern w:val="28"/>
          <w:szCs w:val="20"/>
          <w:lang w:val="zh-CN"/>
        </w:rPr>
      </w:pPr>
      <w:r>
        <w:rPr>
          <w:rFonts w:hint="eastAsia" w:cs="Times New Roman"/>
          <w:snapToGrid w:val="0"/>
          <w:spacing w:val="6"/>
          <w:kern w:val="28"/>
          <w:szCs w:val="20"/>
          <w:lang w:val="zh-CN"/>
        </w:rPr>
        <w:t>矿山设计开采范围为</w:t>
      </w:r>
      <w:r>
        <w:rPr>
          <w:rFonts w:cs="Times New Roman"/>
          <w:snapToGrid w:val="0"/>
          <w:spacing w:val="6"/>
          <w:kern w:val="28"/>
          <w:szCs w:val="20"/>
          <w:lang w:val="zh-CN"/>
        </w:rPr>
        <w:t>-170</w:t>
      </w:r>
      <w:r>
        <w:rPr>
          <w:rFonts w:hint="eastAsia" w:cs="Times New Roman"/>
          <w:snapToGrid w:val="0"/>
          <w:spacing w:val="6"/>
          <w:kern w:val="28"/>
          <w:szCs w:val="20"/>
          <w:lang w:val="zh-CN"/>
        </w:rPr>
        <w:t>～</w:t>
      </w:r>
      <w:r>
        <w:rPr>
          <w:rFonts w:cs="Times New Roman"/>
          <w:snapToGrid w:val="0"/>
          <w:spacing w:val="6"/>
          <w:kern w:val="28"/>
          <w:szCs w:val="20"/>
          <w:lang w:val="zh-CN"/>
        </w:rPr>
        <w:t>-410m间的矿体</w:t>
      </w:r>
      <w:r>
        <w:rPr>
          <w:rFonts w:hint="eastAsia" w:cs="Times New Roman"/>
          <w:snapToGrid w:val="0"/>
          <w:spacing w:val="6"/>
          <w:kern w:val="28"/>
          <w:szCs w:val="20"/>
          <w:lang w:val="zh-CN"/>
        </w:rPr>
        <w:t>，随着井下</w:t>
      </w:r>
      <w:r>
        <w:rPr>
          <w:rFonts w:cs="Times New Roman"/>
          <w:snapToGrid w:val="0"/>
          <w:spacing w:val="6"/>
          <w:kern w:val="28"/>
          <w:szCs w:val="20"/>
          <w:lang w:val="zh-CN"/>
        </w:rPr>
        <w:t>-170</w:t>
      </w:r>
      <w:r>
        <w:rPr>
          <w:rFonts w:hint="eastAsia" w:cs="Times New Roman"/>
          <w:snapToGrid w:val="0"/>
          <w:spacing w:val="6"/>
          <w:kern w:val="28"/>
          <w:szCs w:val="20"/>
          <w:lang w:val="zh-CN"/>
        </w:rPr>
        <w:t>～</w:t>
      </w:r>
      <w:r>
        <w:rPr>
          <w:rFonts w:cs="Times New Roman"/>
          <w:snapToGrid w:val="0"/>
          <w:spacing w:val="6"/>
          <w:kern w:val="28"/>
          <w:szCs w:val="20"/>
          <w:lang w:val="zh-CN"/>
        </w:rPr>
        <w:t>-230m</w:t>
      </w:r>
      <w:r>
        <w:rPr>
          <w:rFonts w:hint="eastAsia" w:cs="Times New Roman"/>
          <w:snapToGrid w:val="0"/>
          <w:spacing w:val="6"/>
          <w:kern w:val="28"/>
          <w:szCs w:val="20"/>
          <w:lang w:val="zh-CN"/>
        </w:rPr>
        <w:t>采场全部回采结束，工作面减少，井下采场布置及生产调节越来越困难。现可采资源仅能维持矿山正常生产7年左右，矿山面临减产的风险。</w:t>
      </w:r>
    </w:p>
    <w:p w14:paraId="11373ED6">
      <w:pPr>
        <w:widowControl/>
        <w:ind w:firstLine="504"/>
        <w:jc w:val="left"/>
        <w:rPr>
          <w:rFonts w:cs="Times New Roman"/>
          <w:snapToGrid w:val="0"/>
          <w:spacing w:val="6"/>
          <w:kern w:val="28"/>
          <w:szCs w:val="20"/>
          <w:lang w:val="zh-CN"/>
        </w:rPr>
      </w:pPr>
      <w:r>
        <w:rPr>
          <w:rFonts w:hint="eastAsia" w:cs="Times New Roman"/>
          <w:snapToGrid w:val="0"/>
          <w:spacing w:val="6"/>
          <w:kern w:val="28"/>
          <w:szCs w:val="20"/>
          <w:lang w:val="zh-CN"/>
        </w:rPr>
        <w:t>而-</w:t>
      </w:r>
      <w:r>
        <w:rPr>
          <w:rFonts w:cs="Times New Roman"/>
          <w:snapToGrid w:val="0"/>
          <w:spacing w:val="6"/>
          <w:kern w:val="28"/>
          <w:szCs w:val="20"/>
          <w:lang w:val="zh-CN"/>
        </w:rPr>
        <w:t>410m水平以下尚有资源未开发</w:t>
      </w:r>
      <w:r>
        <w:rPr>
          <w:rFonts w:hint="eastAsia" w:cs="Times New Roman"/>
          <w:snapToGrid w:val="0"/>
          <w:spacing w:val="6"/>
          <w:kern w:val="28"/>
          <w:szCs w:val="20"/>
          <w:lang w:val="zh-CN"/>
        </w:rPr>
        <w:t>，</w:t>
      </w:r>
      <w:r>
        <w:rPr>
          <w:rFonts w:cs="Times New Roman"/>
          <w:snapToGrid w:val="0"/>
          <w:spacing w:val="6"/>
          <w:kern w:val="28"/>
          <w:szCs w:val="20"/>
          <w:lang w:val="zh-CN"/>
        </w:rPr>
        <w:t>为延长矿山服务年限</w:t>
      </w:r>
      <w:r>
        <w:rPr>
          <w:rFonts w:hint="eastAsia" w:cs="Times New Roman"/>
          <w:snapToGrid w:val="0"/>
          <w:spacing w:val="6"/>
          <w:kern w:val="28"/>
          <w:szCs w:val="20"/>
          <w:lang w:val="zh-CN"/>
        </w:rPr>
        <w:t>，建设单位</w:t>
      </w:r>
      <w:r>
        <w:rPr>
          <w:rFonts w:cs="Times New Roman"/>
          <w:snapToGrid w:val="0"/>
          <w:spacing w:val="6"/>
          <w:kern w:val="28"/>
          <w:szCs w:val="20"/>
          <w:lang w:val="zh-CN"/>
        </w:rPr>
        <w:t>委托</w:t>
      </w:r>
      <w:r>
        <w:rPr>
          <w:rFonts w:hint="eastAsia" w:cs="Times New Roman"/>
          <w:snapToGrid w:val="0"/>
          <w:spacing w:val="6"/>
          <w:kern w:val="28"/>
          <w:szCs w:val="20"/>
          <w:lang w:val="zh-CN"/>
        </w:rPr>
        <w:t>安徽省地质矿产勘查局</w:t>
      </w:r>
      <w:r>
        <w:rPr>
          <w:rFonts w:cs="Times New Roman"/>
          <w:snapToGrid w:val="0"/>
          <w:spacing w:val="6"/>
          <w:kern w:val="28"/>
          <w:szCs w:val="20"/>
          <w:lang w:val="zh-CN"/>
        </w:rPr>
        <w:t>313</w:t>
      </w:r>
      <w:r>
        <w:rPr>
          <w:rFonts w:hint="eastAsia" w:cs="Times New Roman"/>
          <w:snapToGrid w:val="0"/>
          <w:spacing w:val="6"/>
          <w:kern w:val="28"/>
          <w:szCs w:val="20"/>
          <w:lang w:val="zh-CN"/>
        </w:rPr>
        <w:t>地质队对</w:t>
      </w:r>
      <w:r>
        <w:rPr>
          <w:rFonts w:cs="Times New Roman"/>
          <w:snapToGrid w:val="0"/>
          <w:spacing w:val="6"/>
          <w:kern w:val="28"/>
          <w:szCs w:val="20"/>
          <w:lang w:val="zh-CN"/>
        </w:rPr>
        <w:t>-410m</w:t>
      </w:r>
      <w:r>
        <w:rPr>
          <w:rFonts w:hint="eastAsia" w:cs="Times New Roman"/>
          <w:snapToGrid w:val="0"/>
          <w:spacing w:val="6"/>
          <w:kern w:val="28"/>
          <w:szCs w:val="20"/>
          <w:lang w:val="zh-CN"/>
        </w:rPr>
        <w:t>水平以下资源进行补充勘探，并提交了《安徽</w:t>
      </w:r>
      <w:r>
        <w:rPr>
          <w:rFonts w:cs="Times New Roman"/>
          <w:snapToGrid w:val="0"/>
          <w:spacing w:val="6"/>
          <w:kern w:val="28"/>
          <w:szCs w:val="20"/>
          <w:lang w:val="zh-CN"/>
        </w:rPr>
        <w:t>省霍邱县草楼铁矿</w:t>
      </w:r>
      <w:r>
        <w:rPr>
          <w:rFonts w:hint="eastAsia" w:cs="Times New Roman"/>
          <w:snapToGrid w:val="0"/>
          <w:spacing w:val="6"/>
          <w:kern w:val="28"/>
          <w:szCs w:val="20"/>
          <w:lang w:val="zh-CN"/>
        </w:rPr>
        <w:t>-410</w:t>
      </w:r>
      <w:r>
        <w:rPr>
          <w:rFonts w:cs="Times New Roman"/>
          <w:snapToGrid w:val="0"/>
          <w:spacing w:val="6"/>
          <w:kern w:val="28"/>
          <w:szCs w:val="20"/>
          <w:lang w:val="zh-CN"/>
        </w:rPr>
        <w:t>m标高以下深部矿体地质勘查报告</w:t>
      </w:r>
      <w:r>
        <w:rPr>
          <w:rFonts w:hint="eastAsia" w:cs="Times New Roman"/>
          <w:snapToGrid w:val="0"/>
          <w:spacing w:val="6"/>
          <w:kern w:val="28"/>
          <w:szCs w:val="20"/>
          <w:lang w:val="zh-CN"/>
        </w:rPr>
        <w:t>》，</w:t>
      </w:r>
      <w:r>
        <w:rPr>
          <w:rFonts w:cs="Times New Roman"/>
          <w:snapToGrid w:val="0"/>
          <w:spacing w:val="6"/>
          <w:kern w:val="28"/>
          <w:szCs w:val="20"/>
          <w:lang w:val="zh-CN"/>
        </w:rPr>
        <w:t>-410m</w:t>
      </w:r>
      <w:r>
        <w:rPr>
          <w:rFonts w:hint="eastAsia" w:cs="Times New Roman"/>
          <w:snapToGrid w:val="0"/>
          <w:spacing w:val="6"/>
          <w:kern w:val="28"/>
          <w:szCs w:val="20"/>
          <w:lang w:val="zh-CN"/>
        </w:rPr>
        <w:t>水平以下探明铁矿石资源量</w:t>
      </w:r>
      <w:r>
        <w:rPr>
          <w:rFonts w:cs="Times New Roman"/>
          <w:snapToGrid w:val="0"/>
          <w:spacing w:val="6"/>
          <w:kern w:val="28"/>
          <w:szCs w:val="20"/>
          <w:lang w:val="zh-CN"/>
        </w:rPr>
        <w:t>1382.38</w:t>
      </w:r>
      <w:r>
        <w:rPr>
          <w:rFonts w:hint="eastAsia" w:cs="Times New Roman"/>
          <w:snapToGrid w:val="0"/>
          <w:spacing w:val="6"/>
          <w:kern w:val="28"/>
          <w:szCs w:val="20"/>
          <w:lang w:val="zh-CN"/>
        </w:rPr>
        <w:t>万</w:t>
      </w:r>
      <w:r>
        <w:rPr>
          <w:rFonts w:cs="Times New Roman"/>
          <w:snapToGrid w:val="0"/>
          <w:spacing w:val="6"/>
          <w:kern w:val="28"/>
          <w:szCs w:val="20"/>
          <w:lang w:val="zh-CN"/>
        </w:rPr>
        <w:t>t</w:t>
      </w:r>
      <w:r>
        <w:rPr>
          <w:rFonts w:hint="eastAsia" w:cs="Times New Roman"/>
          <w:snapToGrid w:val="0"/>
          <w:spacing w:val="6"/>
          <w:kern w:val="28"/>
          <w:szCs w:val="20"/>
          <w:lang w:val="zh-CN"/>
        </w:rPr>
        <w:t>，这部分矿体若回采，</w:t>
      </w:r>
      <w:r>
        <w:rPr>
          <w:rFonts w:cs="Times New Roman"/>
          <w:snapToGrid w:val="0"/>
          <w:spacing w:val="6"/>
          <w:kern w:val="28"/>
          <w:szCs w:val="20"/>
          <w:lang w:val="zh-CN"/>
        </w:rPr>
        <w:t>可延长矿山服务年限</w:t>
      </w:r>
      <w:r>
        <w:rPr>
          <w:rFonts w:hint="eastAsia" w:cs="Times New Roman"/>
          <w:snapToGrid w:val="0"/>
          <w:spacing w:val="6"/>
          <w:kern w:val="28"/>
          <w:szCs w:val="20"/>
          <w:lang w:val="zh-CN"/>
        </w:rPr>
        <w:t>4年左右。</w:t>
      </w:r>
    </w:p>
    <w:p w14:paraId="0F724DEB">
      <w:pPr>
        <w:widowControl/>
        <w:ind w:firstLine="504"/>
        <w:jc w:val="left"/>
        <w:rPr>
          <w:rFonts w:cs="Times New Roman"/>
          <w:snapToGrid w:val="0"/>
          <w:spacing w:val="6"/>
          <w:kern w:val="28"/>
          <w:szCs w:val="20"/>
          <w:lang w:val="zh-CN"/>
        </w:rPr>
      </w:pPr>
      <w:r>
        <w:rPr>
          <w:rFonts w:hint="eastAsia" w:cs="Times New Roman"/>
          <w:snapToGrid w:val="0"/>
          <w:spacing w:val="6"/>
          <w:kern w:val="28"/>
          <w:szCs w:val="20"/>
          <w:lang w:val="zh-CN"/>
        </w:rPr>
        <w:t>综合考虑，建设单位决定进行-</w:t>
      </w:r>
      <w:r>
        <w:rPr>
          <w:rFonts w:cs="Times New Roman"/>
          <w:snapToGrid w:val="0"/>
          <w:spacing w:val="6"/>
          <w:kern w:val="28"/>
          <w:szCs w:val="20"/>
          <w:lang w:val="zh-CN"/>
        </w:rPr>
        <w:t>410m以下开拓</w:t>
      </w:r>
      <w:r>
        <w:rPr>
          <w:rFonts w:hint="eastAsia" w:cs="Times New Roman"/>
          <w:snapToGrid w:val="0"/>
          <w:spacing w:val="6"/>
          <w:kern w:val="28"/>
          <w:szCs w:val="20"/>
          <w:lang w:val="zh-CN"/>
        </w:rPr>
        <w:t>工程，</w:t>
      </w:r>
      <w:r>
        <w:rPr>
          <w:rFonts w:cs="Times New Roman"/>
          <w:snapToGrid w:val="0"/>
          <w:spacing w:val="6"/>
          <w:kern w:val="28"/>
          <w:szCs w:val="20"/>
          <w:lang w:val="zh-CN"/>
        </w:rPr>
        <w:t>设计</w:t>
      </w:r>
      <w:r>
        <w:rPr>
          <w:rFonts w:hint="eastAsia" w:cs="Times New Roman"/>
          <w:snapToGrid w:val="0"/>
          <w:spacing w:val="6"/>
          <w:kern w:val="28"/>
          <w:szCs w:val="20"/>
          <w:lang w:val="zh-CN"/>
        </w:rPr>
        <w:t>增加开采-410～-470</w:t>
      </w:r>
      <w:r>
        <w:rPr>
          <w:rFonts w:cs="Times New Roman"/>
          <w:snapToGrid w:val="0"/>
          <w:spacing w:val="6"/>
          <w:kern w:val="28"/>
          <w:szCs w:val="20"/>
          <w:lang w:val="zh-CN"/>
        </w:rPr>
        <w:t>m间</w:t>
      </w:r>
      <w:r>
        <w:rPr>
          <w:rFonts w:hint="eastAsia" w:cs="Times New Roman"/>
          <w:snapToGrid w:val="0"/>
          <w:spacing w:val="6"/>
          <w:kern w:val="28"/>
          <w:szCs w:val="20"/>
          <w:lang w:val="zh-CN"/>
        </w:rPr>
        <w:t>（-470</w:t>
      </w:r>
      <w:r>
        <w:rPr>
          <w:rFonts w:cs="Times New Roman"/>
          <w:snapToGrid w:val="0"/>
          <w:spacing w:val="6"/>
          <w:kern w:val="28"/>
          <w:szCs w:val="20"/>
          <w:lang w:val="zh-CN"/>
        </w:rPr>
        <w:t>m中段）的矿体</w:t>
      </w:r>
      <w:r>
        <w:rPr>
          <w:rFonts w:hint="eastAsia" w:cs="Times New Roman"/>
          <w:snapToGrid w:val="0"/>
          <w:spacing w:val="6"/>
          <w:kern w:val="28"/>
          <w:szCs w:val="20"/>
          <w:lang w:val="zh-CN"/>
        </w:rPr>
        <w:t>，届时-</w:t>
      </w:r>
      <w:r>
        <w:rPr>
          <w:rFonts w:cs="Times New Roman"/>
          <w:snapToGrid w:val="0"/>
          <w:spacing w:val="6"/>
          <w:kern w:val="28"/>
          <w:szCs w:val="20"/>
          <w:lang w:val="zh-CN"/>
        </w:rPr>
        <w:t>410m水平上下可</w:t>
      </w:r>
      <w:r>
        <w:rPr>
          <w:rFonts w:hint="eastAsia" w:cs="Times New Roman"/>
          <w:snapToGrid w:val="0"/>
          <w:spacing w:val="6"/>
          <w:kern w:val="28"/>
          <w:szCs w:val="20"/>
          <w:lang w:val="zh-CN"/>
        </w:rPr>
        <w:t>搭配组织生产，维持矿山生产的稳定，并延长矿山服务年限。</w:t>
      </w:r>
    </w:p>
    <w:p w14:paraId="7F51B458">
      <w:pPr>
        <w:widowControl/>
        <w:ind w:firstLine="504"/>
        <w:jc w:val="left"/>
        <w:rPr>
          <w:rFonts w:cs="Times New Roman"/>
          <w:snapToGrid w:val="0"/>
          <w:spacing w:val="6"/>
          <w:kern w:val="28"/>
          <w:szCs w:val="20"/>
          <w:lang w:val="zh-CN"/>
        </w:rPr>
      </w:pPr>
      <w:r>
        <w:rPr>
          <w:rFonts w:hint="eastAsia" w:cs="Times New Roman"/>
          <w:snapToGrid w:val="0"/>
          <w:spacing w:val="6"/>
          <w:kern w:val="28"/>
          <w:szCs w:val="20"/>
          <w:lang w:val="zh-CN"/>
        </w:rPr>
        <w:t>20</w:t>
      </w:r>
      <w:r>
        <w:rPr>
          <w:rFonts w:cs="Times New Roman"/>
          <w:snapToGrid w:val="0"/>
          <w:spacing w:val="6"/>
          <w:kern w:val="28"/>
          <w:szCs w:val="20"/>
          <w:lang w:val="zh-CN"/>
        </w:rPr>
        <w:t>22</w:t>
      </w:r>
      <w:r>
        <w:rPr>
          <w:rFonts w:hint="eastAsia" w:cs="Times New Roman"/>
          <w:snapToGrid w:val="0"/>
          <w:spacing w:val="6"/>
          <w:kern w:val="28"/>
          <w:szCs w:val="20"/>
          <w:lang w:val="zh-CN"/>
        </w:rPr>
        <w:t>年</w:t>
      </w:r>
      <w:r>
        <w:rPr>
          <w:rFonts w:cs="Times New Roman"/>
          <w:snapToGrid w:val="0"/>
          <w:spacing w:val="6"/>
          <w:kern w:val="28"/>
          <w:szCs w:val="20"/>
          <w:lang w:val="zh-CN"/>
        </w:rPr>
        <w:t>6</w:t>
      </w:r>
      <w:r>
        <w:rPr>
          <w:rFonts w:hint="eastAsia" w:cs="Times New Roman"/>
          <w:snapToGrid w:val="0"/>
          <w:spacing w:val="6"/>
          <w:kern w:val="28"/>
          <w:szCs w:val="20"/>
          <w:lang w:val="zh-CN"/>
        </w:rPr>
        <w:t>月，安徽金安矿业有限公司草楼铁矿-410m以下深部开拓</w:t>
      </w:r>
      <w:r>
        <w:rPr>
          <w:rFonts w:cs="Times New Roman"/>
          <w:snapToGrid w:val="0"/>
          <w:spacing w:val="6"/>
          <w:kern w:val="28"/>
          <w:szCs w:val="20"/>
          <w:lang w:val="zh-CN"/>
        </w:rPr>
        <w:t>采矿工程</w:t>
      </w:r>
      <w:r>
        <w:rPr>
          <w:rFonts w:hint="eastAsia" w:cs="Times New Roman"/>
          <w:snapToGrid w:val="0"/>
          <w:spacing w:val="6"/>
          <w:kern w:val="28"/>
          <w:szCs w:val="20"/>
          <w:lang w:val="zh-CN"/>
        </w:rPr>
        <w:t>取得备案。安徽金安矿业有限公司于20</w:t>
      </w:r>
      <w:r>
        <w:rPr>
          <w:rFonts w:cs="Times New Roman"/>
          <w:snapToGrid w:val="0"/>
          <w:spacing w:val="6"/>
          <w:kern w:val="28"/>
          <w:szCs w:val="20"/>
          <w:lang w:val="zh-CN"/>
        </w:rPr>
        <w:t>22</w:t>
      </w:r>
      <w:r>
        <w:rPr>
          <w:rFonts w:hint="eastAsia" w:cs="Times New Roman"/>
          <w:snapToGrid w:val="0"/>
          <w:spacing w:val="6"/>
          <w:kern w:val="28"/>
          <w:szCs w:val="20"/>
          <w:lang w:val="zh-CN"/>
        </w:rPr>
        <w:t>年</w:t>
      </w:r>
      <w:r>
        <w:rPr>
          <w:rFonts w:cs="Times New Roman"/>
          <w:snapToGrid w:val="0"/>
          <w:spacing w:val="6"/>
          <w:kern w:val="28"/>
          <w:szCs w:val="20"/>
          <w:lang w:val="zh-CN"/>
        </w:rPr>
        <w:t>3</w:t>
      </w:r>
      <w:r>
        <w:rPr>
          <w:rFonts w:hint="eastAsia" w:cs="Times New Roman"/>
          <w:snapToGrid w:val="0"/>
          <w:spacing w:val="6"/>
          <w:kern w:val="28"/>
          <w:szCs w:val="20"/>
          <w:lang w:val="zh-CN"/>
        </w:rPr>
        <w:t>月委托安徽长之源环境工程有限公司承担草楼铁矿-410m以下深部开拓</w:t>
      </w:r>
      <w:r>
        <w:rPr>
          <w:rFonts w:cs="Times New Roman"/>
          <w:snapToGrid w:val="0"/>
          <w:spacing w:val="6"/>
          <w:kern w:val="28"/>
          <w:szCs w:val="20"/>
          <w:lang w:val="zh-CN"/>
        </w:rPr>
        <w:t>采矿工程</w:t>
      </w:r>
      <w:r>
        <w:rPr>
          <w:rFonts w:hint="eastAsia" w:cs="Times New Roman"/>
          <w:snapToGrid w:val="0"/>
          <w:spacing w:val="6"/>
          <w:kern w:val="28"/>
          <w:szCs w:val="20"/>
          <w:lang w:val="zh-CN"/>
        </w:rPr>
        <w:t>的环境影响评价工作。并于2022年8月17日取得安徽省生态环境厅《关于安徽金安矿业有限公司草楼铁矿-410m以下深部开拓采矿工程环境影响报告书审批意见的函》（皖环函〔2022〕975 号）</w:t>
      </w:r>
      <w:r>
        <w:rPr>
          <w:rFonts w:cs="Times New Roman"/>
          <w:snapToGrid w:val="0"/>
          <w:spacing w:val="6"/>
          <w:kern w:val="28"/>
          <w:szCs w:val="20"/>
          <w:lang w:val="zh-CN"/>
        </w:rPr>
        <w:t>项目于20</w:t>
      </w:r>
      <w:r>
        <w:rPr>
          <w:rFonts w:hint="eastAsia" w:cs="Times New Roman"/>
          <w:snapToGrid w:val="0"/>
          <w:spacing w:val="6"/>
          <w:kern w:val="28"/>
          <w:szCs w:val="20"/>
          <w:lang w:val="zh-CN"/>
        </w:rPr>
        <w:t>22</w:t>
      </w:r>
      <w:r>
        <w:rPr>
          <w:rFonts w:cs="Times New Roman"/>
          <w:snapToGrid w:val="0"/>
          <w:spacing w:val="6"/>
          <w:kern w:val="28"/>
          <w:szCs w:val="20"/>
          <w:lang w:val="zh-CN"/>
        </w:rPr>
        <w:t>年</w:t>
      </w:r>
      <w:r>
        <w:rPr>
          <w:rFonts w:hint="eastAsia" w:cs="Times New Roman"/>
          <w:snapToGrid w:val="0"/>
          <w:spacing w:val="6"/>
          <w:kern w:val="28"/>
          <w:szCs w:val="20"/>
          <w:lang w:val="zh-CN"/>
        </w:rPr>
        <w:t>10</w:t>
      </w:r>
      <w:r>
        <w:rPr>
          <w:rFonts w:cs="Times New Roman"/>
          <w:snapToGrid w:val="0"/>
          <w:spacing w:val="6"/>
          <w:kern w:val="28"/>
          <w:szCs w:val="20"/>
          <w:lang w:val="zh-CN"/>
        </w:rPr>
        <w:t>月开工建设，</w:t>
      </w:r>
      <w:r>
        <w:rPr>
          <w:rFonts w:hint="eastAsia" w:cs="Times New Roman"/>
          <w:snapToGrid w:val="0"/>
          <w:spacing w:val="6"/>
          <w:kern w:val="28"/>
          <w:szCs w:val="20"/>
          <w:lang w:val="zh-CN"/>
        </w:rPr>
        <w:t>工期三年，目前处于建设期</w:t>
      </w:r>
      <w:r>
        <w:rPr>
          <w:rFonts w:cs="Times New Roman"/>
          <w:snapToGrid w:val="0"/>
          <w:spacing w:val="6"/>
          <w:kern w:val="28"/>
          <w:szCs w:val="20"/>
          <w:lang w:val="zh-CN"/>
        </w:rPr>
        <w:t>。</w:t>
      </w:r>
    </w:p>
    <w:p w14:paraId="75492234">
      <w:pPr>
        <w:ind w:firstLine="480"/>
      </w:pPr>
      <w:r>
        <w:rPr>
          <w:rFonts w:hint="eastAsia"/>
        </w:rPr>
        <w:t>本项目属于采掘行业，根据环境影响后评价管理的相关要求，可以开展环境影响后评价工作。因此，</w:t>
      </w:r>
      <w:r>
        <w:rPr>
          <w:rFonts w:hint="eastAsia" w:cs="Times New Roman"/>
          <w:snapToGrid w:val="0"/>
          <w:spacing w:val="6"/>
          <w:kern w:val="28"/>
          <w:szCs w:val="20"/>
          <w:lang w:val="zh-CN"/>
        </w:rPr>
        <w:t>安徽</w:t>
      </w:r>
      <w:r>
        <w:rPr>
          <w:rFonts w:hint="eastAsia"/>
        </w:rPr>
        <w:t>金安矿业有限公司于2024年7月10日委托安徽长之源环境工程有限公司承担“安徽金安矿业有限公司草楼铁矿工程”环境影响后评价工作，</w:t>
      </w:r>
      <w:r>
        <w:t>我</w:t>
      </w:r>
      <w:r>
        <w:rPr>
          <w:rFonts w:hint="eastAsia"/>
        </w:rPr>
        <w:t>单位</w:t>
      </w:r>
      <w:r>
        <w:t>接到评价</w:t>
      </w:r>
      <w:r>
        <w:rPr>
          <w:rFonts w:hint="eastAsia"/>
        </w:rPr>
        <w:t>工作</w:t>
      </w:r>
      <w:r>
        <w:t>后，成立了项目工作组，在现场踏勘和收集研读有关项目资料</w:t>
      </w:r>
      <w:r>
        <w:rPr>
          <w:rFonts w:hint="eastAsia"/>
        </w:rPr>
        <w:t>和</w:t>
      </w:r>
      <w:r>
        <w:t>文件的基础上，按照有关法律法规、环境保护标准</w:t>
      </w:r>
      <w:r>
        <w:rPr>
          <w:rFonts w:hint="eastAsia"/>
        </w:rPr>
        <w:t>和后评价相关管理办法及</w:t>
      </w:r>
      <w:r>
        <w:t>环境影响评价技术导则</w:t>
      </w:r>
      <w:r>
        <w:rPr>
          <w:rFonts w:hint="eastAsia"/>
        </w:rPr>
        <w:t>要求，</w:t>
      </w:r>
      <w:r>
        <w:t>编制完成《</w:t>
      </w:r>
      <w:r>
        <w:rPr>
          <w:rFonts w:hint="eastAsia"/>
        </w:rPr>
        <w:t>安徽金安矿业有限公司草楼铁矿工程环境影响后评价报告书</w:t>
      </w:r>
      <w:r>
        <w:t>》</w:t>
      </w:r>
      <w:r>
        <w:rPr>
          <w:rFonts w:hint="eastAsia"/>
        </w:rPr>
        <w:t>。</w:t>
      </w:r>
    </w:p>
    <w:bookmarkEnd w:id="8"/>
    <w:p w14:paraId="7B3470CE">
      <w:pPr>
        <w:pStyle w:val="3"/>
      </w:pPr>
      <w:bookmarkStart w:id="9" w:name="_Toc85213479"/>
      <w:r>
        <w:rPr>
          <w:rFonts w:hint="eastAsia"/>
        </w:rPr>
        <w:t>2</w:t>
      </w:r>
      <w:r>
        <w:t xml:space="preserve"> </w:t>
      </w:r>
      <w:r>
        <w:rPr>
          <w:rFonts w:hint="eastAsia"/>
        </w:rPr>
        <w:t>关注的主要环境问题</w:t>
      </w:r>
      <w:bookmarkEnd w:id="9"/>
    </w:p>
    <w:p w14:paraId="4554C4D4">
      <w:pPr>
        <w:ind w:firstLine="480"/>
      </w:pPr>
      <w:r>
        <w:rPr>
          <w:rFonts w:hint="eastAsia"/>
        </w:rPr>
        <w:t>本次后评价过程中，关注的主要环境问题如下：</w:t>
      </w:r>
    </w:p>
    <w:p w14:paraId="5B945C28">
      <w:pPr>
        <w:ind w:firstLine="480"/>
      </w:pPr>
      <w:r>
        <w:rPr>
          <w:rFonts w:hint="eastAsia"/>
        </w:rPr>
        <w:t>（1）对照项目现有工程的环评、验收及批复的要求，重点分析项目实际生产与环评及验收阶段的变化情况，说明实际生产过程中产污环节、污染物排放量。</w:t>
      </w:r>
    </w:p>
    <w:p w14:paraId="65A06363">
      <w:pPr>
        <w:ind w:firstLine="480"/>
      </w:pPr>
      <w:r>
        <w:rPr>
          <w:rFonts w:hint="eastAsia"/>
        </w:rPr>
        <w:t>（2）分析项目区域环境变化情况。重点分析建设项目周围区域环境敏感目标变化、污染源或者其他影响源变化、环境质量现状和变化趋势分析等。</w:t>
      </w:r>
    </w:p>
    <w:p w14:paraId="26E49D33">
      <w:pPr>
        <w:ind w:firstLine="480"/>
      </w:pPr>
      <w:r>
        <w:rPr>
          <w:rFonts w:hint="eastAsia"/>
        </w:rPr>
        <w:t>（3）分析项目采取的环境保护措施有效性，验证项目运行产生的环境影响与环评预测结果是否一致。</w:t>
      </w:r>
    </w:p>
    <w:p w14:paraId="2DA1193A">
      <w:pPr>
        <w:ind w:firstLine="480"/>
      </w:pPr>
      <w:r>
        <w:rPr>
          <w:rFonts w:hint="eastAsia"/>
        </w:rPr>
        <w:t>（4）针对现有工程可能存在的主要环境问题，提出补救方案和改进措施。</w:t>
      </w:r>
    </w:p>
    <w:p w14:paraId="0C7F35B1">
      <w:pPr>
        <w:pStyle w:val="3"/>
      </w:pPr>
      <w:bookmarkStart w:id="10" w:name="_Toc85213480"/>
      <w:r>
        <w:rPr>
          <w:rFonts w:hint="eastAsia"/>
        </w:rPr>
        <w:t>3</w:t>
      </w:r>
      <w:r>
        <w:t xml:space="preserve"> </w:t>
      </w:r>
      <w:r>
        <w:rPr>
          <w:rFonts w:hint="eastAsia"/>
        </w:rPr>
        <w:t>工作过程</w:t>
      </w:r>
      <w:bookmarkEnd w:id="10"/>
    </w:p>
    <w:p w14:paraId="59B092AE">
      <w:pPr>
        <w:ind w:firstLine="480"/>
      </w:pPr>
      <w:r>
        <w:rPr>
          <w:rFonts w:hint="eastAsia"/>
        </w:rPr>
        <w:t>（1）2024年7月10日，</w:t>
      </w:r>
      <w:bookmarkStart w:id="11" w:name="_Hlk51752285"/>
      <w:r>
        <w:rPr>
          <w:rFonts w:hint="eastAsia"/>
        </w:rPr>
        <w:t>安徽长之源环境工程有限公司</w:t>
      </w:r>
      <w:bookmarkEnd w:id="11"/>
      <w:r>
        <w:rPr>
          <w:rFonts w:hint="eastAsia"/>
        </w:rPr>
        <w:t>受安徽金安矿业有限公司委托，承担“安徽金安矿业有限公司草楼铁矿工程”环境影响后评价工作。</w:t>
      </w:r>
    </w:p>
    <w:p w14:paraId="72C3A5A9">
      <w:pPr>
        <w:ind w:firstLine="480"/>
      </w:pPr>
      <w:r>
        <w:rPr>
          <w:rFonts w:hint="eastAsia"/>
        </w:rPr>
        <w:t>（2）2024年7月11日，该项目后评价在</w:t>
      </w:r>
      <w:bookmarkStart w:id="12" w:name="_Hlk51752466"/>
      <w:r>
        <w:rPr>
          <w:rFonts w:hint="eastAsia"/>
        </w:rPr>
        <w:t>安徽金安矿业有限公司官方网站上</w:t>
      </w:r>
      <w:bookmarkEnd w:id="12"/>
      <w:r>
        <w:rPr>
          <w:rFonts w:hint="eastAsia"/>
        </w:rPr>
        <w:t>进行第一次公示，同步公示公众提出意见的方式和途径。</w:t>
      </w:r>
    </w:p>
    <w:p w14:paraId="799E69D2">
      <w:pPr>
        <w:ind w:firstLine="480"/>
      </w:pPr>
      <w:r>
        <w:rPr>
          <w:rFonts w:hint="eastAsia"/>
        </w:rPr>
        <w:t>（3）2024年7月~8月，公司成立项目组多次至草楼铁矿踏看现场，研读企业提供的相关资料，并根据环评、验收文件及批复，进一步梳理了项目现场情况。</w:t>
      </w:r>
    </w:p>
    <w:p w14:paraId="05E9AFA3">
      <w:pPr>
        <w:ind w:firstLine="480"/>
      </w:pPr>
      <w:r>
        <w:rPr>
          <w:rFonts w:hint="eastAsia"/>
        </w:rPr>
        <w:t>（4）2024年8月，安徽长之源环境工程有限公司完成了《</w:t>
      </w:r>
      <w:bookmarkStart w:id="13" w:name="_Hlk51752490"/>
      <w:r>
        <w:rPr>
          <w:rFonts w:hint="eastAsia"/>
        </w:rPr>
        <w:t>安徽金安矿业有限公司草楼铁矿工程环境影响后评价报告书（征求意见稿）</w:t>
      </w:r>
      <w:bookmarkEnd w:id="13"/>
      <w:r>
        <w:rPr>
          <w:rFonts w:hint="eastAsia"/>
        </w:rPr>
        <w:t>》。</w:t>
      </w:r>
    </w:p>
    <w:p w14:paraId="39C2D250">
      <w:pPr>
        <w:ind w:firstLine="480"/>
        <w:rPr>
          <w:color w:val="FF0000"/>
        </w:rPr>
      </w:pPr>
      <w:r>
        <w:rPr>
          <w:rFonts w:hint="eastAsia"/>
          <w:color w:val="FF0000"/>
        </w:rPr>
        <w:t>（5）2024年8月  日，建设单位在安徽金安矿业有限公司官方网站上对《安徽金安矿业有限公司草楼铁矿工程环境影响后评价报告书（征求意见稿）》进行了公示，公示时间为10个工作日。公示期间，《安徽日报》上刊登了该项目征求意见稿相关公示材料；同时开展了现场公示材料张贴工作。</w:t>
      </w:r>
    </w:p>
    <w:p w14:paraId="046B836A">
      <w:pPr>
        <w:ind w:firstLine="480"/>
        <w:rPr>
          <w:color w:val="FF0000"/>
        </w:rPr>
      </w:pPr>
      <w:r>
        <w:rPr>
          <w:rFonts w:hint="eastAsia"/>
          <w:color w:val="FF0000"/>
        </w:rPr>
        <w:t>（6）2024年8月，通过公司内部三级审核修改后完成了《安徽金安矿业有限公司草楼铁矿工程环境影响后评价报告书》。</w:t>
      </w:r>
    </w:p>
    <w:p w14:paraId="1052760F">
      <w:pPr>
        <w:ind w:firstLine="480"/>
      </w:pPr>
      <w:r>
        <w:rPr>
          <w:rFonts w:hint="eastAsia"/>
        </w:rPr>
        <w:t>环境影响后评价技术工作程序见图1。</w:t>
      </w:r>
    </w:p>
    <w:p w14:paraId="64E81470">
      <w:pPr>
        <w:ind w:firstLine="0" w:firstLineChars="0"/>
        <w:jc w:val="center"/>
      </w:pPr>
      <w:r>
        <w:drawing>
          <wp:inline distT="0" distB="0" distL="0" distR="0">
            <wp:extent cx="5276215" cy="6553835"/>
            <wp:effectExtent l="0" t="0" r="63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6215" cy="6553835"/>
                    </a:xfrm>
                    <a:prstGeom prst="rect">
                      <a:avLst/>
                    </a:prstGeom>
                    <a:noFill/>
                    <a:ln>
                      <a:noFill/>
                    </a:ln>
                  </pic:spPr>
                </pic:pic>
              </a:graphicData>
            </a:graphic>
          </wp:inline>
        </w:drawing>
      </w:r>
    </w:p>
    <w:p w14:paraId="4C09BC6B">
      <w:pPr>
        <w:pStyle w:val="18"/>
        <w:ind w:firstLine="482"/>
        <w:jc w:val="center"/>
        <w:rPr>
          <w:b/>
          <w:bCs/>
          <w:sz w:val="24"/>
          <w:szCs w:val="24"/>
        </w:rPr>
      </w:pPr>
      <w:r>
        <w:rPr>
          <w:rFonts w:hint="eastAsia"/>
          <w:b/>
          <w:bCs/>
          <w:sz w:val="24"/>
          <w:szCs w:val="24"/>
        </w:rPr>
        <w:t>图1</w:t>
      </w:r>
      <w:r>
        <w:rPr>
          <w:b/>
          <w:bCs/>
          <w:sz w:val="24"/>
          <w:szCs w:val="24"/>
        </w:rPr>
        <w:t xml:space="preserve"> </w:t>
      </w:r>
      <w:r>
        <w:rPr>
          <w:rFonts w:hint="eastAsia"/>
          <w:b/>
          <w:bCs/>
          <w:sz w:val="24"/>
          <w:szCs w:val="24"/>
        </w:rPr>
        <w:t>环境影响后评价技术工作程序图</w:t>
      </w:r>
    </w:p>
    <w:p w14:paraId="5B567366">
      <w:pPr>
        <w:pStyle w:val="3"/>
      </w:pPr>
      <w:bookmarkStart w:id="14" w:name="_Toc85213481"/>
      <w:r>
        <w:rPr>
          <w:rFonts w:hint="eastAsia"/>
        </w:rPr>
        <w:t>4</w:t>
      </w:r>
      <w:r>
        <w:t xml:space="preserve"> </w:t>
      </w:r>
      <w:r>
        <w:rPr>
          <w:rFonts w:hint="eastAsia"/>
        </w:rPr>
        <w:t>环境影响后评价报告书的主要结论</w:t>
      </w:r>
      <w:bookmarkEnd w:id="14"/>
    </w:p>
    <w:p w14:paraId="7A2371E0">
      <w:pPr>
        <w:ind w:firstLine="480"/>
      </w:pPr>
      <w:r>
        <w:rPr>
          <w:rFonts w:hint="eastAsia"/>
        </w:rPr>
        <w:t>对照安徽金安矿业有限公司草楼铁矿工程环评及其批复要求、验收及其批复要求，后评价通过分析区域环境质量变化、环保措施有效性、环境影响预测验证等，得出项目区域环境功能未发生变化；项目生产中落实的环境保护措施是有效的，符合环境保护管理要求；项目实际运行产生的环境影响与环评预测结果基本一致。针对存在的环境问题提出了后评价阶段的补救方案和改进措施，通过补救方案和改进措施的实施，可以进一步降低项目生产对周边环境的影响，为环境管理提供建议和依据。</w:t>
      </w:r>
    </w:p>
    <w:p w14:paraId="2E5F6331">
      <w:pPr>
        <w:ind w:firstLine="480"/>
        <w:sectPr>
          <w:headerReference r:id="rId12" w:type="default"/>
          <w:footerReference r:id="rId13" w:type="default"/>
          <w:pgSz w:w="11906" w:h="16838"/>
          <w:pgMar w:top="1440" w:right="1797" w:bottom="1440" w:left="1797" w:header="851" w:footer="992" w:gutter="0"/>
          <w:pgNumType w:start="1"/>
          <w:cols w:space="425" w:num="1"/>
          <w:docGrid w:type="lines" w:linePitch="312" w:charSpace="0"/>
        </w:sectPr>
      </w:pPr>
    </w:p>
    <w:p w14:paraId="4241F79E">
      <w:pPr>
        <w:pStyle w:val="2"/>
        <w:ind w:firstLine="883"/>
      </w:pPr>
      <w:bookmarkStart w:id="15" w:name="_Toc85213482"/>
      <w:r>
        <w:rPr>
          <w:rFonts w:hint="eastAsia"/>
        </w:rPr>
        <w:t>1</w:t>
      </w:r>
      <w:r>
        <w:t xml:space="preserve"> </w:t>
      </w:r>
      <w:r>
        <w:rPr>
          <w:rFonts w:hint="eastAsia"/>
        </w:rPr>
        <w:t>总则</w:t>
      </w:r>
      <w:bookmarkEnd w:id="15"/>
    </w:p>
    <w:p w14:paraId="66BE81FE">
      <w:pPr>
        <w:pStyle w:val="3"/>
      </w:pPr>
      <w:bookmarkStart w:id="16" w:name="_Toc85213483"/>
      <w:r>
        <w:rPr>
          <w:rFonts w:hint="eastAsia"/>
        </w:rPr>
        <w:t>1.1</w:t>
      </w:r>
      <w:r>
        <w:t xml:space="preserve"> </w:t>
      </w:r>
      <w:r>
        <w:rPr>
          <w:rFonts w:hint="eastAsia"/>
        </w:rPr>
        <w:t>评价目的与指导思想</w:t>
      </w:r>
      <w:bookmarkEnd w:id="16"/>
    </w:p>
    <w:p w14:paraId="1DF6945C">
      <w:pPr>
        <w:pStyle w:val="4"/>
        <w:spacing w:before="120" w:after="120" w:line="360" w:lineRule="auto"/>
      </w:pPr>
      <w:r>
        <w:rPr>
          <w:rFonts w:hint="eastAsia"/>
        </w:rPr>
        <w:t>1.1.1</w:t>
      </w:r>
      <w:r>
        <w:t xml:space="preserve"> </w:t>
      </w:r>
      <w:r>
        <w:rPr>
          <w:rFonts w:hint="eastAsia"/>
        </w:rPr>
        <w:t>评价目的</w:t>
      </w:r>
    </w:p>
    <w:p w14:paraId="641F5AAB">
      <w:pPr>
        <w:ind w:firstLine="480"/>
      </w:pPr>
      <w:r>
        <w:rPr>
          <w:rFonts w:hint="eastAsia"/>
        </w:rPr>
        <w:t>（1）建设项目在通过环境保护设施竣工验收且稳定运行一定时期后，对其实际产生的环境影响以及污染防治、生态保护和风险防范措施的有效性进行调查、监测和评价，真实反应建设项目在运营过程中产生的实际环境影响。</w:t>
      </w:r>
    </w:p>
    <w:p w14:paraId="1802F917">
      <w:pPr>
        <w:ind w:firstLine="480"/>
      </w:pPr>
      <w:r>
        <w:rPr>
          <w:rFonts w:hint="eastAsia"/>
        </w:rPr>
        <w:t>（2）梳理项目污染物排放情况，验证建设项目采取的污染防治措施的有效性，对运行期间发现的环境问题提出补救方案或改进措施。</w:t>
      </w:r>
    </w:p>
    <w:p w14:paraId="0F8BDCF2">
      <w:pPr>
        <w:pStyle w:val="4"/>
        <w:spacing w:before="120" w:after="120" w:line="360" w:lineRule="auto"/>
      </w:pPr>
      <w:r>
        <w:rPr>
          <w:rFonts w:hint="eastAsia"/>
        </w:rPr>
        <w:t>1.1.2</w:t>
      </w:r>
      <w:r>
        <w:t xml:space="preserve"> </w:t>
      </w:r>
      <w:r>
        <w:rPr>
          <w:rFonts w:hint="eastAsia"/>
        </w:rPr>
        <w:t>评价指导思想</w:t>
      </w:r>
    </w:p>
    <w:p w14:paraId="194A14FA">
      <w:pPr>
        <w:ind w:firstLine="480"/>
      </w:pPr>
      <w:r>
        <w:rPr>
          <w:rFonts w:hint="eastAsia"/>
        </w:rPr>
        <w:t>（1）以预防为主、防治结合、清洁生产和全过程控制的现代管理思想及循环经济理念为指导，以国家和地方的有关环保法规、技术规范的要求为依据，紧密结合矿产工业行业特点和项目所在地区的环境特征，以科学、求实、严谨的工作作风开展本次评价工作。</w:t>
      </w:r>
    </w:p>
    <w:p w14:paraId="7E73C158">
      <w:pPr>
        <w:ind w:firstLine="480"/>
      </w:pPr>
      <w:r>
        <w:rPr>
          <w:rFonts w:hint="eastAsia"/>
        </w:rPr>
        <w:t>（2）在对现有工程情况及已经造成环境污染和生态破坏情况进行深入调查基础上，以控制污染排放与减缓生态破坏为重点，综合采用类比和实际监测的方法，对项目建设开发给各环境要素造成的影响进行全面的分析和评价。</w:t>
      </w:r>
    </w:p>
    <w:p w14:paraId="515D4D07">
      <w:pPr>
        <w:ind w:firstLine="480"/>
      </w:pPr>
      <w:r>
        <w:rPr>
          <w:rFonts w:hint="eastAsia"/>
        </w:rPr>
        <w:t>（3）本项目地面工程变化很少，项目废气、废水、固废和噪声污染源较原环评阶段有所变化，但变化不大；因此本次评价对项目已建成污染源不再进行预测和评价，依据污染源和污染现状监测数据进行现状评价和未来影响变化趋势简要分析，而把评价的重点放在采选对大气环境质量、开采沉陷生态环境影响和开采对地下水资源影响评价方面。</w:t>
      </w:r>
    </w:p>
    <w:p w14:paraId="39FF3B1F">
      <w:pPr>
        <w:ind w:firstLine="480"/>
      </w:pPr>
      <w:r>
        <w:rPr>
          <w:rFonts w:hint="eastAsia"/>
        </w:rPr>
        <w:t>（4）贯彻“以人为本”和“可持续发展”的发展观，努力推动清洁生产工艺的实施，探讨矿井水、尾矿及废石等资源化利用途径及可行性，结合当地的实际情况提出矿区生态综合整治的方案，将本矿区建设成环境和经济、社会协调发展的环境友好型矿业。</w:t>
      </w:r>
    </w:p>
    <w:p w14:paraId="2C110841">
      <w:pPr>
        <w:pStyle w:val="3"/>
      </w:pPr>
      <w:bookmarkStart w:id="17" w:name="_Toc85213484"/>
      <w:r>
        <w:rPr>
          <w:rFonts w:hint="eastAsia"/>
        </w:rPr>
        <w:t>1.</w:t>
      </w:r>
      <w:r>
        <w:t xml:space="preserve">2 </w:t>
      </w:r>
      <w:r>
        <w:rPr>
          <w:rFonts w:hint="eastAsia"/>
        </w:rPr>
        <w:t>评价依据</w:t>
      </w:r>
      <w:bookmarkEnd w:id="17"/>
    </w:p>
    <w:p w14:paraId="7BDEB0B7">
      <w:pPr>
        <w:pStyle w:val="4"/>
      </w:pPr>
      <w:r>
        <w:rPr>
          <w:rFonts w:hint="eastAsia"/>
        </w:rPr>
        <w:t>1.</w:t>
      </w:r>
      <w:r>
        <w:t>2</w:t>
      </w:r>
      <w:r>
        <w:rPr>
          <w:rFonts w:hint="eastAsia"/>
        </w:rPr>
        <w:t>.1</w:t>
      </w:r>
      <w:r>
        <w:t xml:space="preserve"> </w:t>
      </w:r>
      <w:r>
        <w:rPr>
          <w:rFonts w:hint="eastAsia"/>
        </w:rPr>
        <w:t>法律、法规、部门规章及规范性文件</w:t>
      </w:r>
    </w:p>
    <w:p w14:paraId="5D657A17">
      <w:pPr>
        <w:pStyle w:val="50"/>
        <w:numPr>
          <w:ilvl w:val="0"/>
          <w:numId w:val="1"/>
        </w:numPr>
        <w:ind w:left="0" w:firstLine="480"/>
      </w:pPr>
      <w:r>
        <w:rPr>
          <w:rFonts w:hint="eastAsia"/>
        </w:rPr>
        <w:t>《中华人民共和国环境保护法》（主席令，第9号，2015年1月1日）；</w:t>
      </w:r>
    </w:p>
    <w:p w14:paraId="1909B307">
      <w:pPr>
        <w:pStyle w:val="50"/>
        <w:numPr>
          <w:ilvl w:val="0"/>
          <w:numId w:val="1"/>
        </w:numPr>
        <w:ind w:left="0" w:firstLine="480"/>
      </w:pPr>
      <w:r>
        <w:rPr>
          <w:rFonts w:hint="eastAsia"/>
        </w:rPr>
        <w:t>《中华人民共和国环境影响评价法》（主席令，第24号，2018年12月29日）；</w:t>
      </w:r>
    </w:p>
    <w:p w14:paraId="2425D1E3">
      <w:pPr>
        <w:pStyle w:val="50"/>
        <w:numPr>
          <w:ilvl w:val="0"/>
          <w:numId w:val="1"/>
        </w:numPr>
        <w:ind w:left="0" w:firstLine="480"/>
      </w:pPr>
      <w:r>
        <w:rPr>
          <w:rFonts w:hint="eastAsia"/>
        </w:rPr>
        <w:t>《中华人民共和国节约能源法》（主席令，第77号，2018年10月26日）；</w:t>
      </w:r>
    </w:p>
    <w:p w14:paraId="59F1A9BC">
      <w:pPr>
        <w:pStyle w:val="50"/>
        <w:numPr>
          <w:ilvl w:val="0"/>
          <w:numId w:val="1"/>
        </w:numPr>
        <w:ind w:left="0" w:firstLine="480"/>
      </w:pPr>
      <w:r>
        <w:rPr>
          <w:rFonts w:hint="eastAsia"/>
        </w:rPr>
        <w:t>《中华人民共和国大气污染防治法（2018年10月26日修订版）》（主席令，第31号，2016年1月1日）；</w:t>
      </w:r>
    </w:p>
    <w:p w14:paraId="27097AF3">
      <w:pPr>
        <w:pStyle w:val="50"/>
        <w:numPr>
          <w:ilvl w:val="0"/>
          <w:numId w:val="1"/>
        </w:numPr>
        <w:ind w:left="0" w:firstLine="480"/>
      </w:pPr>
      <w:r>
        <w:rPr>
          <w:rFonts w:hint="eastAsia"/>
        </w:rPr>
        <w:t>《中华人民共和国固体废物污染环境防治法（2020年4月29日修订）》（2020年9月1日实施）；</w:t>
      </w:r>
    </w:p>
    <w:p w14:paraId="31BE741A">
      <w:pPr>
        <w:pStyle w:val="50"/>
        <w:numPr>
          <w:ilvl w:val="0"/>
          <w:numId w:val="1"/>
        </w:numPr>
        <w:ind w:left="0" w:firstLine="480"/>
      </w:pPr>
      <w:r>
        <w:rPr>
          <w:rFonts w:hint="eastAsia"/>
        </w:rPr>
        <w:t>《中华人民共和国循环经济促进法》，（主席令，第4号，2018年10月26日）；</w:t>
      </w:r>
    </w:p>
    <w:p w14:paraId="7278C948">
      <w:pPr>
        <w:pStyle w:val="50"/>
        <w:numPr>
          <w:ilvl w:val="0"/>
          <w:numId w:val="1"/>
        </w:numPr>
        <w:ind w:left="0" w:firstLine="480"/>
      </w:pPr>
      <w:r>
        <w:rPr>
          <w:rFonts w:hint="eastAsia"/>
        </w:rPr>
        <w:t>《中华人民共和国水污染防治法》（主席令，第70号，2017年6月27日）；</w:t>
      </w:r>
    </w:p>
    <w:p w14:paraId="1ECEC612">
      <w:pPr>
        <w:pStyle w:val="50"/>
        <w:numPr>
          <w:ilvl w:val="0"/>
          <w:numId w:val="1"/>
        </w:numPr>
        <w:ind w:left="0" w:firstLine="480"/>
      </w:pPr>
      <w:r>
        <w:rPr>
          <w:rFonts w:hint="eastAsia"/>
        </w:rPr>
        <w:t>《中华人民共和国环境噪声污染防治法》（主席令，第24号，2018年12月29日）；</w:t>
      </w:r>
    </w:p>
    <w:p w14:paraId="7D915E34">
      <w:pPr>
        <w:pStyle w:val="50"/>
        <w:numPr>
          <w:ilvl w:val="0"/>
          <w:numId w:val="1"/>
        </w:numPr>
        <w:ind w:left="0" w:firstLine="480"/>
      </w:pPr>
      <w:r>
        <w:rPr>
          <w:rFonts w:hint="eastAsia"/>
        </w:rPr>
        <w:t>《中华人民共和国清洁生产促进法》（主席令，第38号令，2012年7月1日）；</w:t>
      </w:r>
    </w:p>
    <w:p w14:paraId="4CD7DD89">
      <w:pPr>
        <w:pStyle w:val="50"/>
        <w:numPr>
          <w:ilvl w:val="0"/>
          <w:numId w:val="1"/>
        </w:numPr>
        <w:ind w:left="0" w:firstLine="480"/>
      </w:pPr>
      <w:r>
        <w:rPr>
          <w:rFonts w:hint="eastAsia"/>
        </w:rPr>
        <w:t>《国务院关于印发大气污染防治行动计划的通知》（国务院，国发[2013]37号，2013年9月2日）；</w:t>
      </w:r>
    </w:p>
    <w:p w14:paraId="105AB94C">
      <w:pPr>
        <w:pStyle w:val="50"/>
        <w:numPr>
          <w:ilvl w:val="0"/>
          <w:numId w:val="1"/>
        </w:numPr>
        <w:ind w:left="0" w:firstLine="480"/>
      </w:pPr>
      <w:r>
        <w:rPr>
          <w:rFonts w:hint="eastAsia"/>
        </w:rPr>
        <w:t>《国务院关于印发水污染防治行动计划的通知》（国务院，国发[2015]17号，2015年4月2日）；</w:t>
      </w:r>
    </w:p>
    <w:p w14:paraId="03835B00">
      <w:pPr>
        <w:pStyle w:val="50"/>
        <w:numPr>
          <w:ilvl w:val="0"/>
          <w:numId w:val="1"/>
        </w:numPr>
        <w:ind w:left="0" w:firstLine="480"/>
      </w:pPr>
      <w:r>
        <w:rPr>
          <w:rFonts w:hint="eastAsia"/>
        </w:rPr>
        <w:t>《国务院关于印发土壤污染防治行动计划的通知》（国务院，国发[2016]31号，2016年6月1日）；</w:t>
      </w:r>
    </w:p>
    <w:p w14:paraId="6146BFED">
      <w:pPr>
        <w:pStyle w:val="50"/>
        <w:numPr>
          <w:ilvl w:val="0"/>
          <w:numId w:val="1"/>
        </w:numPr>
        <w:ind w:left="0" w:firstLine="480"/>
      </w:pPr>
      <w:r>
        <w:rPr>
          <w:rFonts w:hint="eastAsia"/>
        </w:rPr>
        <w:t>《建设项目环境保护管理条例》（国务院令，第682号，2017年10月1日）；</w:t>
      </w:r>
    </w:p>
    <w:p w14:paraId="723DD863">
      <w:pPr>
        <w:pStyle w:val="50"/>
        <w:numPr>
          <w:ilvl w:val="0"/>
          <w:numId w:val="1"/>
        </w:numPr>
        <w:ind w:left="0" w:firstLine="480"/>
      </w:pPr>
      <w:r>
        <w:rPr>
          <w:rFonts w:hint="eastAsia"/>
        </w:rPr>
        <w:t>《国务院关于印发打赢蓝天保卫战三年行动计划的通知》（国务院，国发[2018]22号，2018年6月27日）；</w:t>
      </w:r>
    </w:p>
    <w:p w14:paraId="49A34061">
      <w:pPr>
        <w:pStyle w:val="50"/>
        <w:numPr>
          <w:ilvl w:val="0"/>
          <w:numId w:val="1"/>
        </w:numPr>
        <w:ind w:left="0" w:firstLine="480"/>
      </w:pPr>
      <w:r>
        <w:rPr>
          <w:rFonts w:hint="eastAsia"/>
        </w:rPr>
        <w:t>《长三角地区2020-2021年秋冬季大气污染综合治理攻坚行动方案》（环大气[2020]62号，2020年10月30日）；</w:t>
      </w:r>
    </w:p>
    <w:p w14:paraId="1E3E6FA0">
      <w:pPr>
        <w:pStyle w:val="50"/>
        <w:numPr>
          <w:ilvl w:val="0"/>
          <w:numId w:val="1"/>
        </w:numPr>
        <w:ind w:left="0" w:firstLine="480"/>
      </w:pPr>
      <w:r>
        <w:rPr>
          <w:rFonts w:hint="eastAsia"/>
        </w:rPr>
        <w:t>《国家危险废物名录（2021版）》（生态环境部令 第15号，2021年1月1日起施行）；</w:t>
      </w:r>
    </w:p>
    <w:p w14:paraId="5C4D1F05">
      <w:pPr>
        <w:pStyle w:val="50"/>
        <w:numPr>
          <w:ilvl w:val="0"/>
          <w:numId w:val="1"/>
        </w:numPr>
        <w:ind w:left="0" w:firstLine="480"/>
      </w:pPr>
      <w:r>
        <w:rPr>
          <w:rFonts w:hint="eastAsia"/>
        </w:rPr>
        <w:t>《建设项目环境影响评价分类管理名录（2021年版）》（生态环境部令，第16号，2021年1月1日起施行）；</w:t>
      </w:r>
    </w:p>
    <w:p w14:paraId="15ABF11D">
      <w:pPr>
        <w:pStyle w:val="50"/>
        <w:numPr>
          <w:ilvl w:val="0"/>
          <w:numId w:val="1"/>
        </w:numPr>
        <w:ind w:left="0" w:firstLine="480"/>
      </w:pPr>
      <w:r>
        <w:rPr>
          <w:rFonts w:hint="eastAsia"/>
        </w:rPr>
        <w:t>《环境影响评价公众参与办法》（生态环境部令第4号，2019年1月1日）；</w:t>
      </w:r>
    </w:p>
    <w:p w14:paraId="004DA767">
      <w:pPr>
        <w:pStyle w:val="50"/>
        <w:numPr>
          <w:ilvl w:val="0"/>
          <w:numId w:val="1"/>
        </w:numPr>
        <w:ind w:left="0" w:firstLine="480"/>
      </w:pPr>
      <w:r>
        <w:rPr>
          <w:rFonts w:hint="eastAsia"/>
        </w:rPr>
        <w:t>《产业结构调整指导目录（2019年本）》（国家发展和改革委员会令，第29号，2019年10月30日）；</w:t>
      </w:r>
    </w:p>
    <w:p w14:paraId="21D8A4A4">
      <w:pPr>
        <w:pStyle w:val="50"/>
        <w:numPr>
          <w:ilvl w:val="0"/>
          <w:numId w:val="1"/>
        </w:numPr>
        <w:ind w:left="0" w:firstLine="480"/>
      </w:pPr>
      <w:r>
        <w:rPr>
          <w:rFonts w:hint="eastAsia"/>
        </w:rPr>
        <w:t>《安徽省环境保护条例》，2018年1月1日起施行；</w:t>
      </w:r>
    </w:p>
    <w:p w14:paraId="49C5523D">
      <w:pPr>
        <w:pStyle w:val="50"/>
        <w:numPr>
          <w:ilvl w:val="0"/>
          <w:numId w:val="1"/>
        </w:numPr>
        <w:ind w:left="0" w:firstLine="480"/>
      </w:pPr>
      <w:r>
        <w:rPr>
          <w:rFonts w:hint="eastAsia"/>
        </w:rPr>
        <w:t>《安徽省大气污染防治条例》（安徽省人民政府，2015年3月1日）；</w:t>
      </w:r>
    </w:p>
    <w:p w14:paraId="601C027E">
      <w:pPr>
        <w:pStyle w:val="50"/>
        <w:numPr>
          <w:ilvl w:val="0"/>
          <w:numId w:val="1"/>
        </w:numPr>
        <w:ind w:left="0" w:firstLine="480"/>
      </w:pPr>
      <w:r>
        <w:rPr>
          <w:rFonts w:hint="eastAsia"/>
        </w:rPr>
        <w:t>《关于发布安徽省生态保护红线的通知》（安徽省人民政府办公厅，皖政秘〔2018〕120号）；</w:t>
      </w:r>
    </w:p>
    <w:p w14:paraId="31F0C5FA">
      <w:pPr>
        <w:pStyle w:val="50"/>
        <w:numPr>
          <w:ilvl w:val="0"/>
          <w:numId w:val="1"/>
        </w:numPr>
        <w:ind w:left="0" w:firstLine="480"/>
      </w:pPr>
      <w:r>
        <w:rPr>
          <w:rFonts w:hint="eastAsia"/>
        </w:rPr>
        <w:t>《安徽省打赢蓝天保卫战三年行动计划实施方案的通知》（安徽省人民政府，皖政[2018]83号，2018年9月27日）；</w:t>
      </w:r>
    </w:p>
    <w:p w14:paraId="36C15351">
      <w:pPr>
        <w:pStyle w:val="50"/>
        <w:numPr>
          <w:ilvl w:val="0"/>
          <w:numId w:val="1"/>
        </w:numPr>
        <w:ind w:left="0" w:firstLine="480"/>
      </w:pPr>
      <w:r>
        <w:rPr>
          <w:rFonts w:hint="eastAsia"/>
        </w:rPr>
        <w:t>《安徽省大气污染防治行动计划实施方案》（安徽省人民政府，皖政[2013]89号，2013年12月30日）；</w:t>
      </w:r>
    </w:p>
    <w:p w14:paraId="745AC50C">
      <w:pPr>
        <w:pStyle w:val="50"/>
        <w:numPr>
          <w:ilvl w:val="0"/>
          <w:numId w:val="1"/>
        </w:numPr>
        <w:ind w:left="0" w:firstLine="480"/>
      </w:pPr>
      <w:r>
        <w:rPr>
          <w:rFonts w:hint="eastAsia"/>
        </w:rPr>
        <w:t>《安徽省2021年应对气候变化和大气污染防治重点工作任务》（皖大气办〔2021〕3号，2021年3月26日）；</w:t>
      </w:r>
    </w:p>
    <w:p w14:paraId="661C69D3">
      <w:pPr>
        <w:pStyle w:val="50"/>
        <w:numPr>
          <w:ilvl w:val="0"/>
          <w:numId w:val="1"/>
        </w:numPr>
        <w:ind w:left="0" w:firstLine="480"/>
      </w:pPr>
      <w:r>
        <w:rPr>
          <w:rFonts w:hint="eastAsia"/>
        </w:rPr>
        <w:t>《中共安徽省委安徽省人民政府全面打造水清岸绿产业优美丽长江（安徽）经济带的实施意见（升级版)》（皖发[2021]19号，2021.8.9）；</w:t>
      </w:r>
    </w:p>
    <w:p w14:paraId="6B14AE46">
      <w:pPr>
        <w:pStyle w:val="50"/>
        <w:numPr>
          <w:ilvl w:val="0"/>
          <w:numId w:val="1"/>
        </w:numPr>
        <w:ind w:left="0" w:firstLine="480"/>
      </w:pPr>
      <w:r>
        <w:rPr>
          <w:rFonts w:hint="eastAsia"/>
        </w:rPr>
        <w:t>《转发环保部关于进一步加强环境影响评价管理防范环境风险的通知》（安徽省环境保护厅，环评函[2012]852号，2012年8月6日）；</w:t>
      </w:r>
    </w:p>
    <w:p w14:paraId="136E9F7B">
      <w:pPr>
        <w:pStyle w:val="50"/>
        <w:numPr>
          <w:ilvl w:val="0"/>
          <w:numId w:val="1"/>
        </w:numPr>
        <w:ind w:left="0" w:firstLine="480"/>
      </w:pPr>
      <w:r>
        <w:rPr>
          <w:rFonts w:hint="eastAsia"/>
        </w:rPr>
        <w:t>《安徽省环保厅关于加强建设项目环境影响评价及环保竣工验收公众参与工作的通知》（安徽省环保厅，皖环发〔2013〕91号，2013年10月18日）；</w:t>
      </w:r>
    </w:p>
    <w:p w14:paraId="15E8E277">
      <w:pPr>
        <w:pStyle w:val="50"/>
        <w:numPr>
          <w:ilvl w:val="0"/>
          <w:numId w:val="1"/>
        </w:numPr>
        <w:ind w:left="0" w:firstLine="480"/>
      </w:pPr>
      <w:r>
        <w:rPr>
          <w:rFonts w:hint="eastAsia"/>
        </w:rPr>
        <w:t>《关于印发《建设项目主要污染物排放总量指标审核及管理暂行办法》的通知》（安徽省环保厅，皖环发（2013）91号，2013年10月18日）；</w:t>
      </w:r>
    </w:p>
    <w:p w14:paraId="2244AC39">
      <w:pPr>
        <w:pStyle w:val="50"/>
        <w:numPr>
          <w:ilvl w:val="0"/>
          <w:numId w:val="1"/>
        </w:numPr>
        <w:ind w:left="0" w:firstLine="480"/>
      </w:pPr>
      <w:r>
        <w:rPr>
          <w:rFonts w:hint="eastAsia"/>
        </w:rPr>
        <w:t>《安徽省“十三五”生态保护与建设规划》（省发展改革委、省科技厅、省财政厅、省国土资源厅、省环保厅、省住房城乡建设厅、省水利厅、省农委、省统计局、省林业厅、省气象局，皖发改农经[2016]482号，2016年12月26日）；</w:t>
      </w:r>
    </w:p>
    <w:p w14:paraId="5AAC9AE3">
      <w:pPr>
        <w:pStyle w:val="50"/>
        <w:numPr>
          <w:ilvl w:val="0"/>
          <w:numId w:val="1"/>
        </w:numPr>
        <w:ind w:left="0" w:firstLine="480"/>
      </w:pPr>
      <w:r>
        <w:rPr>
          <w:rFonts w:hint="eastAsia"/>
        </w:rPr>
        <w:t>《关于印发六安市大气污染防治行动计划实施细则的通知》（六安市人民政府办公室，六政[2014]23号）；</w:t>
      </w:r>
    </w:p>
    <w:p w14:paraId="37503927">
      <w:pPr>
        <w:pStyle w:val="50"/>
        <w:numPr>
          <w:ilvl w:val="0"/>
          <w:numId w:val="1"/>
        </w:numPr>
        <w:ind w:left="0" w:firstLine="480"/>
      </w:pPr>
      <w:r>
        <w:rPr>
          <w:rFonts w:hint="eastAsia"/>
        </w:rPr>
        <w:t>《六安市人民政府关于贯彻落实安徽省打赢蓝天保卫战三年行动计划实施方案的通知》（六政秘〔2018〕231号， 2018年11月13日）；</w:t>
      </w:r>
    </w:p>
    <w:p w14:paraId="2ABECF55">
      <w:pPr>
        <w:pStyle w:val="50"/>
        <w:numPr>
          <w:ilvl w:val="0"/>
          <w:numId w:val="1"/>
        </w:numPr>
        <w:ind w:left="0" w:firstLine="480"/>
      </w:pPr>
      <w:r>
        <w:rPr>
          <w:rFonts w:hint="eastAsia"/>
        </w:rPr>
        <w:t>《矿山生态环境保护与污染防治技术政策》（国家环境保护总局环发[2005]109号）；</w:t>
      </w:r>
    </w:p>
    <w:p w14:paraId="6FA419FA">
      <w:pPr>
        <w:pStyle w:val="50"/>
        <w:numPr>
          <w:ilvl w:val="0"/>
          <w:numId w:val="1"/>
        </w:numPr>
        <w:ind w:left="0" w:firstLine="480"/>
      </w:pPr>
      <w:r>
        <w:rPr>
          <w:rFonts w:hint="eastAsia"/>
        </w:rPr>
        <w:t>《矿山生态环境保护与恢复治理技术规范（试行）》（国家环境保护部，HJ651-2013）。</w:t>
      </w:r>
    </w:p>
    <w:p w14:paraId="13C23AC0">
      <w:pPr>
        <w:pStyle w:val="4"/>
      </w:pPr>
      <w:r>
        <w:rPr>
          <w:rFonts w:hint="eastAsia"/>
        </w:rPr>
        <w:t>1.</w:t>
      </w:r>
      <w:r>
        <w:t>2</w:t>
      </w:r>
      <w:r>
        <w:rPr>
          <w:rFonts w:hint="eastAsia"/>
        </w:rPr>
        <w:t>.2</w:t>
      </w:r>
      <w:r>
        <w:t xml:space="preserve"> </w:t>
      </w:r>
      <w:r>
        <w:rPr>
          <w:rFonts w:hint="eastAsia"/>
        </w:rPr>
        <w:t>技术依据</w:t>
      </w:r>
    </w:p>
    <w:p w14:paraId="4BADB52C">
      <w:pPr>
        <w:pStyle w:val="50"/>
        <w:numPr>
          <w:ilvl w:val="0"/>
          <w:numId w:val="2"/>
        </w:numPr>
        <w:ind w:left="0" w:firstLine="480"/>
      </w:pPr>
      <w:r>
        <w:rPr>
          <w:rFonts w:hint="eastAsia"/>
        </w:rPr>
        <w:t>《建设项目环境影响评价技术导则 总纲》（HJ2.1-2016）；</w:t>
      </w:r>
    </w:p>
    <w:p w14:paraId="620C275C">
      <w:pPr>
        <w:pStyle w:val="50"/>
        <w:numPr>
          <w:ilvl w:val="0"/>
          <w:numId w:val="2"/>
        </w:numPr>
        <w:ind w:left="0" w:firstLine="480"/>
      </w:pPr>
      <w:r>
        <w:rPr>
          <w:rFonts w:hint="eastAsia"/>
        </w:rPr>
        <w:t>《环境影响评价技术导则 大气环境》（HJ2.2-2018）；</w:t>
      </w:r>
    </w:p>
    <w:p w14:paraId="074ECE1D">
      <w:pPr>
        <w:pStyle w:val="50"/>
        <w:numPr>
          <w:ilvl w:val="0"/>
          <w:numId w:val="2"/>
        </w:numPr>
        <w:ind w:left="0" w:firstLine="480"/>
      </w:pPr>
      <w:r>
        <w:rPr>
          <w:rFonts w:hint="eastAsia"/>
        </w:rPr>
        <w:t>《环境影响评价技术导则 地表水环境》（HJ2.3-2018）；</w:t>
      </w:r>
    </w:p>
    <w:p w14:paraId="7545F244">
      <w:pPr>
        <w:pStyle w:val="50"/>
        <w:numPr>
          <w:ilvl w:val="0"/>
          <w:numId w:val="2"/>
        </w:numPr>
        <w:ind w:left="0" w:firstLine="480"/>
      </w:pPr>
      <w:r>
        <w:rPr>
          <w:rFonts w:hint="eastAsia"/>
        </w:rPr>
        <w:t>《环境影响评价技术导则 地下水环境》（HJ610-2016）；</w:t>
      </w:r>
    </w:p>
    <w:p w14:paraId="176C22B3">
      <w:pPr>
        <w:pStyle w:val="50"/>
        <w:numPr>
          <w:ilvl w:val="0"/>
          <w:numId w:val="2"/>
        </w:numPr>
        <w:ind w:left="0" w:firstLine="480"/>
      </w:pPr>
      <w:r>
        <w:rPr>
          <w:rFonts w:hint="eastAsia"/>
        </w:rPr>
        <w:t>《环境影响评价技术导则 声环境》（HJ2.4-2021）；</w:t>
      </w:r>
    </w:p>
    <w:p w14:paraId="12CE011D">
      <w:pPr>
        <w:pStyle w:val="50"/>
        <w:numPr>
          <w:ilvl w:val="0"/>
          <w:numId w:val="2"/>
        </w:numPr>
        <w:ind w:left="0" w:firstLine="480"/>
      </w:pPr>
      <w:r>
        <w:rPr>
          <w:rFonts w:hint="eastAsia"/>
        </w:rPr>
        <w:t>《环境影响评价技术导则 生态影响》（HJ19-2022）；</w:t>
      </w:r>
    </w:p>
    <w:p w14:paraId="040D6CC3">
      <w:pPr>
        <w:pStyle w:val="50"/>
        <w:numPr>
          <w:ilvl w:val="0"/>
          <w:numId w:val="2"/>
        </w:numPr>
        <w:ind w:left="0" w:firstLine="480"/>
      </w:pPr>
      <w:r>
        <w:rPr>
          <w:rFonts w:hint="eastAsia"/>
        </w:rPr>
        <w:t>《环境影响评价技术导则 土壤环境（试行）》（HJ964-2018）；</w:t>
      </w:r>
    </w:p>
    <w:p w14:paraId="1212234C">
      <w:pPr>
        <w:pStyle w:val="50"/>
        <w:numPr>
          <w:ilvl w:val="0"/>
          <w:numId w:val="2"/>
        </w:numPr>
        <w:ind w:left="0" w:firstLine="480"/>
      </w:pPr>
      <w:r>
        <w:rPr>
          <w:rFonts w:hint="eastAsia"/>
        </w:rPr>
        <w:t>《建设项目环境风险评价技术导则》（HJ169-2018）；</w:t>
      </w:r>
    </w:p>
    <w:p w14:paraId="5CE0E5C3">
      <w:pPr>
        <w:pStyle w:val="50"/>
        <w:numPr>
          <w:ilvl w:val="0"/>
          <w:numId w:val="2"/>
        </w:numPr>
        <w:ind w:left="0" w:firstLine="480"/>
      </w:pPr>
      <w:r>
        <w:rPr>
          <w:rFonts w:hint="eastAsia"/>
        </w:rPr>
        <w:t>《大气污染治理工程技术导则》（HJ2000-2010）；</w:t>
      </w:r>
    </w:p>
    <w:p w14:paraId="3ADB4ACC">
      <w:pPr>
        <w:pStyle w:val="50"/>
        <w:numPr>
          <w:ilvl w:val="0"/>
          <w:numId w:val="2"/>
        </w:numPr>
        <w:ind w:left="0" w:firstLine="480"/>
      </w:pPr>
      <w:r>
        <w:rPr>
          <w:rFonts w:hint="eastAsia"/>
        </w:rPr>
        <w:t>《水污染治理工程技术导则》（HJ2015-2012）；</w:t>
      </w:r>
    </w:p>
    <w:p w14:paraId="09D14F9A">
      <w:pPr>
        <w:pStyle w:val="50"/>
        <w:numPr>
          <w:ilvl w:val="0"/>
          <w:numId w:val="2"/>
        </w:numPr>
        <w:ind w:left="0" w:firstLine="480"/>
      </w:pPr>
      <w:r>
        <w:rPr>
          <w:rFonts w:hint="eastAsia"/>
        </w:rPr>
        <w:t>《环境噪声与振动控制工程技术导则》（HJ2034-2013）；</w:t>
      </w:r>
    </w:p>
    <w:p w14:paraId="3DE7721B">
      <w:pPr>
        <w:pStyle w:val="50"/>
        <w:numPr>
          <w:ilvl w:val="0"/>
          <w:numId w:val="2"/>
        </w:numPr>
        <w:ind w:left="0" w:firstLine="480"/>
      </w:pPr>
      <w:r>
        <w:rPr>
          <w:rFonts w:hint="eastAsia"/>
        </w:rPr>
        <w:t>《国家大气污染物排放标准制定技术导则》（HJ945.1-2018）；</w:t>
      </w:r>
    </w:p>
    <w:p w14:paraId="73114142">
      <w:pPr>
        <w:pStyle w:val="50"/>
        <w:numPr>
          <w:ilvl w:val="0"/>
          <w:numId w:val="2"/>
        </w:numPr>
        <w:ind w:left="0" w:firstLine="480"/>
      </w:pPr>
      <w:r>
        <w:rPr>
          <w:rFonts w:hint="eastAsia"/>
        </w:rPr>
        <w:t>《国家水污染物排放标准制定技术导则》（HJ945.1-2018）；</w:t>
      </w:r>
    </w:p>
    <w:p w14:paraId="6F1D36B7">
      <w:pPr>
        <w:pStyle w:val="50"/>
        <w:numPr>
          <w:ilvl w:val="0"/>
          <w:numId w:val="2"/>
        </w:numPr>
        <w:ind w:left="0" w:firstLine="480"/>
      </w:pPr>
      <w:r>
        <w:rPr>
          <w:rFonts w:hint="eastAsia"/>
        </w:rPr>
        <w:t>关于发布《一般工业固体废物贮存、处置场污染控制标准》（GB18599-2021）</w:t>
      </w:r>
    </w:p>
    <w:p w14:paraId="06389D0A">
      <w:pPr>
        <w:pStyle w:val="4"/>
      </w:pPr>
      <w:r>
        <w:rPr>
          <w:rFonts w:hint="eastAsia"/>
        </w:rPr>
        <w:t>1.</w:t>
      </w:r>
      <w:r>
        <w:t>2</w:t>
      </w:r>
      <w:r>
        <w:rPr>
          <w:rFonts w:hint="eastAsia"/>
        </w:rPr>
        <w:t>.3</w:t>
      </w:r>
      <w:r>
        <w:t xml:space="preserve"> </w:t>
      </w:r>
      <w:r>
        <w:rPr>
          <w:rFonts w:hint="eastAsia"/>
        </w:rPr>
        <w:t>其他技术资料</w:t>
      </w:r>
    </w:p>
    <w:p w14:paraId="4CFAA7D1">
      <w:pPr>
        <w:pStyle w:val="50"/>
        <w:numPr>
          <w:ilvl w:val="0"/>
          <w:numId w:val="3"/>
        </w:numPr>
        <w:ind w:left="0" w:firstLine="480"/>
        <w:rPr>
          <w:rFonts w:cs="Times New Roman"/>
          <w:kern w:val="0"/>
        </w:rPr>
      </w:pPr>
      <w:r>
        <w:rPr>
          <w:rFonts w:cs="Times New Roman"/>
          <w:kern w:val="0"/>
        </w:rPr>
        <w:t>《安徽金安矿业有限公司草楼铁矿 300 万 t/a 扩建工程环境影响报告书》，北京矿冶研究总院，2009 年 12 月；</w:t>
      </w:r>
    </w:p>
    <w:p w14:paraId="4704DE56">
      <w:pPr>
        <w:pStyle w:val="50"/>
        <w:numPr>
          <w:ilvl w:val="0"/>
          <w:numId w:val="3"/>
        </w:numPr>
        <w:ind w:left="0" w:firstLine="480"/>
        <w:rPr>
          <w:rFonts w:cs="Times New Roman"/>
          <w:kern w:val="0"/>
        </w:rPr>
      </w:pPr>
      <w:r>
        <w:rPr>
          <w:rFonts w:cs="Times New Roman"/>
          <w:kern w:val="0"/>
        </w:rPr>
        <w:t>环境保护部《关于安徽金安矿业有限公司草楼铁矿 300 万吨/年扩建工程环境影响报告书的批复》，环审[2010]123 号，2010 年 4 月；</w:t>
      </w:r>
    </w:p>
    <w:p w14:paraId="20D258D1">
      <w:pPr>
        <w:pStyle w:val="50"/>
        <w:numPr>
          <w:ilvl w:val="0"/>
          <w:numId w:val="3"/>
        </w:numPr>
        <w:ind w:left="0" w:firstLine="480"/>
        <w:rPr>
          <w:rFonts w:cs="Times New Roman"/>
          <w:kern w:val="0"/>
        </w:rPr>
      </w:pPr>
      <w:r>
        <w:rPr>
          <w:rFonts w:cs="Times New Roman"/>
          <w:kern w:val="0"/>
        </w:rPr>
        <w:t>《安徽金安矿业有限公司草楼铁矿 300 万吨/年扩建工程竣工环境保护验收调查报告》，环境保护部环境工程评估中心，2013 年 8 月；</w:t>
      </w:r>
    </w:p>
    <w:p w14:paraId="49EB71B6">
      <w:pPr>
        <w:pStyle w:val="50"/>
        <w:numPr>
          <w:ilvl w:val="0"/>
          <w:numId w:val="3"/>
        </w:numPr>
        <w:ind w:left="0" w:firstLine="480"/>
        <w:rPr>
          <w:rFonts w:cs="Times New Roman"/>
          <w:kern w:val="0"/>
        </w:rPr>
      </w:pPr>
      <w:r>
        <w:rPr>
          <w:rFonts w:cs="Times New Roman"/>
          <w:kern w:val="0"/>
        </w:rPr>
        <w:t>环境保护部《关于安徽金安矿业有限公司草楼铁矿 300 万吨/年扩建工程竣工环境保护验收意见的函》，环验[2013]272 号，2013 年 11 月。</w:t>
      </w:r>
    </w:p>
    <w:p w14:paraId="7AED0352">
      <w:pPr>
        <w:pStyle w:val="50"/>
        <w:numPr>
          <w:ilvl w:val="0"/>
          <w:numId w:val="3"/>
        </w:numPr>
        <w:ind w:left="0" w:firstLine="480"/>
        <w:rPr>
          <w:rFonts w:cs="Times New Roman"/>
          <w:kern w:val="0"/>
        </w:rPr>
      </w:pPr>
      <w:r>
        <w:rPr>
          <w:rFonts w:cs="Times New Roman"/>
          <w:kern w:val="0"/>
        </w:rPr>
        <w:t>《安徽省霍邱铁矿开发及深加工发展规划环境影响报告书》及审查意见，2010年8月；</w:t>
      </w:r>
    </w:p>
    <w:p w14:paraId="50C05E75">
      <w:pPr>
        <w:pStyle w:val="50"/>
        <w:numPr>
          <w:ilvl w:val="0"/>
          <w:numId w:val="3"/>
        </w:numPr>
        <w:ind w:left="0" w:firstLine="504"/>
        <w:rPr>
          <w:rFonts w:cs="Times New Roman"/>
          <w:kern w:val="0"/>
        </w:rPr>
      </w:pPr>
      <w:r>
        <w:rPr>
          <w:rFonts w:hint="eastAsia" w:cs="Times New Roman"/>
          <w:snapToGrid w:val="0"/>
          <w:spacing w:val="6"/>
          <w:kern w:val="28"/>
          <w:szCs w:val="20"/>
          <w:lang w:val="zh-CN"/>
        </w:rPr>
        <w:t>六安市环境保护局《关于年产100万吨矿山充填胶结剂项目环境影响报告表的批复》（环监</w:t>
      </w:r>
      <w:r>
        <w:rPr>
          <w:rFonts w:cs="Times New Roman"/>
          <w:snapToGrid w:val="0"/>
          <w:spacing w:val="6"/>
          <w:kern w:val="28"/>
          <w:szCs w:val="20"/>
          <w:lang w:val="zh-CN"/>
        </w:rPr>
        <w:t>[20</w:t>
      </w:r>
      <w:r>
        <w:rPr>
          <w:rFonts w:hint="eastAsia" w:cs="Times New Roman"/>
          <w:snapToGrid w:val="0"/>
          <w:spacing w:val="6"/>
          <w:kern w:val="28"/>
          <w:szCs w:val="20"/>
          <w:lang w:val="zh-CN"/>
        </w:rPr>
        <w:t>09</w:t>
      </w:r>
      <w:r>
        <w:rPr>
          <w:rFonts w:cs="Times New Roman"/>
          <w:snapToGrid w:val="0"/>
          <w:spacing w:val="6"/>
          <w:kern w:val="28"/>
          <w:szCs w:val="20"/>
          <w:lang w:val="zh-CN"/>
        </w:rPr>
        <w:t>]</w:t>
      </w:r>
      <w:r>
        <w:rPr>
          <w:rFonts w:hint="eastAsia" w:cs="Times New Roman"/>
          <w:snapToGrid w:val="0"/>
          <w:spacing w:val="6"/>
          <w:kern w:val="28"/>
          <w:szCs w:val="20"/>
          <w:lang w:val="zh-CN"/>
        </w:rPr>
        <w:t>9号）</w:t>
      </w:r>
    </w:p>
    <w:p w14:paraId="6139A863">
      <w:pPr>
        <w:pStyle w:val="50"/>
        <w:numPr>
          <w:ilvl w:val="0"/>
          <w:numId w:val="3"/>
        </w:numPr>
        <w:ind w:left="0" w:firstLine="504"/>
        <w:rPr>
          <w:rFonts w:cs="Times New Roman"/>
          <w:kern w:val="0"/>
        </w:rPr>
      </w:pPr>
      <w:r>
        <w:rPr>
          <w:rFonts w:hint="eastAsia" w:cs="Times New Roman"/>
          <w:snapToGrid w:val="0"/>
          <w:spacing w:val="6"/>
          <w:kern w:val="28"/>
          <w:szCs w:val="20"/>
          <w:lang w:val="zh-CN"/>
        </w:rPr>
        <w:t>六安市环境保护局《关于年产 100万吨矿山充填胶结剂项目一期工程竣工环境保护验收意见的函》（六环评〔2013]29号）</w:t>
      </w:r>
    </w:p>
    <w:p w14:paraId="78592B1C">
      <w:pPr>
        <w:pStyle w:val="50"/>
        <w:numPr>
          <w:ilvl w:val="0"/>
          <w:numId w:val="3"/>
        </w:numPr>
        <w:ind w:left="0" w:firstLine="480"/>
        <w:rPr>
          <w:rFonts w:cs="Times New Roman"/>
        </w:rPr>
      </w:pPr>
      <w:r>
        <w:rPr>
          <w:rFonts w:cs="Times New Roman"/>
          <w:kern w:val="0"/>
        </w:rPr>
        <w:t>《</w:t>
      </w:r>
      <w:r>
        <w:rPr>
          <w:rFonts w:hint="eastAsia" w:cs="Times New Roman"/>
          <w:kern w:val="0"/>
        </w:rPr>
        <w:t>安徽金安矿业有限公司草楼铁矿-410m以下深部开拓采矿工程</w:t>
      </w:r>
      <w:r>
        <w:rPr>
          <w:rFonts w:cs="Times New Roman"/>
          <w:kern w:val="0"/>
        </w:rPr>
        <w:t>》，</w:t>
      </w:r>
      <w:r>
        <w:rPr>
          <w:rFonts w:hint="eastAsia" w:cs="Times New Roman"/>
          <w:kern w:val="0"/>
        </w:rPr>
        <w:t>安徽长之源环境工程有限公司，</w:t>
      </w:r>
      <w:r>
        <w:rPr>
          <w:rFonts w:cs="Times New Roman"/>
          <w:kern w:val="0"/>
        </w:rPr>
        <w:t>2</w:t>
      </w:r>
      <w:r>
        <w:rPr>
          <w:rFonts w:cs="Times New Roman"/>
        </w:rPr>
        <w:t>0</w:t>
      </w:r>
      <w:r>
        <w:rPr>
          <w:rFonts w:hint="eastAsia" w:cs="Times New Roman"/>
        </w:rPr>
        <w:t>22</w:t>
      </w:r>
      <w:r>
        <w:rPr>
          <w:rFonts w:cs="Times New Roman"/>
        </w:rPr>
        <w:t>年</w:t>
      </w:r>
      <w:r>
        <w:rPr>
          <w:rFonts w:hint="eastAsia" w:cs="Times New Roman"/>
        </w:rPr>
        <w:t>7</w:t>
      </w:r>
      <w:r>
        <w:rPr>
          <w:rFonts w:cs="Times New Roman"/>
        </w:rPr>
        <w:t>月；</w:t>
      </w:r>
    </w:p>
    <w:p w14:paraId="35A38593">
      <w:pPr>
        <w:pStyle w:val="50"/>
        <w:numPr>
          <w:ilvl w:val="0"/>
          <w:numId w:val="3"/>
        </w:numPr>
        <w:ind w:left="0" w:firstLine="480"/>
        <w:rPr>
          <w:rFonts w:cs="Times New Roman"/>
        </w:rPr>
      </w:pPr>
      <w:r>
        <w:rPr>
          <w:rFonts w:hint="eastAsia" w:cs="Times New Roman"/>
        </w:rPr>
        <w:t>安徽省生态环境厅《关于安徽金安矿业有限公司草楼铁矿-410m以下深部开拓采矿工程环境影响报告书审批意见的函》（皖环函〔2022〕975号）</w:t>
      </w:r>
    </w:p>
    <w:p w14:paraId="12C38694">
      <w:pPr>
        <w:pStyle w:val="50"/>
        <w:numPr>
          <w:ilvl w:val="0"/>
          <w:numId w:val="3"/>
        </w:numPr>
        <w:ind w:left="0" w:firstLine="480"/>
      </w:pPr>
      <w:r>
        <w:rPr>
          <w:rFonts w:hint="eastAsia" w:cs="Times New Roman"/>
          <w:kern w:val="0"/>
        </w:rPr>
        <w:t>安徽金安矿业有限公司应急预案、</w:t>
      </w:r>
      <w:r>
        <w:rPr>
          <w:rFonts w:hint="eastAsia"/>
        </w:rPr>
        <w:t>排污许可证申报、例行监测等材料。</w:t>
      </w:r>
    </w:p>
    <w:p w14:paraId="583F636E">
      <w:pPr>
        <w:pStyle w:val="3"/>
      </w:pPr>
      <w:bookmarkStart w:id="18" w:name="_Toc85213485"/>
      <w:r>
        <w:rPr>
          <w:rFonts w:hint="eastAsia"/>
        </w:rPr>
        <w:t>1.3</w:t>
      </w:r>
      <w:r>
        <w:t xml:space="preserve"> </w:t>
      </w:r>
      <w:r>
        <w:rPr>
          <w:rFonts w:hint="eastAsia"/>
        </w:rPr>
        <w:t>评价内容及评价因子</w:t>
      </w:r>
      <w:bookmarkEnd w:id="18"/>
    </w:p>
    <w:p w14:paraId="436119BB">
      <w:pPr>
        <w:pStyle w:val="4"/>
      </w:pPr>
      <w:r>
        <w:rPr>
          <w:rFonts w:hint="eastAsia"/>
        </w:rPr>
        <w:t>1.3.1</w:t>
      </w:r>
      <w:r>
        <w:t xml:space="preserve"> </w:t>
      </w:r>
      <w:r>
        <w:rPr>
          <w:rFonts w:hint="eastAsia"/>
        </w:rPr>
        <w:t>评价内容</w:t>
      </w:r>
    </w:p>
    <w:p w14:paraId="3A119E9B">
      <w:pPr>
        <w:ind w:firstLine="480"/>
      </w:pPr>
      <w:r>
        <w:rPr>
          <w:rFonts w:hint="eastAsia"/>
        </w:rPr>
        <w:t>（1）回顾项目建设过程，分析项目发生的变动情况。</w:t>
      </w:r>
    </w:p>
    <w:p w14:paraId="7829DAC9">
      <w:pPr>
        <w:ind w:firstLine="480"/>
      </w:pPr>
      <w:r>
        <w:rPr>
          <w:rFonts w:hint="eastAsia"/>
        </w:rPr>
        <w:t>（2）分析区域环境变化情况，评价区域环境保护目标变化、污染源变化，以及区域环境质量变化情况。</w:t>
      </w:r>
    </w:p>
    <w:p w14:paraId="459AC448">
      <w:pPr>
        <w:ind w:firstLine="480"/>
      </w:pPr>
      <w:r>
        <w:rPr>
          <w:rFonts w:hint="eastAsia"/>
        </w:rPr>
        <w:t>（3）分析项目目前生态保护措施和污染防治的有效性，以进一步验证项目实际产生的环境影响。</w:t>
      </w:r>
    </w:p>
    <w:p w14:paraId="24F36947">
      <w:pPr>
        <w:ind w:firstLine="480"/>
      </w:pPr>
      <w:r>
        <w:rPr>
          <w:rFonts w:hint="eastAsia"/>
        </w:rPr>
        <w:t>（4）针对生产中存在的环境问题，进一步提出救方案或改进措施。</w:t>
      </w:r>
    </w:p>
    <w:p w14:paraId="4B972468">
      <w:pPr>
        <w:pStyle w:val="4"/>
      </w:pPr>
      <w:r>
        <w:rPr>
          <w:rFonts w:hint="eastAsia"/>
        </w:rPr>
        <w:t>1.3.2</w:t>
      </w:r>
      <w:r>
        <w:t xml:space="preserve"> </w:t>
      </w:r>
      <w:r>
        <w:rPr>
          <w:rFonts w:hint="eastAsia"/>
        </w:rPr>
        <w:t>评价因子</w:t>
      </w:r>
    </w:p>
    <w:p w14:paraId="5804147E">
      <w:pPr>
        <w:ind w:firstLine="480"/>
      </w:pPr>
      <w:r>
        <w:rPr>
          <w:rFonts w:hint="eastAsia"/>
        </w:rPr>
        <w:t>本项目后评价评价因子按污染源和环境质量分类给出，见表1.3-1。</w:t>
      </w:r>
    </w:p>
    <w:p w14:paraId="352B7E4B">
      <w:pPr>
        <w:pStyle w:val="18"/>
        <w:ind w:firstLine="482"/>
        <w:jc w:val="center"/>
        <w:rPr>
          <w:b/>
          <w:bCs/>
          <w:sz w:val="24"/>
          <w:szCs w:val="24"/>
        </w:rPr>
      </w:pPr>
      <w:r>
        <w:rPr>
          <w:rFonts w:hint="eastAsia"/>
          <w:b/>
          <w:bCs/>
          <w:sz w:val="24"/>
          <w:szCs w:val="24"/>
        </w:rPr>
        <w:t>表1.3-1</w:t>
      </w:r>
      <w:r>
        <w:rPr>
          <w:b/>
          <w:bCs/>
          <w:sz w:val="24"/>
          <w:szCs w:val="24"/>
        </w:rPr>
        <w:t xml:space="preserve">  </w:t>
      </w:r>
      <w:r>
        <w:rPr>
          <w:rFonts w:hint="eastAsia"/>
          <w:b/>
          <w:bCs/>
          <w:sz w:val="24"/>
          <w:szCs w:val="24"/>
        </w:rPr>
        <w:t>评价因子一览表</w:t>
      </w:r>
    </w:p>
    <w:tbl>
      <w:tblPr>
        <w:tblStyle w:val="32"/>
        <w:tblW w:w="53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671"/>
        <w:gridCol w:w="741"/>
        <w:gridCol w:w="1389"/>
        <w:gridCol w:w="6239"/>
      </w:tblGrid>
      <w:tr w14:paraId="1878E4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00" w:hRule="atLeast"/>
          <w:tblHeader/>
          <w:jc w:val="center"/>
        </w:trPr>
        <w:tc>
          <w:tcPr>
            <w:tcW w:w="371" w:type="pct"/>
            <w:tcMar>
              <w:top w:w="0" w:type="dxa"/>
              <w:bottom w:w="0" w:type="dxa"/>
            </w:tcMar>
            <w:vAlign w:val="center"/>
          </w:tcPr>
          <w:p w14:paraId="19994D5E">
            <w:pPr>
              <w:spacing w:line="240" w:lineRule="auto"/>
              <w:ind w:firstLine="0" w:firstLineChars="0"/>
              <w:jc w:val="center"/>
              <w:rPr>
                <w:b/>
                <w:bCs/>
                <w:sz w:val="21"/>
                <w:szCs w:val="21"/>
              </w:rPr>
            </w:pPr>
            <w:r>
              <w:rPr>
                <w:b/>
                <w:bCs/>
                <w:sz w:val="21"/>
                <w:szCs w:val="21"/>
              </w:rPr>
              <w:t>分类</w:t>
            </w:r>
          </w:p>
        </w:tc>
        <w:tc>
          <w:tcPr>
            <w:tcW w:w="1178" w:type="pct"/>
            <w:gridSpan w:val="2"/>
            <w:tcMar>
              <w:top w:w="0" w:type="dxa"/>
              <w:bottom w:w="0" w:type="dxa"/>
            </w:tcMar>
            <w:vAlign w:val="center"/>
          </w:tcPr>
          <w:p w14:paraId="2939C70C">
            <w:pPr>
              <w:spacing w:line="240" w:lineRule="auto"/>
              <w:ind w:firstLine="0" w:firstLineChars="0"/>
              <w:jc w:val="center"/>
              <w:rPr>
                <w:b/>
                <w:bCs/>
                <w:sz w:val="21"/>
                <w:szCs w:val="21"/>
              </w:rPr>
            </w:pPr>
            <w:r>
              <w:rPr>
                <w:b/>
                <w:bCs/>
                <w:sz w:val="21"/>
                <w:szCs w:val="21"/>
              </w:rPr>
              <w:t>要素</w:t>
            </w:r>
          </w:p>
        </w:tc>
        <w:tc>
          <w:tcPr>
            <w:tcW w:w="3452" w:type="pct"/>
            <w:tcMar>
              <w:top w:w="0" w:type="dxa"/>
              <w:bottom w:w="0" w:type="dxa"/>
            </w:tcMar>
            <w:vAlign w:val="center"/>
          </w:tcPr>
          <w:p w14:paraId="2895DE2B">
            <w:pPr>
              <w:spacing w:line="240" w:lineRule="auto"/>
              <w:ind w:firstLine="0" w:firstLineChars="0"/>
              <w:jc w:val="center"/>
              <w:rPr>
                <w:b/>
                <w:bCs/>
                <w:sz w:val="21"/>
                <w:szCs w:val="21"/>
              </w:rPr>
            </w:pPr>
            <w:r>
              <w:rPr>
                <w:rFonts w:hint="eastAsia"/>
                <w:b/>
                <w:bCs/>
                <w:sz w:val="21"/>
                <w:szCs w:val="21"/>
              </w:rPr>
              <w:t>评价</w:t>
            </w:r>
            <w:r>
              <w:rPr>
                <w:b/>
                <w:bCs/>
                <w:sz w:val="21"/>
                <w:szCs w:val="21"/>
              </w:rPr>
              <w:t>因子</w:t>
            </w:r>
          </w:p>
        </w:tc>
      </w:tr>
      <w:tr w14:paraId="27E632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63" w:hRule="atLeast"/>
          <w:jc w:val="center"/>
        </w:trPr>
        <w:tc>
          <w:tcPr>
            <w:tcW w:w="371" w:type="pct"/>
            <w:vMerge w:val="restart"/>
            <w:tcMar>
              <w:top w:w="0" w:type="dxa"/>
              <w:bottom w:w="0" w:type="dxa"/>
            </w:tcMar>
            <w:vAlign w:val="center"/>
          </w:tcPr>
          <w:p w14:paraId="70D184B0">
            <w:pPr>
              <w:spacing w:line="240" w:lineRule="auto"/>
              <w:ind w:firstLine="0" w:firstLineChars="0"/>
              <w:jc w:val="center"/>
              <w:rPr>
                <w:sz w:val="21"/>
                <w:szCs w:val="21"/>
              </w:rPr>
            </w:pPr>
            <w:r>
              <w:rPr>
                <w:sz w:val="21"/>
                <w:szCs w:val="21"/>
              </w:rPr>
              <w:t>污染源</w:t>
            </w:r>
            <w:r>
              <w:rPr>
                <w:rFonts w:hint="eastAsia"/>
                <w:sz w:val="21"/>
                <w:szCs w:val="21"/>
              </w:rPr>
              <w:t>评价</w:t>
            </w:r>
            <w:r>
              <w:rPr>
                <w:sz w:val="21"/>
                <w:szCs w:val="21"/>
              </w:rPr>
              <w:t>因子</w:t>
            </w:r>
          </w:p>
        </w:tc>
        <w:tc>
          <w:tcPr>
            <w:tcW w:w="410" w:type="pct"/>
            <w:vMerge w:val="restart"/>
            <w:tcMar>
              <w:top w:w="0" w:type="dxa"/>
              <w:bottom w:w="0" w:type="dxa"/>
            </w:tcMar>
            <w:vAlign w:val="center"/>
          </w:tcPr>
          <w:p w14:paraId="30DC3618">
            <w:pPr>
              <w:spacing w:line="240" w:lineRule="auto"/>
              <w:ind w:firstLine="0" w:firstLineChars="0"/>
              <w:jc w:val="center"/>
              <w:rPr>
                <w:sz w:val="21"/>
                <w:szCs w:val="21"/>
              </w:rPr>
            </w:pPr>
            <w:r>
              <w:rPr>
                <w:sz w:val="21"/>
                <w:szCs w:val="21"/>
              </w:rPr>
              <w:t>污废水</w:t>
            </w:r>
          </w:p>
        </w:tc>
        <w:tc>
          <w:tcPr>
            <w:tcW w:w="767" w:type="pct"/>
            <w:tcMar>
              <w:top w:w="0" w:type="dxa"/>
              <w:bottom w:w="0" w:type="dxa"/>
            </w:tcMar>
            <w:vAlign w:val="center"/>
          </w:tcPr>
          <w:p w14:paraId="0B140EC3">
            <w:pPr>
              <w:spacing w:line="240" w:lineRule="auto"/>
              <w:ind w:firstLine="0" w:firstLineChars="0"/>
              <w:jc w:val="center"/>
              <w:rPr>
                <w:sz w:val="21"/>
                <w:szCs w:val="21"/>
              </w:rPr>
            </w:pPr>
            <w:r>
              <w:rPr>
                <w:sz w:val="21"/>
                <w:szCs w:val="21"/>
              </w:rPr>
              <w:t>生活污水</w:t>
            </w:r>
          </w:p>
        </w:tc>
        <w:tc>
          <w:tcPr>
            <w:tcW w:w="3452" w:type="pct"/>
            <w:tcMar>
              <w:top w:w="0" w:type="dxa"/>
              <w:bottom w:w="0" w:type="dxa"/>
            </w:tcMar>
            <w:vAlign w:val="center"/>
          </w:tcPr>
          <w:p w14:paraId="1B8712BA">
            <w:pPr>
              <w:spacing w:line="240" w:lineRule="auto"/>
              <w:ind w:firstLine="0" w:firstLineChars="0"/>
              <w:jc w:val="center"/>
              <w:rPr>
                <w:sz w:val="21"/>
                <w:szCs w:val="21"/>
              </w:rPr>
            </w:pPr>
            <w:r>
              <w:rPr>
                <w:sz w:val="21"/>
                <w:szCs w:val="21"/>
              </w:rPr>
              <w:t>pH、COD、BOD</w:t>
            </w:r>
            <w:r>
              <w:rPr>
                <w:sz w:val="21"/>
                <w:szCs w:val="21"/>
                <w:vertAlign w:val="subscript"/>
              </w:rPr>
              <w:t>5</w:t>
            </w:r>
            <w:r>
              <w:rPr>
                <w:sz w:val="21"/>
                <w:szCs w:val="21"/>
              </w:rPr>
              <w:t>、SS、氨氮、动植物油、LAS；排水量及排放去向、处理效率和达标排放情况</w:t>
            </w:r>
          </w:p>
        </w:tc>
      </w:tr>
      <w:tr w14:paraId="18B973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764" w:hRule="atLeast"/>
          <w:jc w:val="center"/>
        </w:trPr>
        <w:tc>
          <w:tcPr>
            <w:tcW w:w="371" w:type="pct"/>
            <w:vMerge w:val="continue"/>
            <w:tcMar>
              <w:top w:w="0" w:type="dxa"/>
              <w:bottom w:w="0" w:type="dxa"/>
            </w:tcMar>
            <w:vAlign w:val="center"/>
          </w:tcPr>
          <w:p w14:paraId="4536C187">
            <w:pPr>
              <w:spacing w:line="240" w:lineRule="auto"/>
              <w:ind w:firstLine="0" w:firstLineChars="0"/>
              <w:jc w:val="center"/>
              <w:rPr>
                <w:sz w:val="21"/>
                <w:szCs w:val="21"/>
              </w:rPr>
            </w:pPr>
          </w:p>
        </w:tc>
        <w:tc>
          <w:tcPr>
            <w:tcW w:w="410" w:type="pct"/>
            <w:vMerge w:val="continue"/>
            <w:tcMar>
              <w:top w:w="0" w:type="dxa"/>
              <w:bottom w:w="0" w:type="dxa"/>
            </w:tcMar>
            <w:vAlign w:val="center"/>
          </w:tcPr>
          <w:p w14:paraId="60AB2B96">
            <w:pPr>
              <w:spacing w:line="240" w:lineRule="auto"/>
              <w:ind w:firstLine="0" w:firstLineChars="0"/>
              <w:jc w:val="center"/>
              <w:rPr>
                <w:sz w:val="21"/>
                <w:szCs w:val="21"/>
              </w:rPr>
            </w:pPr>
          </w:p>
        </w:tc>
        <w:tc>
          <w:tcPr>
            <w:tcW w:w="767" w:type="pct"/>
            <w:tcMar>
              <w:top w:w="0" w:type="dxa"/>
              <w:bottom w:w="0" w:type="dxa"/>
            </w:tcMar>
            <w:vAlign w:val="center"/>
          </w:tcPr>
          <w:p w14:paraId="21B407A4">
            <w:pPr>
              <w:spacing w:line="240" w:lineRule="auto"/>
              <w:ind w:firstLine="0" w:firstLineChars="0"/>
              <w:jc w:val="center"/>
              <w:rPr>
                <w:sz w:val="21"/>
                <w:szCs w:val="21"/>
              </w:rPr>
            </w:pPr>
            <w:r>
              <w:rPr>
                <w:sz w:val="21"/>
                <w:szCs w:val="21"/>
              </w:rPr>
              <w:t>矿井涌水</w:t>
            </w:r>
          </w:p>
        </w:tc>
        <w:tc>
          <w:tcPr>
            <w:tcW w:w="3452" w:type="pct"/>
            <w:tcMar>
              <w:top w:w="0" w:type="dxa"/>
              <w:bottom w:w="0" w:type="dxa"/>
            </w:tcMar>
            <w:vAlign w:val="center"/>
          </w:tcPr>
          <w:p w14:paraId="1295D282">
            <w:pPr>
              <w:spacing w:line="240" w:lineRule="auto"/>
              <w:ind w:firstLine="0" w:firstLineChars="0"/>
              <w:jc w:val="center"/>
              <w:rPr>
                <w:sz w:val="21"/>
                <w:szCs w:val="21"/>
              </w:rPr>
            </w:pPr>
            <w:r>
              <w:rPr>
                <w:sz w:val="21"/>
                <w:szCs w:val="21"/>
              </w:rPr>
              <w:t>pH、COD、氨氮、石油类、硫化物、氟化物、铬（六价）、总镉、总铅、总砷、总铁、总汞、总铜共13项</w:t>
            </w:r>
          </w:p>
        </w:tc>
      </w:tr>
      <w:tr w14:paraId="62E26C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576" w:hRule="atLeast"/>
          <w:jc w:val="center"/>
        </w:trPr>
        <w:tc>
          <w:tcPr>
            <w:tcW w:w="371" w:type="pct"/>
            <w:vMerge w:val="continue"/>
            <w:tcMar>
              <w:top w:w="0" w:type="dxa"/>
              <w:bottom w:w="0" w:type="dxa"/>
            </w:tcMar>
            <w:vAlign w:val="center"/>
          </w:tcPr>
          <w:p w14:paraId="1DA34B36">
            <w:pPr>
              <w:spacing w:line="240" w:lineRule="auto"/>
              <w:ind w:firstLine="0" w:firstLineChars="0"/>
              <w:jc w:val="center"/>
              <w:rPr>
                <w:sz w:val="21"/>
                <w:szCs w:val="21"/>
              </w:rPr>
            </w:pPr>
          </w:p>
        </w:tc>
        <w:tc>
          <w:tcPr>
            <w:tcW w:w="410" w:type="pct"/>
            <w:vMerge w:val="restart"/>
            <w:tcMar>
              <w:top w:w="0" w:type="dxa"/>
              <w:bottom w:w="0" w:type="dxa"/>
            </w:tcMar>
            <w:vAlign w:val="center"/>
          </w:tcPr>
          <w:p w14:paraId="1C892718">
            <w:pPr>
              <w:spacing w:line="240" w:lineRule="auto"/>
              <w:ind w:firstLine="0" w:firstLineChars="0"/>
              <w:jc w:val="center"/>
              <w:rPr>
                <w:sz w:val="21"/>
                <w:szCs w:val="21"/>
              </w:rPr>
            </w:pPr>
            <w:r>
              <w:rPr>
                <w:sz w:val="21"/>
                <w:szCs w:val="21"/>
              </w:rPr>
              <w:t>废气</w:t>
            </w:r>
          </w:p>
        </w:tc>
        <w:tc>
          <w:tcPr>
            <w:tcW w:w="767" w:type="pct"/>
            <w:tcMar>
              <w:top w:w="0" w:type="dxa"/>
              <w:bottom w:w="0" w:type="dxa"/>
            </w:tcMar>
            <w:vAlign w:val="center"/>
          </w:tcPr>
          <w:p w14:paraId="54AD7A57">
            <w:pPr>
              <w:spacing w:line="240" w:lineRule="auto"/>
              <w:ind w:firstLine="0" w:firstLineChars="0"/>
              <w:jc w:val="center"/>
              <w:rPr>
                <w:sz w:val="21"/>
                <w:szCs w:val="21"/>
              </w:rPr>
            </w:pPr>
            <w:r>
              <w:rPr>
                <w:sz w:val="21"/>
                <w:szCs w:val="21"/>
              </w:rPr>
              <w:t>破碎、筛分车间</w:t>
            </w:r>
          </w:p>
        </w:tc>
        <w:tc>
          <w:tcPr>
            <w:tcW w:w="3452" w:type="pct"/>
            <w:tcMar>
              <w:top w:w="0" w:type="dxa"/>
              <w:bottom w:w="0" w:type="dxa"/>
            </w:tcMar>
            <w:vAlign w:val="center"/>
          </w:tcPr>
          <w:p w14:paraId="1E3B4568">
            <w:pPr>
              <w:spacing w:line="240" w:lineRule="auto"/>
              <w:ind w:firstLine="0" w:firstLineChars="0"/>
              <w:jc w:val="center"/>
              <w:rPr>
                <w:sz w:val="21"/>
                <w:szCs w:val="21"/>
              </w:rPr>
            </w:pPr>
            <w:r>
              <w:rPr>
                <w:sz w:val="21"/>
                <w:szCs w:val="21"/>
              </w:rPr>
              <w:t>粉尘初始浓度及排放浓度、排放量；处理设施处理效率和达标排放情况</w:t>
            </w:r>
          </w:p>
        </w:tc>
      </w:tr>
      <w:tr w14:paraId="3F85C1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00" w:hRule="atLeast"/>
          <w:jc w:val="center"/>
        </w:trPr>
        <w:tc>
          <w:tcPr>
            <w:tcW w:w="371" w:type="pct"/>
            <w:vMerge w:val="continue"/>
            <w:tcMar>
              <w:top w:w="0" w:type="dxa"/>
              <w:bottom w:w="0" w:type="dxa"/>
            </w:tcMar>
            <w:vAlign w:val="center"/>
          </w:tcPr>
          <w:p w14:paraId="236AC818">
            <w:pPr>
              <w:spacing w:line="240" w:lineRule="auto"/>
              <w:ind w:firstLine="0" w:firstLineChars="0"/>
              <w:jc w:val="center"/>
              <w:rPr>
                <w:sz w:val="21"/>
                <w:szCs w:val="21"/>
              </w:rPr>
            </w:pPr>
          </w:p>
        </w:tc>
        <w:tc>
          <w:tcPr>
            <w:tcW w:w="410" w:type="pct"/>
            <w:vMerge w:val="continue"/>
            <w:tcMar>
              <w:top w:w="0" w:type="dxa"/>
              <w:bottom w:w="0" w:type="dxa"/>
            </w:tcMar>
            <w:vAlign w:val="center"/>
          </w:tcPr>
          <w:p w14:paraId="528B1204">
            <w:pPr>
              <w:spacing w:line="240" w:lineRule="auto"/>
              <w:ind w:firstLine="0" w:firstLineChars="0"/>
              <w:jc w:val="center"/>
              <w:rPr>
                <w:sz w:val="21"/>
                <w:szCs w:val="21"/>
              </w:rPr>
            </w:pPr>
          </w:p>
        </w:tc>
        <w:tc>
          <w:tcPr>
            <w:tcW w:w="767" w:type="pct"/>
            <w:tcMar>
              <w:top w:w="0" w:type="dxa"/>
              <w:bottom w:w="0" w:type="dxa"/>
            </w:tcMar>
            <w:vAlign w:val="center"/>
          </w:tcPr>
          <w:p w14:paraId="3C3F005D">
            <w:pPr>
              <w:spacing w:line="240" w:lineRule="auto"/>
              <w:ind w:firstLine="0" w:firstLineChars="0"/>
              <w:jc w:val="center"/>
              <w:rPr>
                <w:sz w:val="21"/>
                <w:szCs w:val="21"/>
              </w:rPr>
            </w:pPr>
            <w:r>
              <w:rPr>
                <w:sz w:val="21"/>
                <w:szCs w:val="21"/>
              </w:rPr>
              <w:t>无组织排放</w:t>
            </w:r>
          </w:p>
        </w:tc>
        <w:tc>
          <w:tcPr>
            <w:tcW w:w="3452" w:type="pct"/>
            <w:tcMar>
              <w:top w:w="0" w:type="dxa"/>
              <w:bottom w:w="0" w:type="dxa"/>
            </w:tcMar>
            <w:vAlign w:val="center"/>
          </w:tcPr>
          <w:p w14:paraId="57FDD29D">
            <w:pPr>
              <w:spacing w:line="240" w:lineRule="auto"/>
              <w:ind w:firstLine="0" w:firstLineChars="0"/>
              <w:jc w:val="center"/>
              <w:rPr>
                <w:sz w:val="21"/>
                <w:szCs w:val="21"/>
              </w:rPr>
            </w:pPr>
            <w:r>
              <w:rPr>
                <w:sz w:val="21"/>
                <w:szCs w:val="21"/>
              </w:rPr>
              <w:t>颗粒物</w:t>
            </w:r>
          </w:p>
        </w:tc>
      </w:tr>
      <w:tr w14:paraId="6947CB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15" w:hRule="atLeast"/>
          <w:jc w:val="center"/>
        </w:trPr>
        <w:tc>
          <w:tcPr>
            <w:tcW w:w="371" w:type="pct"/>
            <w:vMerge w:val="continue"/>
            <w:tcMar>
              <w:top w:w="0" w:type="dxa"/>
              <w:bottom w:w="0" w:type="dxa"/>
            </w:tcMar>
            <w:vAlign w:val="center"/>
          </w:tcPr>
          <w:p w14:paraId="09549E62">
            <w:pPr>
              <w:spacing w:line="240" w:lineRule="auto"/>
              <w:ind w:firstLine="0" w:firstLineChars="0"/>
              <w:jc w:val="center"/>
              <w:rPr>
                <w:sz w:val="21"/>
                <w:szCs w:val="21"/>
              </w:rPr>
            </w:pPr>
          </w:p>
        </w:tc>
        <w:tc>
          <w:tcPr>
            <w:tcW w:w="410" w:type="pct"/>
            <w:tcMar>
              <w:top w:w="0" w:type="dxa"/>
              <w:bottom w:w="0" w:type="dxa"/>
            </w:tcMar>
            <w:vAlign w:val="center"/>
          </w:tcPr>
          <w:p w14:paraId="0E4CC40F">
            <w:pPr>
              <w:spacing w:line="240" w:lineRule="auto"/>
              <w:ind w:firstLine="0" w:firstLineChars="0"/>
              <w:jc w:val="center"/>
              <w:rPr>
                <w:sz w:val="21"/>
                <w:szCs w:val="21"/>
              </w:rPr>
            </w:pPr>
            <w:r>
              <w:rPr>
                <w:sz w:val="21"/>
                <w:szCs w:val="21"/>
              </w:rPr>
              <w:t>噪声</w:t>
            </w:r>
          </w:p>
        </w:tc>
        <w:tc>
          <w:tcPr>
            <w:tcW w:w="767" w:type="pct"/>
            <w:tcMar>
              <w:top w:w="0" w:type="dxa"/>
              <w:bottom w:w="0" w:type="dxa"/>
            </w:tcMar>
            <w:vAlign w:val="center"/>
          </w:tcPr>
          <w:p w14:paraId="320A3E9A">
            <w:pPr>
              <w:spacing w:line="240" w:lineRule="auto"/>
              <w:ind w:firstLine="0" w:firstLineChars="0"/>
              <w:jc w:val="center"/>
              <w:rPr>
                <w:sz w:val="21"/>
                <w:szCs w:val="21"/>
              </w:rPr>
            </w:pPr>
            <w:r>
              <w:rPr>
                <w:sz w:val="21"/>
                <w:szCs w:val="21"/>
              </w:rPr>
              <w:t>厂界噪声</w:t>
            </w:r>
          </w:p>
        </w:tc>
        <w:tc>
          <w:tcPr>
            <w:tcW w:w="3452" w:type="pct"/>
            <w:tcMar>
              <w:top w:w="0" w:type="dxa"/>
              <w:bottom w:w="0" w:type="dxa"/>
            </w:tcMar>
            <w:vAlign w:val="center"/>
          </w:tcPr>
          <w:p w14:paraId="4E107AE7">
            <w:pPr>
              <w:spacing w:line="240" w:lineRule="auto"/>
              <w:ind w:firstLine="0" w:firstLineChars="0"/>
              <w:jc w:val="center"/>
              <w:rPr>
                <w:sz w:val="21"/>
                <w:szCs w:val="21"/>
              </w:rPr>
            </w:pPr>
            <w:r>
              <w:rPr>
                <w:sz w:val="21"/>
                <w:szCs w:val="21"/>
              </w:rPr>
              <w:t>昼、夜等效声级L</w:t>
            </w:r>
            <w:r>
              <w:rPr>
                <w:sz w:val="21"/>
                <w:szCs w:val="21"/>
                <w:vertAlign w:val="subscript"/>
              </w:rPr>
              <w:t>Aeq</w:t>
            </w:r>
          </w:p>
        </w:tc>
      </w:tr>
      <w:tr w14:paraId="512FAD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00" w:hRule="atLeast"/>
          <w:jc w:val="center"/>
        </w:trPr>
        <w:tc>
          <w:tcPr>
            <w:tcW w:w="371" w:type="pct"/>
            <w:vMerge w:val="continue"/>
            <w:tcMar>
              <w:top w:w="0" w:type="dxa"/>
              <w:bottom w:w="0" w:type="dxa"/>
            </w:tcMar>
            <w:vAlign w:val="center"/>
          </w:tcPr>
          <w:p w14:paraId="0253264F">
            <w:pPr>
              <w:spacing w:line="240" w:lineRule="auto"/>
              <w:ind w:firstLine="0" w:firstLineChars="0"/>
              <w:jc w:val="center"/>
              <w:rPr>
                <w:sz w:val="21"/>
                <w:szCs w:val="21"/>
              </w:rPr>
            </w:pPr>
          </w:p>
        </w:tc>
        <w:tc>
          <w:tcPr>
            <w:tcW w:w="1178" w:type="pct"/>
            <w:gridSpan w:val="2"/>
            <w:tcMar>
              <w:top w:w="0" w:type="dxa"/>
              <w:bottom w:w="0" w:type="dxa"/>
            </w:tcMar>
            <w:vAlign w:val="center"/>
          </w:tcPr>
          <w:p w14:paraId="4AF149CA">
            <w:pPr>
              <w:spacing w:line="240" w:lineRule="auto"/>
              <w:ind w:firstLine="0" w:firstLineChars="0"/>
              <w:jc w:val="center"/>
              <w:rPr>
                <w:sz w:val="21"/>
                <w:szCs w:val="21"/>
              </w:rPr>
            </w:pPr>
            <w:r>
              <w:rPr>
                <w:sz w:val="21"/>
                <w:szCs w:val="21"/>
              </w:rPr>
              <w:t>固体废物</w:t>
            </w:r>
          </w:p>
        </w:tc>
        <w:tc>
          <w:tcPr>
            <w:tcW w:w="3452" w:type="pct"/>
            <w:tcMar>
              <w:top w:w="0" w:type="dxa"/>
              <w:bottom w:w="0" w:type="dxa"/>
            </w:tcMar>
            <w:vAlign w:val="center"/>
          </w:tcPr>
          <w:p w14:paraId="25A8A0DB">
            <w:pPr>
              <w:spacing w:line="240" w:lineRule="auto"/>
              <w:ind w:firstLine="0" w:firstLineChars="0"/>
              <w:jc w:val="center"/>
              <w:rPr>
                <w:sz w:val="21"/>
                <w:szCs w:val="21"/>
              </w:rPr>
            </w:pPr>
            <w:r>
              <w:rPr>
                <w:sz w:val="21"/>
                <w:szCs w:val="21"/>
              </w:rPr>
              <w:t>废石、尾矿、生活垃圾、污泥</w:t>
            </w:r>
            <w:r>
              <w:rPr>
                <w:rFonts w:hint="eastAsia"/>
                <w:sz w:val="21"/>
                <w:szCs w:val="21"/>
              </w:rPr>
              <w:t>、废机油</w:t>
            </w:r>
          </w:p>
        </w:tc>
      </w:tr>
      <w:tr w14:paraId="4C52D7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756" w:hRule="atLeast"/>
          <w:jc w:val="center"/>
        </w:trPr>
        <w:tc>
          <w:tcPr>
            <w:tcW w:w="371" w:type="pct"/>
            <w:vMerge w:val="restart"/>
            <w:tcMar>
              <w:top w:w="0" w:type="dxa"/>
              <w:bottom w:w="0" w:type="dxa"/>
            </w:tcMar>
            <w:vAlign w:val="center"/>
          </w:tcPr>
          <w:p w14:paraId="2D146DD9">
            <w:pPr>
              <w:spacing w:line="240" w:lineRule="auto"/>
              <w:ind w:firstLine="0" w:firstLineChars="0"/>
              <w:jc w:val="center"/>
              <w:rPr>
                <w:sz w:val="21"/>
                <w:szCs w:val="21"/>
              </w:rPr>
            </w:pPr>
            <w:r>
              <w:rPr>
                <w:sz w:val="21"/>
                <w:szCs w:val="21"/>
              </w:rPr>
              <w:t>环境质量</w:t>
            </w:r>
            <w:r>
              <w:rPr>
                <w:rFonts w:hint="eastAsia"/>
                <w:sz w:val="21"/>
                <w:szCs w:val="21"/>
              </w:rPr>
              <w:t>评价</w:t>
            </w:r>
            <w:r>
              <w:rPr>
                <w:sz w:val="21"/>
                <w:szCs w:val="21"/>
              </w:rPr>
              <w:t>因子</w:t>
            </w:r>
          </w:p>
        </w:tc>
        <w:tc>
          <w:tcPr>
            <w:tcW w:w="410" w:type="pct"/>
            <w:vMerge w:val="restart"/>
            <w:tcMar>
              <w:top w:w="0" w:type="dxa"/>
              <w:bottom w:w="0" w:type="dxa"/>
            </w:tcMar>
            <w:vAlign w:val="center"/>
          </w:tcPr>
          <w:p w14:paraId="03C6DC07">
            <w:pPr>
              <w:spacing w:line="240" w:lineRule="auto"/>
              <w:ind w:firstLine="0" w:firstLineChars="0"/>
              <w:jc w:val="center"/>
              <w:rPr>
                <w:sz w:val="21"/>
                <w:szCs w:val="21"/>
              </w:rPr>
            </w:pPr>
            <w:r>
              <w:rPr>
                <w:sz w:val="21"/>
                <w:szCs w:val="21"/>
              </w:rPr>
              <w:t>水环境</w:t>
            </w:r>
          </w:p>
        </w:tc>
        <w:tc>
          <w:tcPr>
            <w:tcW w:w="767" w:type="pct"/>
            <w:tcMar>
              <w:top w:w="0" w:type="dxa"/>
              <w:bottom w:w="0" w:type="dxa"/>
            </w:tcMar>
            <w:vAlign w:val="center"/>
          </w:tcPr>
          <w:p w14:paraId="7EF3A2E0">
            <w:pPr>
              <w:spacing w:line="240" w:lineRule="auto"/>
              <w:ind w:firstLine="0" w:firstLineChars="0"/>
              <w:jc w:val="center"/>
              <w:rPr>
                <w:sz w:val="21"/>
                <w:szCs w:val="21"/>
              </w:rPr>
            </w:pPr>
            <w:r>
              <w:rPr>
                <w:sz w:val="21"/>
                <w:szCs w:val="21"/>
              </w:rPr>
              <w:t>地下水</w:t>
            </w:r>
          </w:p>
        </w:tc>
        <w:tc>
          <w:tcPr>
            <w:tcW w:w="3452" w:type="pct"/>
            <w:tcMar>
              <w:top w:w="0" w:type="dxa"/>
              <w:bottom w:w="0" w:type="dxa"/>
            </w:tcMar>
            <w:vAlign w:val="center"/>
          </w:tcPr>
          <w:p w14:paraId="63BC5D44">
            <w:pPr>
              <w:spacing w:line="240" w:lineRule="auto"/>
              <w:ind w:firstLine="0" w:firstLineChars="0"/>
              <w:jc w:val="center"/>
              <w:rPr>
                <w:sz w:val="21"/>
                <w:szCs w:val="21"/>
              </w:rPr>
            </w:pPr>
            <w:r>
              <w:rPr>
                <w:spacing w:val="-8"/>
                <w:sz w:val="21"/>
                <w:szCs w:val="21"/>
              </w:rPr>
              <w:t>pH、氨氮、六价铬、总硬度、氟化物、硫酸盐、硝酸盐、亚硝酸盐、镉、铜、铁、锰、锌、铅、砷、汞、</w:t>
            </w:r>
            <w:r>
              <w:rPr>
                <w:rFonts w:hint="eastAsia"/>
                <w:spacing w:val="-8"/>
                <w:sz w:val="21"/>
                <w:szCs w:val="21"/>
              </w:rPr>
              <w:t>耗氧量等</w:t>
            </w:r>
            <w:r>
              <w:rPr>
                <w:spacing w:val="-8"/>
                <w:sz w:val="21"/>
                <w:szCs w:val="21"/>
              </w:rPr>
              <w:t>，同时记录井深、水位</w:t>
            </w:r>
          </w:p>
        </w:tc>
      </w:tr>
      <w:tr w14:paraId="000A6C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10" w:hRule="atLeast"/>
          <w:jc w:val="center"/>
        </w:trPr>
        <w:tc>
          <w:tcPr>
            <w:tcW w:w="371" w:type="pct"/>
            <w:vMerge w:val="continue"/>
            <w:tcMar>
              <w:top w:w="0" w:type="dxa"/>
              <w:bottom w:w="0" w:type="dxa"/>
            </w:tcMar>
            <w:vAlign w:val="center"/>
          </w:tcPr>
          <w:p w14:paraId="211446F6">
            <w:pPr>
              <w:spacing w:line="240" w:lineRule="auto"/>
              <w:ind w:firstLine="0" w:firstLineChars="0"/>
              <w:jc w:val="center"/>
              <w:rPr>
                <w:sz w:val="21"/>
                <w:szCs w:val="21"/>
              </w:rPr>
            </w:pPr>
          </w:p>
        </w:tc>
        <w:tc>
          <w:tcPr>
            <w:tcW w:w="410" w:type="pct"/>
            <w:vMerge w:val="continue"/>
            <w:tcMar>
              <w:top w:w="0" w:type="dxa"/>
              <w:bottom w:w="0" w:type="dxa"/>
            </w:tcMar>
            <w:vAlign w:val="center"/>
          </w:tcPr>
          <w:p w14:paraId="21F31EC4">
            <w:pPr>
              <w:spacing w:line="240" w:lineRule="auto"/>
              <w:ind w:firstLine="0" w:firstLineChars="0"/>
              <w:jc w:val="center"/>
              <w:rPr>
                <w:sz w:val="21"/>
                <w:szCs w:val="21"/>
              </w:rPr>
            </w:pPr>
          </w:p>
        </w:tc>
        <w:tc>
          <w:tcPr>
            <w:tcW w:w="767" w:type="pct"/>
            <w:tcMar>
              <w:top w:w="0" w:type="dxa"/>
              <w:bottom w:w="0" w:type="dxa"/>
            </w:tcMar>
            <w:vAlign w:val="center"/>
          </w:tcPr>
          <w:p w14:paraId="06EFFF0D">
            <w:pPr>
              <w:spacing w:line="240" w:lineRule="auto"/>
              <w:ind w:firstLine="0" w:firstLineChars="0"/>
              <w:jc w:val="center"/>
              <w:rPr>
                <w:sz w:val="21"/>
                <w:szCs w:val="21"/>
              </w:rPr>
            </w:pPr>
            <w:r>
              <w:rPr>
                <w:sz w:val="21"/>
                <w:szCs w:val="21"/>
              </w:rPr>
              <w:t>地表水</w:t>
            </w:r>
          </w:p>
        </w:tc>
        <w:tc>
          <w:tcPr>
            <w:tcW w:w="3452" w:type="pct"/>
            <w:tcMar>
              <w:top w:w="0" w:type="dxa"/>
              <w:bottom w:w="0" w:type="dxa"/>
            </w:tcMar>
            <w:vAlign w:val="center"/>
          </w:tcPr>
          <w:p w14:paraId="401851E4">
            <w:pPr>
              <w:spacing w:line="240" w:lineRule="auto"/>
              <w:ind w:firstLine="0" w:firstLineChars="0"/>
              <w:jc w:val="center"/>
              <w:rPr>
                <w:spacing w:val="-8"/>
                <w:sz w:val="21"/>
                <w:szCs w:val="21"/>
              </w:rPr>
            </w:pPr>
            <w:r>
              <w:rPr>
                <w:spacing w:val="-8"/>
                <w:sz w:val="21"/>
                <w:szCs w:val="21"/>
              </w:rPr>
              <w:t>调查地表水系分布情况，水量及水质状况</w:t>
            </w:r>
          </w:p>
        </w:tc>
      </w:tr>
      <w:tr w14:paraId="0DA4A6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68" w:hRule="atLeast"/>
          <w:jc w:val="center"/>
        </w:trPr>
        <w:tc>
          <w:tcPr>
            <w:tcW w:w="371" w:type="pct"/>
            <w:vMerge w:val="continue"/>
            <w:tcMar>
              <w:top w:w="0" w:type="dxa"/>
              <w:bottom w:w="0" w:type="dxa"/>
            </w:tcMar>
            <w:vAlign w:val="center"/>
          </w:tcPr>
          <w:p w14:paraId="2AE5A83C">
            <w:pPr>
              <w:spacing w:line="240" w:lineRule="auto"/>
              <w:ind w:firstLine="0" w:firstLineChars="0"/>
              <w:jc w:val="center"/>
              <w:rPr>
                <w:sz w:val="21"/>
                <w:szCs w:val="21"/>
              </w:rPr>
            </w:pPr>
          </w:p>
        </w:tc>
        <w:tc>
          <w:tcPr>
            <w:tcW w:w="1178" w:type="pct"/>
            <w:gridSpan w:val="2"/>
            <w:tcMar>
              <w:top w:w="0" w:type="dxa"/>
              <w:bottom w:w="0" w:type="dxa"/>
            </w:tcMar>
            <w:vAlign w:val="center"/>
          </w:tcPr>
          <w:p w14:paraId="4773D91E">
            <w:pPr>
              <w:spacing w:line="240" w:lineRule="auto"/>
              <w:ind w:firstLine="0" w:firstLineChars="0"/>
              <w:jc w:val="center"/>
              <w:rPr>
                <w:sz w:val="21"/>
                <w:szCs w:val="21"/>
              </w:rPr>
            </w:pPr>
            <w:r>
              <w:rPr>
                <w:sz w:val="21"/>
                <w:szCs w:val="21"/>
              </w:rPr>
              <w:t>环境空气</w:t>
            </w:r>
          </w:p>
        </w:tc>
        <w:tc>
          <w:tcPr>
            <w:tcW w:w="3452" w:type="pct"/>
            <w:tcMar>
              <w:top w:w="0" w:type="dxa"/>
              <w:bottom w:w="0" w:type="dxa"/>
            </w:tcMar>
            <w:vAlign w:val="center"/>
          </w:tcPr>
          <w:p w14:paraId="425D3AC6">
            <w:pPr>
              <w:spacing w:line="240" w:lineRule="auto"/>
              <w:ind w:firstLine="0" w:firstLineChars="0"/>
              <w:jc w:val="center"/>
              <w:rPr>
                <w:sz w:val="21"/>
                <w:szCs w:val="21"/>
              </w:rPr>
            </w:pPr>
            <w:r>
              <w:rPr>
                <w:sz w:val="21"/>
                <w:szCs w:val="21"/>
              </w:rPr>
              <w:t>PM</w:t>
            </w:r>
            <w:r>
              <w:rPr>
                <w:sz w:val="21"/>
                <w:szCs w:val="21"/>
                <w:vertAlign w:val="subscript"/>
              </w:rPr>
              <w:t>10</w:t>
            </w:r>
            <w:r>
              <w:rPr>
                <w:sz w:val="21"/>
                <w:szCs w:val="21"/>
              </w:rPr>
              <w:t>、PM</w:t>
            </w:r>
            <w:r>
              <w:rPr>
                <w:sz w:val="21"/>
                <w:szCs w:val="21"/>
                <w:vertAlign w:val="subscript"/>
              </w:rPr>
              <w:t>2.5</w:t>
            </w:r>
            <w:r>
              <w:rPr>
                <w:sz w:val="21"/>
                <w:szCs w:val="21"/>
              </w:rPr>
              <w:t>、TSP、SO</w:t>
            </w:r>
            <w:r>
              <w:rPr>
                <w:sz w:val="21"/>
                <w:szCs w:val="21"/>
                <w:vertAlign w:val="subscript"/>
              </w:rPr>
              <w:t>2</w:t>
            </w:r>
            <w:r>
              <w:rPr>
                <w:sz w:val="21"/>
                <w:szCs w:val="21"/>
              </w:rPr>
              <w:t>、NO</w:t>
            </w:r>
            <w:r>
              <w:rPr>
                <w:sz w:val="21"/>
                <w:szCs w:val="21"/>
                <w:vertAlign w:val="subscript"/>
              </w:rPr>
              <w:t>2</w:t>
            </w:r>
          </w:p>
        </w:tc>
      </w:tr>
      <w:tr w14:paraId="00AD44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68" w:hRule="atLeast"/>
          <w:jc w:val="center"/>
        </w:trPr>
        <w:tc>
          <w:tcPr>
            <w:tcW w:w="371" w:type="pct"/>
            <w:vMerge w:val="continue"/>
            <w:tcMar>
              <w:top w:w="0" w:type="dxa"/>
              <w:bottom w:w="0" w:type="dxa"/>
            </w:tcMar>
            <w:vAlign w:val="center"/>
          </w:tcPr>
          <w:p w14:paraId="12FBBF07">
            <w:pPr>
              <w:spacing w:line="240" w:lineRule="auto"/>
              <w:ind w:firstLine="0" w:firstLineChars="0"/>
              <w:jc w:val="center"/>
              <w:rPr>
                <w:sz w:val="21"/>
                <w:szCs w:val="21"/>
              </w:rPr>
            </w:pPr>
          </w:p>
        </w:tc>
        <w:tc>
          <w:tcPr>
            <w:tcW w:w="1178" w:type="pct"/>
            <w:gridSpan w:val="2"/>
            <w:tcMar>
              <w:top w:w="0" w:type="dxa"/>
              <w:bottom w:w="0" w:type="dxa"/>
            </w:tcMar>
            <w:vAlign w:val="center"/>
          </w:tcPr>
          <w:p w14:paraId="5EDC1C0C">
            <w:pPr>
              <w:spacing w:line="240" w:lineRule="auto"/>
              <w:ind w:firstLine="0" w:firstLineChars="0"/>
              <w:jc w:val="center"/>
              <w:rPr>
                <w:sz w:val="21"/>
                <w:szCs w:val="21"/>
              </w:rPr>
            </w:pPr>
            <w:r>
              <w:rPr>
                <w:rFonts w:hint="eastAsia"/>
                <w:sz w:val="21"/>
                <w:szCs w:val="21"/>
              </w:rPr>
              <w:t>土壤</w:t>
            </w:r>
          </w:p>
        </w:tc>
        <w:tc>
          <w:tcPr>
            <w:tcW w:w="3452" w:type="pct"/>
            <w:tcMar>
              <w:top w:w="0" w:type="dxa"/>
              <w:bottom w:w="0" w:type="dxa"/>
            </w:tcMar>
            <w:vAlign w:val="center"/>
          </w:tcPr>
          <w:p w14:paraId="3D2CF484">
            <w:pPr>
              <w:spacing w:line="240" w:lineRule="auto"/>
              <w:ind w:firstLine="0" w:firstLineChars="0"/>
              <w:jc w:val="center"/>
              <w:rPr>
                <w:sz w:val="21"/>
                <w:szCs w:val="21"/>
              </w:rPr>
            </w:pPr>
            <w:r>
              <w:rPr>
                <w:rFonts w:cs="Times New Roman"/>
                <w:spacing w:val="-1"/>
                <w:sz w:val="21"/>
                <w:szCs w:val="21"/>
              </w:rPr>
              <w:t>pH值以及45项基础因子</w:t>
            </w:r>
          </w:p>
        </w:tc>
      </w:tr>
      <w:tr w14:paraId="042D9E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68" w:hRule="atLeast"/>
          <w:jc w:val="center"/>
        </w:trPr>
        <w:tc>
          <w:tcPr>
            <w:tcW w:w="371" w:type="pct"/>
            <w:vMerge w:val="continue"/>
            <w:tcMar>
              <w:top w:w="0" w:type="dxa"/>
              <w:bottom w:w="0" w:type="dxa"/>
            </w:tcMar>
            <w:vAlign w:val="center"/>
          </w:tcPr>
          <w:p w14:paraId="00A0F83F">
            <w:pPr>
              <w:spacing w:line="240" w:lineRule="auto"/>
              <w:ind w:firstLine="0" w:firstLineChars="0"/>
              <w:jc w:val="center"/>
              <w:rPr>
                <w:sz w:val="21"/>
                <w:szCs w:val="21"/>
              </w:rPr>
            </w:pPr>
          </w:p>
        </w:tc>
        <w:tc>
          <w:tcPr>
            <w:tcW w:w="1178" w:type="pct"/>
            <w:gridSpan w:val="2"/>
            <w:tcMar>
              <w:top w:w="0" w:type="dxa"/>
              <w:bottom w:w="0" w:type="dxa"/>
            </w:tcMar>
            <w:vAlign w:val="center"/>
          </w:tcPr>
          <w:p w14:paraId="3A604B93">
            <w:pPr>
              <w:spacing w:line="240" w:lineRule="auto"/>
              <w:ind w:firstLine="0" w:firstLineChars="0"/>
              <w:jc w:val="center"/>
              <w:rPr>
                <w:sz w:val="21"/>
                <w:szCs w:val="21"/>
              </w:rPr>
            </w:pPr>
            <w:r>
              <w:rPr>
                <w:sz w:val="21"/>
                <w:szCs w:val="21"/>
              </w:rPr>
              <w:t>环境噪声</w:t>
            </w:r>
          </w:p>
        </w:tc>
        <w:tc>
          <w:tcPr>
            <w:tcW w:w="3452" w:type="pct"/>
            <w:tcMar>
              <w:top w:w="0" w:type="dxa"/>
              <w:bottom w:w="0" w:type="dxa"/>
            </w:tcMar>
            <w:vAlign w:val="center"/>
          </w:tcPr>
          <w:p w14:paraId="1B401335">
            <w:pPr>
              <w:spacing w:line="240" w:lineRule="auto"/>
              <w:ind w:firstLine="0" w:firstLineChars="0"/>
              <w:jc w:val="center"/>
              <w:rPr>
                <w:sz w:val="21"/>
                <w:szCs w:val="21"/>
              </w:rPr>
            </w:pPr>
            <w:r>
              <w:rPr>
                <w:sz w:val="21"/>
                <w:szCs w:val="21"/>
              </w:rPr>
              <w:t>昼夜等效连续A声级</w:t>
            </w:r>
          </w:p>
        </w:tc>
      </w:tr>
      <w:tr w14:paraId="182A94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542" w:hRule="atLeast"/>
          <w:jc w:val="center"/>
        </w:trPr>
        <w:tc>
          <w:tcPr>
            <w:tcW w:w="371" w:type="pct"/>
            <w:vMerge w:val="continue"/>
            <w:tcMar>
              <w:top w:w="0" w:type="dxa"/>
              <w:bottom w:w="0" w:type="dxa"/>
            </w:tcMar>
            <w:vAlign w:val="center"/>
          </w:tcPr>
          <w:p w14:paraId="651976CA">
            <w:pPr>
              <w:spacing w:line="240" w:lineRule="auto"/>
              <w:ind w:firstLine="0" w:firstLineChars="0"/>
              <w:jc w:val="center"/>
              <w:rPr>
                <w:sz w:val="21"/>
                <w:szCs w:val="21"/>
              </w:rPr>
            </w:pPr>
          </w:p>
        </w:tc>
        <w:tc>
          <w:tcPr>
            <w:tcW w:w="1178" w:type="pct"/>
            <w:gridSpan w:val="2"/>
            <w:tcMar>
              <w:top w:w="0" w:type="dxa"/>
              <w:bottom w:w="0" w:type="dxa"/>
            </w:tcMar>
            <w:vAlign w:val="center"/>
          </w:tcPr>
          <w:p w14:paraId="1CEF12CE">
            <w:pPr>
              <w:spacing w:line="240" w:lineRule="auto"/>
              <w:ind w:firstLine="0" w:firstLineChars="0"/>
              <w:jc w:val="center"/>
              <w:rPr>
                <w:sz w:val="21"/>
                <w:szCs w:val="21"/>
              </w:rPr>
            </w:pPr>
            <w:r>
              <w:rPr>
                <w:sz w:val="21"/>
                <w:szCs w:val="21"/>
              </w:rPr>
              <w:t>生态环境</w:t>
            </w:r>
          </w:p>
        </w:tc>
        <w:tc>
          <w:tcPr>
            <w:tcW w:w="3452" w:type="pct"/>
            <w:tcMar>
              <w:top w:w="0" w:type="dxa"/>
              <w:bottom w:w="0" w:type="dxa"/>
            </w:tcMar>
            <w:vAlign w:val="center"/>
          </w:tcPr>
          <w:p w14:paraId="1AB12023">
            <w:pPr>
              <w:spacing w:line="240" w:lineRule="auto"/>
              <w:ind w:firstLine="0" w:firstLineChars="0"/>
              <w:jc w:val="center"/>
              <w:rPr>
                <w:sz w:val="21"/>
                <w:szCs w:val="21"/>
              </w:rPr>
            </w:pPr>
            <w:r>
              <w:rPr>
                <w:sz w:val="21"/>
                <w:szCs w:val="21"/>
              </w:rPr>
              <w:t>工程永久性和临时性征用土地类型；永久性征地后土地利用格局变化；临时性占地生态恢复以及对自然生态环境的影响；矿区地表变形情况；沉降区、尾矿库水土流失情况；边坡等防护工程及其效果；绿化工程及其效果。</w:t>
            </w:r>
          </w:p>
        </w:tc>
      </w:tr>
    </w:tbl>
    <w:p w14:paraId="0507C559">
      <w:pPr>
        <w:pStyle w:val="3"/>
      </w:pPr>
      <w:bookmarkStart w:id="19" w:name="_Toc85213486"/>
      <w:r>
        <w:rPr>
          <w:rFonts w:hint="eastAsia"/>
        </w:rPr>
        <w:t>1.4</w:t>
      </w:r>
      <w:r>
        <w:t xml:space="preserve"> </w:t>
      </w:r>
      <w:r>
        <w:rPr>
          <w:rFonts w:hint="eastAsia"/>
        </w:rPr>
        <w:t>评价标准</w:t>
      </w:r>
      <w:bookmarkEnd w:id="19"/>
    </w:p>
    <w:p w14:paraId="342715D3">
      <w:pPr>
        <w:pStyle w:val="4"/>
      </w:pPr>
      <w:r>
        <w:rPr>
          <w:rFonts w:hint="eastAsia"/>
        </w:rPr>
        <w:t>1.4.1</w:t>
      </w:r>
      <w:r>
        <w:t xml:space="preserve"> </w:t>
      </w:r>
      <w:r>
        <w:rPr>
          <w:rFonts w:hint="eastAsia"/>
        </w:rPr>
        <w:t>环境质量标准</w:t>
      </w:r>
    </w:p>
    <w:p w14:paraId="0C661A3D">
      <w:pPr>
        <w:ind w:firstLine="482"/>
        <w:rPr>
          <w:b/>
          <w:bCs/>
        </w:rPr>
      </w:pPr>
      <w:r>
        <w:rPr>
          <w:rFonts w:hint="eastAsia"/>
          <w:b/>
          <w:bCs/>
        </w:rPr>
        <w:t>（1）环境空气</w:t>
      </w:r>
    </w:p>
    <w:p w14:paraId="33F5FCE7">
      <w:pPr>
        <w:ind w:firstLine="480"/>
      </w:pPr>
      <w:r>
        <w:rPr>
          <w:rFonts w:hint="eastAsia"/>
        </w:rPr>
        <w:t>后评价阶段与环评及验收阶段相比，环境空气质量执行标准未发生变化。区域环境空气执行《环境空气质量标准》（GB3095-2012）二级标准及其修改清单，具体标准值见表1.4-1。</w:t>
      </w:r>
    </w:p>
    <w:p w14:paraId="1C47BC06">
      <w:pPr>
        <w:pStyle w:val="18"/>
        <w:ind w:firstLine="482"/>
        <w:jc w:val="center"/>
        <w:rPr>
          <w:b/>
          <w:bCs/>
          <w:sz w:val="24"/>
          <w:szCs w:val="24"/>
        </w:rPr>
      </w:pPr>
      <w:r>
        <w:rPr>
          <w:b/>
          <w:bCs/>
          <w:sz w:val="24"/>
          <w:szCs w:val="24"/>
        </w:rPr>
        <w:t>表</w:t>
      </w:r>
      <w:r>
        <w:rPr>
          <w:rFonts w:hint="eastAsia"/>
          <w:b/>
          <w:bCs/>
          <w:sz w:val="24"/>
          <w:szCs w:val="24"/>
        </w:rPr>
        <w:t xml:space="preserve">1.4-1  </w:t>
      </w:r>
      <w:r>
        <w:rPr>
          <w:b/>
          <w:bCs/>
          <w:sz w:val="24"/>
          <w:szCs w:val="24"/>
        </w:rPr>
        <w:t>环境空气质量标准一览表</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9"/>
        <w:gridCol w:w="2569"/>
        <w:gridCol w:w="2161"/>
        <w:gridCol w:w="2209"/>
      </w:tblGrid>
      <w:tr w14:paraId="0B58AE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932" w:type="pct"/>
            <w:vAlign w:val="center"/>
          </w:tcPr>
          <w:p w14:paraId="0704E85B">
            <w:pPr>
              <w:spacing w:line="240" w:lineRule="auto"/>
              <w:ind w:firstLine="0" w:firstLineChars="0"/>
              <w:jc w:val="center"/>
              <w:rPr>
                <w:b/>
                <w:bCs/>
                <w:sz w:val="21"/>
                <w:szCs w:val="21"/>
              </w:rPr>
            </w:pPr>
            <w:r>
              <w:rPr>
                <w:b/>
                <w:bCs/>
                <w:sz w:val="21"/>
                <w:szCs w:val="21"/>
              </w:rPr>
              <w:t>污染物</w:t>
            </w:r>
          </w:p>
        </w:tc>
        <w:tc>
          <w:tcPr>
            <w:tcW w:w="1506" w:type="pct"/>
            <w:vAlign w:val="center"/>
          </w:tcPr>
          <w:p w14:paraId="6252AB0C">
            <w:pPr>
              <w:spacing w:line="240" w:lineRule="auto"/>
              <w:ind w:firstLine="0" w:firstLineChars="0"/>
              <w:jc w:val="center"/>
              <w:rPr>
                <w:b/>
                <w:bCs/>
                <w:sz w:val="21"/>
                <w:szCs w:val="21"/>
              </w:rPr>
            </w:pPr>
            <w:r>
              <w:rPr>
                <w:b/>
                <w:bCs/>
                <w:sz w:val="21"/>
                <w:szCs w:val="21"/>
              </w:rPr>
              <w:t>取值时间</w:t>
            </w:r>
          </w:p>
        </w:tc>
        <w:tc>
          <w:tcPr>
            <w:tcW w:w="1267" w:type="pct"/>
            <w:vAlign w:val="center"/>
          </w:tcPr>
          <w:p w14:paraId="1878C9D9">
            <w:pPr>
              <w:spacing w:line="240" w:lineRule="auto"/>
              <w:ind w:firstLine="0" w:firstLineChars="0"/>
              <w:jc w:val="center"/>
              <w:rPr>
                <w:b/>
                <w:bCs/>
                <w:sz w:val="21"/>
                <w:szCs w:val="21"/>
              </w:rPr>
            </w:pPr>
            <w:r>
              <w:rPr>
                <w:b/>
                <w:bCs/>
                <w:sz w:val="21"/>
                <w:szCs w:val="21"/>
              </w:rPr>
              <w:t>二级标准浓度限值（μg/Nm</w:t>
            </w:r>
            <w:r>
              <w:rPr>
                <w:b/>
                <w:bCs/>
                <w:sz w:val="21"/>
                <w:szCs w:val="21"/>
                <w:vertAlign w:val="superscript"/>
              </w:rPr>
              <w:t>3</w:t>
            </w:r>
            <w:r>
              <w:rPr>
                <w:b/>
                <w:bCs/>
                <w:sz w:val="21"/>
                <w:szCs w:val="21"/>
              </w:rPr>
              <w:t>）</w:t>
            </w:r>
          </w:p>
        </w:tc>
        <w:tc>
          <w:tcPr>
            <w:tcW w:w="1295" w:type="pct"/>
            <w:vAlign w:val="center"/>
          </w:tcPr>
          <w:p w14:paraId="6CE43F2E">
            <w:pPr>
              <w:spacing w:line="240" w:lineRule="auto"/>
              <w:ind w:firstLine="0" w:firstLineChars="0"/>
              <w:jc w:val="center"/>
              <w:rPr>
                <w:b/>
                <w:bCs/>
                <w:sz w:val="21"/>
                <w:szCs w:val="21"/>
              </w:rPr>
            </w:pPr>
            <w:r>
              <w:rPr>
                <w:b/>
                <w:bCs/>
                <w:sz w:val="21"/>
                <w:szCs w:val="21"/>
              </w:rPr>
              <w:t>标准来源</w:t>
            </w:r>
          </w:p>
        </w:tc>
      </w:tr>
      <w:tr w14:paraId="199FD0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restart"/>
            <w:vAlign w:val="center"/>
          </w:tcPr>
          <w:p w14:paraId="641D5A3E">
            <w:pPr>
              <w:spacing w:line="240" w:lineRule="auto"/>
              <w:ind w:firstLine="0" w:firstLineChars="0"/>
              <w:jc w:val="center"/>
              <w:rPr>
                <w:sz w:val="21"/>
                <w:szCs w:val="21"/>
              </w:rPr>
            </w:pPr>
            <w:r>
              <w:rPr>
                <w:rFonts w:hint="eastAsia"/>
                <w:sz w:val="21"/>
                <w:szCs w:val="21"/>
              </w:rPr>
              <w:t>SO</w:t>
            </w:r>
            <w:r>
              <w:rPr>
                <w:rFonts w:hint="eastAsia"/>
                <w:sz w:val="21"/>
                <w:szCs w:val="21"/>
                <w:vertAlign w:val="subscript"/>
              </w:rPr>
              <w:t>2</w:t>
            </w:r>
          </w:p>
        </w:tc>
        <w:tc>
          <w:tcPr>
            <w:tcW w:w="1506" w:type="pct"/>
            <w:vAlign w:val="center"/>
          </w:tcPr>
          <w:p w14:paraId="551BDB15">
            <w:pPr>
              <w:spacing w:line="240" w:lineRule="auto"/>
              <w:ind w:firstLine="0" w:firstLineChars="0"/>
              <w:jc w:val="center"/>
              <w:rPr>
                <w:sz w:val="21"/>
                <w:szCs w:val="21"/>
              </w:rPr>
            </w:pPr>
            <w:r>
              <w:rPr>
                <w:sz w:val="21"/>
                <w:szCs w:val="21"/>
              </w:rPr>
              <w:t>年平均</w:t>
            </w:r>
          </w:p>
        </w:tc>
        <w:tc>
          <w:tcPr>
            <w:tcW w:w="1267" w:type="pct"/>
            <w:vAlign w:val="center"/>
          </w:tcPr>
          <w:p w14:paraId="28B09750">
            <w:pPr>
              <w:spacing w:line="240" w:lineRule="auto"/>
              <w:ind w:firstLine="0" w:firstLineChars="0"/>
              <w:jc w:val="center"/>
              <w:rPr>
                <w:sz w:val="21"/>
                <w:szCs w:val="21"/>
              </w:rPr>
            </w:pPr>
            <w:r>
              <w:rPr>
                <w:rFonts w:hint="eastAsia"/>
                <w:sz w:val="21"/>
                <w:szCs w:val="21"/>
              </w:rPr>
              <w:t>60</w:t>
            </w:r>
          </w:p>
        </w:tc>
        <w:tc>
          <w:tcPr>
            <w:tcW w:w="1295" w:type="pct"/>
            <w:vMerge w:val="restart"/>
            <w:vAlign w:val="center"/>
          </w:tcPr>
          <w:p w14:paraId="19A99402">
            <w:pPr>
              <w:spacing w:line="240" w:lineRule="auto"/>
              <w:ind w:firstLine="0" w:firstLineChars="0"/>
              <w:jc w:val="center"/>
              <w:rPr>
                <w:sz w:val="21"/>
                <w:szCs w:val="21"/>
              </w:rPr>
            </w:pPr>
            <w:r>
              <w:rPr>
                <w:rFonts w:hint="eastAsia"/>
                <w:sz w:val="21"/>
                <w:szCs w:val="21"/>
              </w:rPr>
              <w:t>《环境空气质量标准》GB3095-2012</w:t>
            </w:r>
          </w:p>
        </w:tc>
      </w:tr>
      <w:tr w14:paraId="399C9A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continue"/>
            <w:vAlign w:val="center"/>
          </w:tcPr>
          <w:p w14:paraId="2302BBDF">
            <w:pPr>
              <w:spacing w:line="240" w:lineRule="auto"/>
              <w:ind w:firstLine="0" w:firstLineChars="0"/>
              <w:jc w:val="center"/>
              <w:rPr>
                <w:sz w:val="21"/>
                <w:szCs w:val="21"/>
              </w:rPr>
            </w:pPr>
          </w:p>
        </w:tc>
        <w:tc>
          <w:tcPr>
            <w:tcW w:w="1506" w:type="pct"/>
            <w:vAlign w:val="center"/>
          </w:tcPr>
          <w:p w14:paraId="3AEE2C35">
            <w:pPr>
              <w:spacing w:line="240" w:lineRule="auto"/>
              <w:ind w:firstLine="0" w:firstLineChars="0"/>
              <w:jc w:val="center"/>
              <w:rPr>
                <w:sz w:val="21"/>
                <w:szCs w:val="21"/>
              </w:rPr>
            </w:pPr>
            <w:r>
              <w:rPr>
                <w:sz w:val="21"/>
                <w:szCs w:val="21"/>
              </w:rPr>
              <w:t>日平均</w:t>
            </w:r>
          </w:p>
        </w:tc>
        <w:tc>
          <w:tcPr>
            <w:tcW w:w="1267" w:type="pct"/>
            <w:vAlign w:val="center"/>
          </w:tcPr>
          <w:p w14:paraId="5E22D10F">
            <w:pPr>
              <w:spacing w:line="240" w:lineRule="auto"/>
              <w:ind w:firstLine="0" w:firstLineChars="0"/>
              <w:jc w:val="center"/>
              <w:rPr>
                <w:sz w:val="21"/>
                <w:szCs w:val="21"/>
              </w:rPr>
            </w:pPr>
            <w:r>
              <w:rPr>
                <w:rFonts w:hint="eastAsia"/>
                <w:sz w:val="21"/>
                <w:szCs w:val="21"/>
              </w:rPr>
              <w:t>150</w:t>
            </w:r>
          </w:p>
        </w:tc>
        <w:tc>
          <w:tcPr>
            <w:tcW w:w="1295" w:type="pct"/>
            <w:vMerge w:val="continue"/>
            <w:vAlign w:val="center"/>
          </w:tcPr>
          <w:p w14:paraId="78BB0430">
            <w:pPr>
              <w:spacing w:line="240" w:lineRule="auto"/>
              <w:ind w:firstLine="0" w:firstLineChars="0"/>
              <w:jc w:val="center"/>
              <w:rPr>
                <w:sz w:val="21"/>
                <w:szCs w:val="21"/>
              </w:rPr>
            </w:pPr>
          </w:p>
        </w:tc>
      </w:tr>
      <w:tr w14:paraId="3EA16F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continue"/>
            <w:vAlign w:val="center"/>
          </w:tcPr>
          <w:p w14:paraId="47D38A30">
            <w:pPr>
              <w:spacing w:line="240" w:lineRule="auto"/>
              <w:ind w:firstLine="0" w:firstLineChars="0"/>
              <w:jc w:val="center"/>
              <w:rPr>
                <w:sz w:val="21"/>
                <w:szCs w:val="21"/>
              </w:rPr>
            </w:pPr>
          </w:p>
        </w:tc>
        <w:tc>
          <w:tcPr>
            <w:tcW w:w="1506" w:type="pct"/>
            <w:vAlign w:val="center"/>
          </w:tcPr>
          <w:p w14:paraId="1969251D">
            <w:pPr>
              <w:spacing w:line="240" w:lineRule="auto"/>
              <w:ind w:firstLine="0" w:firstLineChars="0"/>
              <w:jc w:val="center"/>
              <w:rPr>
                <w:sz w:val="21"/>
                <w:szCs w:val="21"/>
              </w:rPr>
            </w:pPr>
            <w:r>
              <w:rPr>
                <w:sz w:val="21"/>
                <w:szCs w:val="21"/>
              </w:rPr>
              <w:t>1小时平均</w:t>
            </w:r>
          </w:p>
        </w:tc>
        <w:tc>
          <w:tcPr>
            <w:tcW w:w="1267" w:type="pct"/>
            <w:vAlign w:val="center"/>
          </w:tcPr>
          <w:p w14:paraId="71C17C8F">
            <w:pPr>
              <w:spacing w:line="240" w:lineRule="auto"/>
              <w:ind w:firstLine="0" w:firstLineChars="0"/>
              <w:jc w:val="center"/>
              <w:rPr>
                <w:sz w:val="21"/>
                <w:szCs w:val="21"/>
              </w:rPr>
            </w:pPr>
            <w:r>
              <w:rPr>
                <w:rFonts w:hint="eastAsia"/>
                <w:sz w:val="21"/>
                <w:szCs w:val="21"/>
              </w:rPr>
              <w:t>500</w:t>
            </w:r>
          </w:p>
        </w:tc>
        <w:tc>
          <w:tcPr>
            <w:tcW w:w="1295" w:type="pct"/>
            <w:vMerge w:val="continue"/>
            <w:vAlign w:val="center"/>
          </w:tcPr>
          <w:p w14:paraId="26D46E8A">
            <w:pPr>
              <w:spacing w:line="240" w:lineRule="auto"/>
              <w:ind w:firstLine="0" w:firstLineChars="0"/>
              <w:jc w:val="center"/>
              <w:rPr>
                <w:sz w:val="21"/>
                <w:szCs w:val="21"/>
              </w:rPr>
            </w:pPr>
          </w:p>
        </w:tc>
      </w:tr>
      <w:tr w14:paraId="1E854E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restart"/>
            <w:vAlign w:val="center"/>
          </w:tcPr>
          <w:p w14:paraId="524E2371">
            <w:pPr>
              <w:spacing w:line="240" w:lineRule="auto"/>
              <w:ind w:firstLine="0" w:firstLineChars="0"/>
              <w:jc w:val="center"/>
              <w:rPr>
                <w:sz w:val="21"/>
                <w:szCs w:val="21"/>
              </w:rPr>
            </w:pPr>
            <w:r>
              <w:rPr>
                <w:sz w:val="21"/>
                <w:szCs w:val="21"/>
              </w:rPr>
              <w:t>NO</w:t>
            </w:r>
            <w:r>
              <w:rPr>
                <w:sz w:val="21"/>
                <w:szCs w:val="21"/>
                <w:vertAlign w:val="subscript"/>
              </w:rPr>
              <w:t>2</w:t>
            </w:r>
          </w:p>
        </w:tc>
        <w:tc>
          <w:tcPr>
            <w:tcW w:w="1506" w:type="pct"/>
            <w:vAlign w:val="center"/>
          </w:tcPr>
          <w:p w14:paraId="1AB286F0">
            <w:pPr>
              <w:spacing w:line="240" w:lineRule="auto"/>
              <w:ind w:firstLine="0" w:firstLineChars="0"/>
              <w:jc w:val="center"/>
              <w:rPr>
                <w:sz w:val="21"/>
                <w:szCs w:val="21"/>
              </w:rPr>
            </w:pPr>
            <w:r>
              <w:rPr>
                <w:sz w:val="21"/>
                <w:szCs w:val="21"/>
              </w:rPr>
              <w:t>年平均</w:t>
            </w:r>
          </w:p>
        </w:tc>
        <w:tc>
          <w:tcPr>
            <w:tcW w:w="1267" w:type="pct"/>
            <w:vAlign w:val="center"/>
          </w:tcPr>
          <w:p w14:paraId="4DEF5358">
            <w:pPr>
              <w:spacing w:line="240" w:lineRule="auto"/>
              <w:ind w:firstLine="0" w:firstLineChars="0"/>
              <w:jc w:val="center"/>
              <w:rPr>
                <w:sz w:val="21"/>
                <w:szCs w:val="21"/>
              </w:rPr>
            </w:pPr>
            <w:r>
              <w:rPr>
                <w:rFonts w:hint="eastAsia"/>
                <w:sz w:val="21"/>
                <w:szCs w:val="21"/>
              </w:rPr>
              <w:t>40</w:t>
            </w:r>
          </w:p>
        </w:tc>
        <w:tc>
          <w:tcPr>
            <w:tcW w:w="1295" w:type="pct"/>
            <w:vMerge w:val="continue"/>
            <w:vAlign w:val="center"/>
          </w:tcPr>
          <w:p w14:paraId="715D2C9C">
            <w:pPr>
              <w:spacing w:line="240" w:lineRule="auto"/>
              <w:ind w:firstLine="0" w:firstLineChars="0"/>
              <w:jc w:val="center"/>
              <w:rPr>
                <w:sz w:val="21"/>
                <w:szCs w:val="21"/>
              </w:rPr>
            </w:pPr>
          </w:p>
        </w:tc>
      </w:tr>
      <w:tr w14:paraId="426476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continue"/>
            <w:vAlign w:val="center"/>
          </w:tcPr>
          <w:p w14:paraId="7B1288AC">
            <w:pPr>
              <w:spacing w:line="240" w:lineRule="auto"/>
              <w:ind w:firstLine="0" w:firstLineChars="0"/>
              <w:jc w:val="center"/>
              <w:rPr>
                <w:sz w:val="21"/>
                <w:szCs w:val="21"/>
              </w:rPr>
            </w:pPr>
          </w:p>
        </w:tc>
        <w:tc>
          <w:tcPr>
            <w:tcW w:w="1506" w:type="pct"/>
            <w:vAlign w:val="center"/>
          </w:tcPr>
          <w:p w14:paraId="11121C08">
            <w:pPr>
              <w:spacing w:line="240" w:lineRule="auto"/>
              <w:ind w:firstLine="0" w:firstLineChars="0"/>
              <w:jc w:val="center"/>
              <w:rPr>
                <w:sz w:val="21"/>
                <w:szCs w:val="21"/>
              </w:rPr>
            </w:pPr>
            <w:r>
              <w:rPr>
                <w:sz w:val="21"/>
                <w:szCs w:val="21"/>
              </w:rPr>
              <w:t>日平均</w:t>
            </w:r>
          </w:p>
        </w:tc>
        <w:tc>
          <w:tcPr>
            <w:tcW w:w="1267" w:type="pct"/>
            <w:vAlign w:val="center"/>
          </w:tcPr>
          <w:p w14:paraId="7ECA27F5">
            <w:pPr>
              <w:spacing w:line="240" w:lineRule="auto"/>
              <w:ind w:firstLine="0" w:firstLineChars="0"/>
              <w:jc w:val="center"/>
              <w:rPr>
                <w:sz w:val="21"/>
                <w:szCs w:val="21"/>
              </w:rPr>
            </w:pPr>
            <w:r>
              <w:rPr>
                <w:rFonts w:hint="eastAsia"/>
                <w:sz w:val="21"/>
                <w:szCs w:val="21"/>
              </w:rPr>
              <w:t>80</w:t>
            </w:r>
          </w:p>
        </w:tc>
        <w:tc>
          <w:tcPr>
            <w:tcW w:w="1295" w:type="pct"/>
            <w:vMerge w:val="continue"/>
            <w:vAlign w:val="center"/>
          </w:tcPr>
          <w:p w14:paraId="2C6BE607">
            <w:pPr>
              <w:spacing w:line="240" w:lineRule="auto"/>
              <w:ind w:firstLine="0" w:firstLineChars="0"/>
              <w:jc w:val="center"/>
              <w:rPr>
                <w:sz w:val="21"/>
                <w:szCs w:val="21"/>
              </w:rPr>
            </w:pPr>
          </w:p>
        </w:tc>
      </w:tr>
      <w:tr w14:paraId="019EFD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continue"/>
            <w:vAlign w:val="center"/>
          </w:tcPr>
          <w:p w14:paraId="232221A8">
            <w:pPr>
              <w:spacing w:line="240" w:lineRule="auto"/>
              <w:ind w:firstLine="0" w:firstLineChars="0"/>
              <w:jc w:val="center"/>
              <w:rPr>
                <w:sz w:val="21"/>
                <w:szCs w:val="21"/>
              </w:rPr>
            </w:pPr>
          </w:p>
        </w:tc>
        <w:tc>
          <w:tcPr>
            <w:tcW w:w="1506" w:type="pct"/>
            <w:vAlign w:val="center"/>
          </w:tcPr>
          <w:p w14:paraId="6F71DCC1">
            <w:pPr>
              <w:spacing w:line="240" w:lineRule="auto"/>
              <w:ind w:firstLine="0" w:firstLineChars="0"/>
              <w:jc w:val="center"/>
              <w:rPr>
                <w:sz w:val="21"/>
                <w:szCs w:val="21"/>
              </w:rPr>
            </w:pPr>
            <w:r>
              <w:rPr>
                <w:sz w:val="21"/>
                <w:szCs w:val="21"/>
              </w:rPr>
              <w:t>1小时平均</w:t>
            </w:r>
          </w:p>
        </w:tc>
        <w:tc>
          <w:tcPr>
            <w:tcW w:w="1267" w:type="pct"/>
            <w:vAlign w:val="center"/>
          </w:tcPr>
          <w:p w14:paraId="7E2ED730">
            <w:pPr>
              <w:spacing w:line="240" w:lineRule="auto"/>
              <w:ind w:firstLine="0" w:firstLineChars="0"/>
              <w:jc w:val="center"/>
              <w:rPr>
                <w:sz w:val="21"/>
                <w:szCs w:val="21"/>
              </w:rPr>
            </w:pPr>
            <w:r>
              <w:rPr>
                <w:rFonts w:hint="eastAsia"/>
                <w:sz w:val="21"/>
                <w:szCs w:val="21"/>
              </w:rPr>
              <w:t>200</w:t>
            </w:r>
          </w:p>
        </w:tc>
        <w:tc>
          <w:tcPr>
            <w:tcW w:w="1295" w:type="pct"/>
            <w:vMerge w:val="continue"/>
            <w:vAlign w:val="center"/>
          </w:tcPr>
          <w:p w14:paraId="66024F09">
            <w:pPr>
              <w:spacing w:line="240" w:lineRule="auto"/>
              <w:ind w:firstLine="0" w:firstLineChars="0"/>
              <w:jc w:val="center"/>
              <w:rPr>
                <w:sz w:val="21"/>
                <w:szCs w:val="21"/>
              </w:rPr>
            </w:pPr>
          </w:p>
        </w:tc>
      </w:tr>
      <w:tr w14:paraId="635DEE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restart"/>
            <w:vAlign w:val="center"/>
          </w:tcPr>
          <w:p w14:paraId="0369C14A">
            <w:pPr>
              <w:spacing w:line="240" w:lineRule="auto"/>
              <w:ind w:firstLine="0" w:firstLineChars="0"/>
              <w:jc w:val="center"/>
              <w:rPr>
                <w:sz w:val="21"/>
                <w:szCs w:val="21"/>
              </w:rPr>
            </w:pPr>
            <w:r>
              <w:rPr>
                <w:sz w:val="21"/>
                <w:szCs w:val="21"/>
              </w:rPr>
              <w:t>PM</w:t>
            </w:r>
            <w:r>
              <w:rPr>
                <w:sz w:val="21"/>
                <w:szCs w:val="21"/>
                <w:vertAlign w:val="subscript"/>
              </w:rPr>
              <w:t>10</w:t>
            </w:r>
          </w:p>
        </w:tc>
        <w:tc>
          <w:tcPr>
            <w:tcW w:w="1506" w:type="pct"/>
            <w:vAlign w:val="center"/>
          </w:tcPr>
          <w:p w14:paraId="0B28DB00">
            <w:pPr>
              <w:spacing w:line="240" w:lineRule="auto"/>
              <w:ind w:firstLine="0" w:firstLineChars="0"/>
              <w:jc w:val="center"/>
              <w:rPr>
                <w:sz w:val="21"/>
                <w:szCs w:val="21"/>
              </w:rPr>
            </w:pPr>
            <w:r>
              <w:rPr>
                <w:sz w:val="21"/>
                <w:szCs w:val="21"/>
              </w:rPr>
              <w:t>年平均</w:t>
            </w:r>
          </w:p>
        </w:tc>
        <w:tc>
          <w:tcPr>
            <w:tcW w:w="1267" w:type="pct"/>
            <w:vAlign w:val="center"/>
          </w:tcPr>
          <w:p w14:paraId="39663B6F">
            <w:pPr>
              <w:spacing w:line="240" w:lineRule="auto"/>
              <w:ind w:firstLine="0" w:firstLineChars="0"/>
              <w:jc w:val="center"/>
              <w:rPr>
                <w:sz w:val="21"/>
                <w:szCs w:val="21"/>
              </w:rPr>
            </w:pPr>
            <w:r>
              <w:rPr>
                <w:rFonts w:hint="eastAsia"/>
                <w:sz w:val="21"/>
                <w:szCs w:val="21"/>
              </w:rPr>
              <w:t>70</w:t>
            </w:r>
          </w:p>
        </w:tc>
        <w:tc>
          <w:tcPr>
            <w:tcW w:w="1295" w:type="pct"/>
            <w:vMerge w:val="continue"/>
            <w:vAlign w:val="center"/>
          </w:tcPr>
          <w:p w14:paraId="2202E027">
            <w:pPr>
              <w:spacing w:line="240" w:lineRule="auto"/>
              <w:ind w:firstLine="0" w:firstLineChars="0"/>
              <w:jc w:val="center"/>
              <w:rPr>
                <w:sz w:val="21"/>
                <w:szCs w:val="21"/>
              </w:rPr>
            </w:pPr>
          </w:p>
        </w:tc>
      </w:tr>
      <w:tr w14:paraId="5515C8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continue"/>
            <w:vAlign w:val="center"/>
          </w:tcPr>
          <w:p w14:paraId="25A464ED">
            <w:pPr>
              <w:spacing w:line="240" w:lineRule="auto"/>
              <w:ind w:firstLine="0" w:firstLineChars="0"/>
              <w:jc w:val="center"/>
              <w:rPr>
                <w:sz w:val="21"/>
                <w:szCs w:val="21"/>
              </w:rPr>
            </w:pPr>
          </w:p>
        </w:tc>
        <w:tc>
          <w:tcPr>
            <w:tcW w:w="1506" w:type="pct"/>
            <w:vAlign w:val="center"/>
          </w:tcPr>
          <w:p w14:paraId="2EC0959D">
            <w:pPr>
              <w:spacing w:line="240" w:lineRule="auto"/>
              <w:ind w:firstLine="0" w:firstLineChars="0"/>
              <w:jc w:val="center"/>
              <w:rPr>
                <w:sz w:val="21"/>
                <w:szCs w:val="21"/>
              </w:rPr>
            </w:pPr>
            <w:r>
              <w:rPr>
                <w:sz w:val="21"/>
                <w:szCs w:val="21"/>
              </w:rPr>
              <w:t>日平均</w:t>
            </w:r>
          </w:p>
        </w:tc>
        <w:tc>
          <w:tcPr>
            <w:tcW w:w="1267" w:type="pct"/>
            <w:vAlign w:val="center"/>
          </w:tcPr>
          <w:p w14:paraId="2D3886BF">
            <w:pPr>
              <w:spacing w:line="240" w:lineRule="auto"/>
              <w:ind w:firstLine="0" w:firstLineChars="0"/>
              <w:jc w:val="center"/>
              <w:rPr>
                <w:sz w:val="21"/>
                <w:szCs w:val="21"/>
              </w:rPr>
            </w:pPr>
            <w:r>
              <w:rPr>
                <w:rFonts w:hint="eastAsia"/>
                <w:sz w:val="21"/>
                <w:szCs w:val="21"/>
              </w:rPr>
              <w:t>150</w:t>
            </w:r>
          </w:p>
        </w:tc>
        <w:tc>
          <w:tcPr>
            <w:tcW w:w="1295" w:type="pct"/>
            <w:vMerge w:val="continue"/>
            <w:vAlign w:val="center"/>
          </w:tcPr>
          <w:p w14:paraId="6C9617A3">
            <w:pPr>
              <w:spacing w:line="240" w:lineRule="auto"/>
              <w:ind w:firstLine="0" w:firstLineChars="0"/>
              <w:jc w:val="center"/>
              <w:rPr>
                <w:sz w:val="21"/>
                <w:szCs w:val="21"/>
              </w:rPr>
            </w:pPr>
          </w:p>
        </w:tc>
      </w:tr>
      <w:tr w14:paraId="6BE38B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restart"/>
            <w:vAlign w:val="center"/>
          </w:tcPr>
          <w:p w14:paraId="3FBF224E">
            <w:pPr>
              <w:spacing w:line="240" w:lineRule="auto"/>
              <w:ind w:firstLine="0" w:firstLineChars="0"/>
              <w:jc w:val="center"/>
              <w:rPr>
                <w:sz w:val="21"/>
                <w:szCs w:val="21"/>
              </w:rPr>
            </w:pPr>
            <w:r>
              <w:rPr>
                <w:sz w:val="21"/>
                <w:szCs w:val="21"/>
              </w:rPr>
              <w:t>PM</w:t>
            </w:r>
            <w:r>
              <w:rPr>
                <w:sz w:val="21"/>
                <w:szCs w:val="21"/>
                <w:vertAlign w:val="subscript"/>
              </w:rPr>
              <w:t>2.5</w:t>
            </w:r>
          </w:p>
        </w:tc>
        <w:tc>
          <w:tcPr>
            <w:tcW w:w="1506" w:type="pct"/>
            <w:vAlign w:val="center"/>
          </w:tcPr>
          <w:p w14:paraId="2293E54D">
            <w:pPr>
              <w:spacing w:line="240" w:lineRule="auto"/>
              <w:ind w:firstLine="0" w:firstLineChars="0"/>
              <w:jc w:val="center"/>
              <w:rPr>
                <w:sz w:val="21"/>
                <w:szCs w:val="21"/>
              </w:rPr>
            </w:pPr>
            <w:r>
              <w:rPr>
                <w:sz w:val="21"/>
                <w:szCs w:val="21"/>
              </w:rPr>
              <w:t>年平均</w:t>
            </w:r>
          </w:p>
        </w:tc>
        <w:tc>
          <w:tcPr>
            <w:tcW w:w="1267" w:type="pct"/>
            <w:vAlign w:val="center"/>
          </w:tcPr>
          <w:p w14:paraId="1ED08215">
            <w:pPr>
              <w:spacing w:line="240" w:lineRule="auto"/>
              <w:ind w:firstLine="0" w:firstLineChars="0"/>
              <w:jc w:val="center"/>
              <w:rPr>
                <w:sz w:val="21"/>
                <w:szCs w:val="21"/>
              </w:rPr>
            </w:pPr>
            <w:r>
              <w:rPr>
                <w:rFonts w:hint="eastAsia"/>
                <w:sz w:val="21"/>
                <w:szCs w:val="21"/>
              </w:rPr>
              <w:t>3</w:t>
            </w:r>
            <w:r>
              <w:rPr>
                <w:sz w:val="21"/>
                <w:szCs w:val="21"/>
              </w:rPr>
              <w:t>5</w:t>
            </w:r>
          </w:p>
        </w:tc>
        <w:tc>
          <w:tcPr>
            <w:tcW w:w="1295" w:type="pct"/>
            <w:vMerge w:val="continue"/>
            <w:vAlign w:val="center"/>
          </w:tcPr>
          <w:p w14:paraId="401B2191">
            <w:pPr>
              <w:spacing w:line="240" w:lineRule="auto"/>
              <w:ind w:firstLine="0" w:firstLineChars="0"/>
              <w:jc w:val="center"/>
              <w:rPr>
                <w:sz w:val="21"/>
                <w:szCs w:val="21"/>
              </w:rPr>
            </w:pPr>
          </w:p>
        </w:tc>
      </w:tr>
      <w:tr w14:paraId="304254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continue"/>
            <w:vAlign w:val="center"/>
          </w:tcPr>
          <w:p w14:paraId="136C50F9">
            <w:pPr>
              <w:spacing w:line="240" w:lineRule="auto"/>
              <w:ind w:firstLine="0" w:firstLineChars="0"/>
              <w:jc w:val="center"/>
              <w:rPr>
                <w:sz w:val="21"/>
                <w:szCs w:val="21"/>
              </w:rPr>
            </w:pPr>
          </w:p>
        </w:tc>
        <w:tc>
          <w:tcPr>
            <w:tcW w:w="1506" w:type="pct"/>
            <w:vAlign w:val="center"/>
          </w:tcPr>
          <w:p w14:paraId="3D6B2A69">
            <w:pPr>
              <w:spacing w:line="240" w:lineRule="auto"/>
              <w:ind w:firstLine="0" w:firstLineChars="0"/>
              <w:jc w:val="center"/>
              <w:rPr>
                <w:sz w:val="21"/>
                <w:szCs w:val="21"/>
              </w:rPr>
            </w:pPr>
            <w:r>
              <w:rPr>
                <w:sz w:val="21"/>
                <w:szCs w:val="21"/>
              </w:rPr>
              <w:t>日平均</w:t>
            </w:r>
          </w:p>
        </w:tc>
        <w:tc>
          <w:tcPr>
            <w:tcW w:w="1267" w:type="pct"/>
            <w:vAlign w:val="center"/>
          </w:tcPr>
          <w:p w14:paraId="5346E2B3">
            <w:pPr>
              <w:spacing w:line="240" w:lineRule="auto"/>
              <w:ind w:firstLine="0" w:firstLineChars="0"/>
              <w:jc w:val="center"/>
              <w:rPr>
                <w:sz w:val="21"/>
                <w:szCs w:val="21"/>
              </w:rPr>
            </w:pPr>
            <w:r>
              <w:rPr>
                <w:rFonts w:hint="eastAsia"/>
                <w:sz w:val="21"/>
                <w:szCs w:val="21"/>
              </w:rPr>
              <w:t>7</w:t>
            </w:r>
            <w:r>
              <w:rPr>
                <w:sz w:val="21"/>
                <w:szCs w:val="21"/>
              </w:rPr>
              <w:t>5</w:t>
            </w:r>
          </w:p>
        </w:tc>
        <w:tc>
          <w:tcPr>
            <w:tcW w:w="1295" w:type="pct"/>
            <w:vMerge w:val="continue"/>
            <w:vAlign w:val="center"/>
          </w:tcPr>
          <w:p w14:paraId="6173BDB9">
            <w:pPr>
              <w:spacing w:line="240" w:lineRule="auto"/>
              <w:ind w:firstLine="0" w:firstLineChars="0"/>
              <w:jc w:val="center"/>
              <w:rPr>
                <w:sz w:val="21"/>
                <w:szCs w:val="21"/>
              </w:rPr>
            </w:pPr>
          </w:p>
        </w:tc>
      </w:tr>
      <w:tr w14:paraId="015675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restart"/>
            <w:vAlign w:val="center"/>
          </w:tcPr>
          <w:p w14:paraId="5B9D8A63">
            <w:pPr>
              <w:spacing w:line="240" w:lineRule="auto"/>
              <w:ind w:firstLine="0" w:firstLineChars="0"/>
              <w:jc w:val="center"/>
              <w:rPr>
                <w:sz w:val="21"/>
                <w:szCs w:val="21"/>
              </w:rPr>
            </w:pPr>
            <w:r>
              <w:rPr>
                <w:rFonts w:hint="eastAsia"/>
                <w:sz w:val="21"/>
                <w:szCs w:val="21"/>
              </w:rPr>
              <w:t>T</w:t>
            </w:r>
            <w:r>
              <w:rPr>
                <w:sz w:val="21"/>
                <w:szCs w:val="21"/>
              </w:rPr>
              <w:t>SP</w:t>
            </w:r>
          </w:p>
        </w:tc>
        <w:tc>
          <w:tcPr>
            <w:tcW w:w="1506" w:type="pct"/>
            <w:vAlign w:val="center"/>
          </w:tcPr>
          <w:p w14:paraId="45D2CC1C">
            <w:pPr>
              <w:spacing w:line="240" w:lineRule="auto"/>
              <w:ind w:firstLine="0" w:firstLineChars="0"/>
              <w:jc w:val="center"/>
              <w:rPr>
                <w:sz w:val="21"/>
                <w:szCs w:val="21"/>
              </w:rPr>
            </w:pPr>
            <w:r>
              <w:rPr>
                <w:sz w:val="21"/>
                <w:szCs w:val="21"/>
              </w:rPr>
              <w:t>年平均</w:t>
            </w:r>
          </w:p>
        </w:tc>
        <w:tc>
          <w:tcPr>
            <w:tcW w:w="1267" w:type="pct"/>
            <w:vAlign w:val="center"/>
          </w:tcPr>
          <w:p w14:paraId="42ED2756">
            <w:pPr>
              <w:spacing w:line="240" w:lineRule="auto"/>
              <w:ind w:firstLine="0" w:firstLineChars="0"/>
              <w:jc w:val="center"/>
              <w:rPr>
                <w:sz w:val="21"/>
                <w:szCs w:val="21"/>
              </w:rPr>
            </w:pPr>
            <w:r>
              <w:rPr>
                <w:rFonts w:hint="eastAsia"/>
                <w:sz w:val="21"/>
                <w:szCs w:val="21"/>
              </w:rPr>
              <w:t>200</w:t>
            </w:r>
          </w:p>
        </w:tc>
        <w:tc>
          <w:tcPr>
            <w:tcW w:w="1295" w:type="pct"/>
            <w:vMerge w:val="continue"/>
            <w:vAlign w:val="center"/>
          </w:tcPr>
          <w:p w14:paraId="1F0AEDEE">
            <w:pPr>
              <w:spacing w:line="240" w:lineRule="auto"/>
              <w:ind w:firstLine="0" w:firstLineChars="0"/>
              <w:jc w:val="center"/>
              <w:rPr>
                <w:sz w:val="21"/>
                <w:szCs w:val="21"/>
              </w:rPr>
            </w:pPr>
          </w:p>
        </w:tc>
      </w:tr>
      <w:tr w14:paraId="434DC0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32" w:type="pct"/>
            <w:vMerge w:val="continue"/>
            <w:vAlign w:val="center"/>
          </w:tcPr>
          <w:p w14:paraId="0061AB9C">
            <w:pPr>
              <w:spacing w:line="240" w:lineRule="auto"/>
              <w:ind w:firstLine="0" w:firstLineChars="0"/>
              <w:jc w:val="center"/>
              <w:rPr>
                <w:sz w:val="21"/>
                <w:szCs w:val="21"/>
              </w:rPr>
            </w:pPr>
          </w:p>
        </w:tc>
        <w:tc>
          <w:tcPr>
            <w:tcW w:w="1506" w:type="pct"/>
            <w:vAlign w:val="center"/>
          </w:tcPr>
          <w:p w14:paraId="3E0120B7">
            <w:pPr>
              <w:spacing w:line="240" w:lineRule="auto"/>
              <w:ind w:firstLine="0" w:firstLineChars="0"/>
              <w:jc w:val="center"/>
              <w:rPr>
                <w:sz w:val="21"/>
                <w:szCs w:val="21"/>
              </w:rPr>
            </w:pPr>
            <w:r>
              <w:rPr>
                <w:sz w:val="21"/>
                <w:szCs w:val="21"/>
              </w:rPr>
              <w:t>日平均</w:t>
            </w:r>
          </w:p>
        </w:tc>
        <w:tc>
          <w:tcPr>
            <w:tcW w:w="1267" w:type="pct"/>
            <w:vAlign w:val="center"/>
          </w:tcPr>
          <w:p w14:paraId="4C50EA4B">
            <w:pPr>
              <w:spacing w:line="240" w:lineRule="auto"/>
              <w:ind w:firstLine="0" w:firstLineChars="0"/>
              <w:jc w:val="center"/>
              <w:rPr>
                <w:sz w:val="21"/>
                <w:szCs w:val="21"/>
              </w:rPr>
            </w:pPr>
            <w:r>
              <w:rPr>
                <w:rFonts w:hint="eastAsia"/>
                <w:sz w:val="21"/>
                <w:szCs w:val="21"/>
              </w:rPr>
              <w:t>300</w:t>
            </w:r>
          </w:p>
        </w:tc>
        <w:tc>
          <w:tcPr>
            <w:tcW w:w="1295" w:type="pct"/>
            <w:vMerge w:val="continue"/>
            <w:vAlign w:val="center"/>
          </w:tcPr>
          <w:p w14:paraId="573910FE">
            <w:pPr>
              <w:spacing w:line="240" w:lineRule="auto"/>
              <w:ind w:firstLine="0" w:firstLineChars="0"/>
              <w:jc w:val="center"/>
              <w:rPr>
                <w:sz w:val="21"/>
                <w:szCs w:val="21"/>
              </w:rPr>
            </w:pPr>
          </w:p>
        </w:tc>
      </w:tr>
    </w:tbl>
    <w:p w14:paraId="7354EEBB">
      <w:pPr>
        <w:ind w:firstLine="482"/>
        <w:rPr>
          <w:b/>
          <w:bCs/>
        </w:rPr>
      </w:pPr>
      <w:r>
        <w:rPr>
          <w:rFonts w:hint="eastAsia"/>
          <w:b/>
          <w:bCs/>
        </w:rPr>
        <w:t>（2）地表水环境</w:t>
      </w:r>
    </w:p>
    <w:p w14:paraId="2835759D">
      <w:pPr>
        <w:ind w:firstLine="480"/>
      </w:pPr>
      <w:r>
        <w:t>项目周边主要地表水体为沿岗河及陈大庄沟支流，后评价阶段与环评及验收阶 段相比 ，地表水环境质量执行标准未发生变化</w:t>
      </w:r>
      <w:r>
        <w:rPr>
          <w:rFonts w:hint="eastAsia"/>
        </w:rPr>
        <w:t>，详见表1.4-2。</w:t>
      </w:r>
    </w:p>
    <w:p w14:paraId="2077EB20">
      <w:pPr>
        <w:pStyle w:val="18"/>
        <w:ind w:firstLine="482"/>
        <w:jc w:val="center"/>
        <w:rPr>
          <w:b/>
          <w:bCs/>
          <w:sz w:val="24"/>
          <w:szCs w:val="24"/>
        </w:rPr>
      </w:pPr>
      <w:r>
        <w:rPr>
          <w:b/>
          <w:bCs/>
          <w:sz w:val="24"/>
          <w:szCs w:val="24"/>
        </w:rPr>
        <w:t>表</w:t>
      </w:r>
      <w:r>
        <w:rPr>
          <w:rFonts w:hint="eastAsia"/>
          <w:b/>
          <w:bCs/>
          <w:sz w:val="24"/>
          <w:szCs w:val="24"/>
        </w:rPr>
        <w:t>1</w:t>
      </w:r>
      <w:r>
        <w:rPr>
          <w:b/>
          <w:bCs/>
          <w:sz w:val="24"/>
          <w:szCs w:val="24"/>
        </w:rPr>
        <w:t>.</w:t>
      </w:r>
      <w:r>
        <w:rPr>
          <w:rFonts w:hint="eastAsia"/>
          <w:b/>
          <w:bCs/>
          <w:sz w:val="24"/>
          <w:szCs w:val="24"/>
        </w:rPr>
        <w:t>4</w:t>
      </w:r>
      <w:r>
        <w:rPr>
          <w:b/>
          <w:bCs/>
          <w:sz w:val="24"/>
          <w:szCs w:val="24"/>
        </w:rPr>
        <w:t>-</w:t>
      </w:r>
      <w:r>
        <w:rPr>
          <w:rFonts w:hint="eastAsia"/>
          <w:b/>
          <w:bCs/>
          <w:sz w:val="24"/>
          <w:szCs w:val="24"/>
        </w:rPr>
        <w:t xml:space="preserve">2  </w:t>
      </w:r>
      <w:r>
        <w:rPr>
          <w:b/>
          <w:bCs/>
          <w:sz w:val="24"/>
          <w:szCs w:val="24"/>
        </w:rPr>
        <w:t>地表水环境质量标准限值</w:t>
      </w:r>
    </w:p>
    <w:tbl>
      <w:tblPr>
        <w:tblStyle w:val="3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8"/>
        <w:gridCol w:w="2560"/>
        <w:gridCol w:w="2013"/>
        <w:gridCol w:w="1279"/>
        <w:gridCol w:w="1578"/>
      </w:tblGrid>
      <w:tr w14:paraId="44F3DD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644" w:type="pct"/>
            <w:vAlign w:val="center"/>
          </w:tcPr>
          <w:p w14:paraId="2C2DC1D3">
            <w:pPr>
              <w:pStyle w:val="54"/>
              <w:widowControl w:val="0"/>
              <w:spacing w:before="0" w:after="0"/>
              <w:rPr>
                <w:rFonts w:ascii="Times New Roman"/>
                <w:b/>
                <w:bCs/>
                <w:snapToGrid w:val="0"/>
                <w:color w:val="auto"/>
                <w:szCs w:val="21"/>
              </w:rPr>
            </w:pPr>
            <w:r>
              <w:rPr>
                <w:rFonts w:hint="eastAsia" w:ascii="Times New Roman"/>
                <w:b/>
                <w:bCs/>
                <w:snapToGrid w:val="0"/>
                <w:color w:val="auto"/>
                <w:szCs w:val="21"/>
              </w:rPr>
              <w:t>序号</w:t>
            </w:r>
          </w:p>
        </w:tc>
        <w:tc>
          <w:tcPr>
            <w:tcW w:w="1501" w:type="pct"/>
            <w:vAlign w:val="center"/>
          </w:tcPr>
          <w:p w14:paraId="727177AB">
            <w:pPr>
              <w:pStyle w:val="54"/>
              <w:widowControl w:val="0"/>
              <w:spacing w:before="0" w:after="0"/>
              <w:rPr>
                <w:rFonts w:ascii="Times New Roman"/>
                <w:b/>
                <w:bCs/>
                <w:snapToGrid w:val="0"/>
                <w:color w:val="auto"/>
                <w:szCs w:val="21"/>
              </w:rPr>
            </w:pPr>
            <w:r>
              <w:rPr>
                <w:rFonts w:hint="eastAsia" w:ascii="Times New Roman"/>
                <w:b/>
                <w:bCs/>
                <w:snapToGrid w:val="0"/>
                <w:color w:val="auto"/>
                <w:szCs w:val="21"/>
              </w:rPr>
              <w:t>项目</w:t>
            </w:r>
          </w:p>
        </w:tc>
        <w:tc>
          <w:tcPr>
            <w:tcW w:w="1180" w:type="pct"/>
            <w:vAlign w:val="center"/>
          </w:tcPr>
          <w:p w14:paraId="0608C7EC">
            <w:pPr>
              <w:pStyle w:val="54"/>
              <w:widowControl w:val="0"/>
              <w:spacing w:before="0" w:after="0"/>
              <w:rPr>
                <w:rFonts w:ascii="Times New Roman"/>
                <w:b/>
                <w:bCs/>
                <w:snapToGrid w:val="0"/>
                <w:color w:val="auto"/>
                <w:szCs w:val="21"/>
              </w:rPr>
            </w:pPr>
            <w:r>
              <w:rPr>
                <w:rFonts w:hint="eastAsia" w:hAnsi="宋体"/>
                <w:b/>
                <w:bCs/>
                <w:snapToGrid w:val="0"/>
                <w:color w:val="auto"/>
                <w:szCs w:val="21"/>
              </w:rPr>
              <w:t>Ⅲ</w:t>
            </w:r>
            <w:r>
              <w:rPr>
                <w:rFonts w:hint="eastAsia" w:ascii="Times New Roman"/>
                <w:b/>
                <w:bCs/>
                <w:snapToGrid w:val="0"/>
                <w:color w:val="auto"/>
                <w:szCs w:val="21"/>
              </w:rPr>
              <w:t>类标准值</w:t>
            </w:r>
          </w:p>
        </w:tc>
        <w:tc>
          <w:tcPr>
            <w:tcW w:w="750" w:type="pct"/>
            <w:vAlign w:val="center"/>
          </w:tcPr>
          <w:p w14:paraId="4D64E65C">
            <w:pPr>
              <w:pStyle w:val="54"/>
              <w:widowControl w:val="0"/>
              <w:spacing w:before="0" w:after="0"/>
              <w:rPr>
                <w:rFonts w:ascii="Times New Roman"/>
                <w:b/>
                <w:bCs/>
                <w:snapToGrid w:val="0"/>
                <w:color w:val="auto"/>
                <w:szCs w:val="21"/>
              </w:rPr>
            </w:pPr>
            <w:r>
              <w:rPr>
                <w:rFonts w:hint="eastAsia" w:ascii="Times New Roman"/>
                <w:b/>
                <w:bCs/>
                <w:snapToGrid w:val="0"/>
                <w:color w:val="auto"/>
                <w:szCs w:val="21"/>
              </w:rPr>
              <w:t>单位</w:t>
            </w:r>
          </w:p>
        </w:tc>
        <w:tc>
          <w:tcPr>
            <w:tcW w:w="926" w:type="pct"/>
            <w:vAlign w:val="center"/>
          </w:tcPr>
          <w:p w14:paraId="32E637B5">
            <w:pPr>
              <w:pStyle w:val="54"/>
              <w:widowControl w:val="0"/>
              <w:spacing w:before="0" w:after="0"/>
              <w:rPr>
                <w:rFonts w:ascii="Times New Roman"/>
                <w:b/>
                <w:bCs/>
                <w:snapToGrid w:val="0"/>
                <w:color w:val="auto"/>
                <w:szCs w:val="21"/>
              </w:rPr>
            </w:pPr>
            <w:r>
              <w:rPr>
                <w:rFonts w:hint="eastAsia" w:ascii="Times New Roman"/>
                <w:b/>
                <w:bCs/>
                <w:snapToGrid w:val="0"/>
                <w:color w:val="auto"/>
                <w:szCs w:val="21"/>
              </w:rPr>
              <w:t>标准来源</w:t>
            </w:r>
          </w:p>
        </w:tc>
      </w:tr>
      <w:tr w14:paraId="56842B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3CBBE6C7">
            <w:pPr>
              <w:pStyle w:val="54"/>
              <w:widowControl w:val="0"/>
              <w:spacing w:before="0" w:after="0"/>
              <w:rPr>
                <w:rFonts w:ascii="Times New Roman"/>
                <w:snapToGrid w:val="0"/>
                <w:color w:val="auto"/>
                <w:szCs w:val="21"/>
              </w:rPr>
            </w:pPr>
            <w:r>
              <w:rPr>
                <w:rFonts w:ascii="Times New Roman"/>
                <w:snapToGrid w:val="0"/>
                <w:color w:val="auto"/>
                <w:szCs w:val="21"/>
              </w:rPr>
              <w:t>1</w:t>
            </w:r>
          </w:p>
        </w:tc>
        <w:tc>
          <w:tcPr>
            <w:tcW w:w="1501" w:type="pct"/>
          </w:tcPr>
          <w:p w14:paraId="0F913AFF">
            <w:pPr>
              <w:pStyle w:val="54"/>
              <w:widowControl w:val="0"/>
              <w:spacing w:before="0" w:after="0"/>
              <w:rPr>
                <w:rFonts w:ascii="Times New Roman"/>
                <w:snapToGrid w:val="0"/>
                <w:color w:val="auto"/>
                <w:szCs w:val="21"/>
              </w:rPr>
            </w:pPr>
            <w:r>
              <w:rPr>
                <w:rFonts w:ascii="Times New Roman"/>
                <w:snapToGrid w:val="0"/>
                <w:color w:val="auto"/>
                <w:szCs w:val="21"/>
              </w:rPr>
              <w:t>pH</w:t>
            </w:r>
          </w:p>
        </w:tc>
        <w:tc>
          <w:tcPr>
            <w:tcW w:w="1180" w:type="pct"/>
          </w:tcPr>
          <w:p w14:paraId="51910A93">
            <w:pPr>
              <w:pStyle w:val="54"/>
              <w:widowControl w:val="0"/>
              <w:spacing w:before="0" w:after="0"/>
              <w:rPr>
                <w:rFonts w:ascii="Times New Roman"/>
                <w:snapToGrid w:val="0"/>
                <w:color w:val="auto"/>
                <w:szCs w:val="21"/>
              </w:rPr>
            </w:pPr>
            <w:r>
              <w:rPr>
                <w:rFonts w:ascii="Times New Roman"/>
                <w:snapToGrid w:val="0"/>
                <w:color w:val="auto"/>
                <w:szCs w:val="21"/>
              </w:rPr>
              <w:t>6～9</w:t>
            </w:r>
          </w:p>
        </w:tc>
        <w:tc>
          <w:tcPr>
            <w:tcW w:w="750" w:type="pct"/>
            <w:vAlign w:val="center"/>
          </w:tcPr>
          <w:p w14:paraId="3884BD8B">
            <w:pPr>
              <w:pStyle w:val="54"/>
              <w:widowControl w:val="0"/>
              <w:spacing w:before="0" w:after="0"/>
              <w:rPr>
                <w:rFonts w:ascii="Times New Roman"/>
                <w:snapToGrid w:val="0"/>
                <w:color w:val="auto"/>
                <w:szCs w:val="21"/>
              </w:rPr>
            </w:pPr>
            <w:r>
              <w:rPr>
                <w:rFonts w:hint="eastAsia" w:ascii="Times New Roman"/>
                <w:snapToGrid w:val="0"/>
                <w:color w:val="auto"/>
                <w:szCs w:val="21"/>
              </w:rPr>
              <w:t>无量纲</w:t>
            </w:r>
          </w:p>
        </w:tc>
        <w:tc>
          <w:tcPr>
            <w:tcW w:w="926" w:type="pct"/>
            <w:vMerge w:val="restart"/>
            <w:vAlign w:val="center"/>
          </w:tcPr>
          <w:p w14:paraId="5768474D">
            <w:pPr>
              <w:pStyle w:val="54"/>
              <w:widowControl w:val="0"/>
              <w:spacing w:before="0" w:after="0"/>
              <w:rPr>
                <w:rFonts w:ascii="Times New Roman"/>
                <w:snapToGrid w:val="0"/>
                <w:color w:val="auto"/>
                <w:szCs w:val="21"/>
              </w:rPr>
            </w:pPr>
            <w:r>
              <w:rPr>
                <w:rFonts w:hint="eastAsia" w:ascii="Times New Roman"/>
                <w:snapToGrid w:val="0"/>
                <w:color w:val="auto"/>
                <w:szCs w:val="21"/>
              </w:rPr>
              <w:t>《地表水环境质量标准》GB3838-2002</w:t>
            </w:r>
          </w:p>
        </w:tc>
      </w:tr>
      <w:tr w14:paraId="599828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278918CC">
            <w:pPr>
              <w:pStyle w:val="54"/>
              <w:widowControl w:val="0"/>
              <w:spacing w:before="0" w:after="0"/>
              <w:rPr>
                <w:rFonts w:ascii="Times New Roman"/>
                <w:snapToGrid w:val="0"/>
                <w:color w:val="auto"/>
                <w:szCs w:val="21"/>
              </w:rPr>
            </w:pPr>
            <w:r>
              <w:rPr>
                <w:rFonts w:ascii="Times New Roman"/>
                <w:snapToGrid w:val="0"/>
                <w:color w:val="auto"/>
                <w:szCs w:val="21"/>
              </w:rPr>
              <w:t>2</w:t>
            </w:r>
          </w:p>
        </w:tc>
        <w:tc>
          <w:tcPr>
            <w:tcW w:w="1501" w:type="pct"/>
            <w:vAlign w:val="center"/>
          </w:tcPr>
          <w:p w14:paraId="518914E3">
            <w:pPr>
              <w:pStyle w:val="54"/>
              <w:widowControl w:val="0"/>
              <w:spacing w:before="0" w:after="0"/>
              <w:rPr>
                <w:rFonts w:ascii="Times New Roman"/>
                <w:snapToGrid w:val="0"/>
                <w:color w:val="auto"/>
                <w:szCs w:val="21"/>
              </w:rPr>
            </w:pPr>
            <w:r>
              <w:rPr>
                <w:rFonts w:hint="eastAsia" w:ascii="Times New Roman"/>
                <w:snapToGrid w:val="0"/>
                <w:color w:val="auto"/>
                <w:szCs w:val="21"/>
              </w:rPr>
              <w:t>溶解氧≥</w:t>
            </w:r>
          </w:p>
        </w:tc>
        <w:tc>
          <w:tcPr>
            <w:tcW w:w="1180" w:type="pct"/>
            <w:vAlign w:val="center"/>
          </w:tcPr>
          <w:p w14:paraId="12F32CF2">
            <w:pPr>
              <w:pStyle w:val="54"/>
              <w:widowControl w:val="0"/>
              <w:spacing w:before="0" w:after="0"/>
              <w:rPr>
                <w:rFonts w:ascii="Times New Roman"/>
                <w:snapToGrid w:val="0"/>
                <w:color w:val="auto"/>
                <w:szCs w:val="21"/>
              </w:rPr>
            </w:pPr>
            <w:r>
              <w:rPr>
                <w:rFonts w:hint="eastAsia" w:ascii="Times New Roman"/>
                <w:snapToGrid w:val="0"/>
                <w:color w:val="auto"/>
                <w:szCs w:val="21"/>
              </w:rPr>
              <w:t>5</w:t>
            </w:r>
          </w:p>
        </w:tc>
        <w:tc>
          <w:tcPr>
            <w:tcW w:w="750" w:type="pct"/>
            <w:vAlign w:val="center"/>
          </w:tcPr>
          <w:p w14:paraId="004ECE98">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6A5853EA">
            <w:pPr>
              <w:pStyle w:val="54"/>
              <w:widowControl w:val="0"/>
              <w:spacing w:before="0" w:after="0"/>
              <w:rPr>
                <w:rFonts w:ascii="Times New Roman"/>
                <w:snapToGrid w:val="0"/>
                <w:color w:val="auto"/>
                <w:szCs w:val="21"/>
              </w:rPr>
            </w:pPr>
          </w:p>
        </w:tc>
      </w:tr>
      <w:tr w14:paraId="44FED5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3D612A51">
            <w:pPr>
              <w:pStyle w:val="54"/>
              <w:widowControl w:val="0"/>
              <w:spacing w:before="0" w:after="0"/>
              <w:rPr>
                <w:rFonts w:ascii="Times New Roman"/>
                <w:snapToGrid w:val="0"/>
                <w:color w:val="auto"/>
                <w:szCs w:val="21"/>
              </w:rPr>
            </w:pPr>
            <w:r>
              <w:rPr>
                <w:rFonts w:ascii="Times New Roman"/>
                <w:snapToGrid w:val="0"/>
                <w:color w:val="auto"/>
                <w:szCs w:val="21"/>
              </w:rPr>
              <w:t>3</w:t>
            </w:r>
          </w:p>
        </w:tc>
        <w:tc>
          <w:tcPr>
            <w:tcW w:w="1501" w:type="pct"/>
          </w:tcPr>
          <w:p w14:paraId="53A13EF7">
            <w:pPr>
              <w:pStyle w:val="54"/>
              <w:widowControl w:val="0"/>
              <w:spacing w:before="0" w:after="0"/>
              <w:rPr>
                <w:rFonts w:ascii="Times New Roman"/>
                <w:snapToGrid w:val="0"/>
                <w:color w:val="auto"/>
                <w:szCs w:val="21"/>
              </w:rPr>
            </w:pPr>
            <w:r>
              <w:rPr>
                <w:rFonts w:ascii="Times New Roman"/>
                <w:snapToGrid w:val="0"/>
                <w:color w:val="auto"/>
                <w:kern w:val="0"/>
                <w:szCs w:val="21"/>
              </w:rPr>
              <w:t>COD</w:t>
            </w:r>
            <w:r>
              <w:rPr>
                <w:rFonts w:hint="eastAsia" w:ascii="Times New Roman"/>
                <w:snapToGrid w:val="0"/>
                <w:color w:val="auto"/>
                <w:kern w:val="0"/>
                <w:szCs w:val="21"/>
              </w:rPr>
              <w:t>≤</w:t>
            </w:r>
          </w:p>
        </w:tc>
        <w:tc>
          <w:tcPr>
            <w:tcW w:w="1180" w:type="pct"/>
          </w:tcPr>
          <w:p w14:paraId="6BF965E4">
            <w:pPr>
              <w:pStyle w:val="54"/>
              <w:widowControl w:val="0"/>
              <w:spacing w:before="0" w:after="0"/>
              <w:rPr>
                <w:rFonts w:ascii="Times New Roman"/>
                <w:snapToGrid w:val="0"/>
                <w:color w:val="auto"/>
                <w:szCs w:val="21"/>
              </w:rPr>
            </w:pPr>
            <w:r>
              <w:rPr>
                <w:rFonts w:hint="eastAsia" w:ascii="Times New Roman"/>
                <w:snapToGrid w:val="0"/>
                <w:color w:val="auto"/>
                <w:szCs w:val="21"/>
              </w:rPr>
              <w:t>20</w:t>
            </w:r>
          </w:p>
        </w:tc>
        <w:tc>
          <w:tcPr>
            <w:tcW w:w="750" w:type="pct"/>
            <w:vAlign w:val="center"/>
          </w:tcPr>
          <w:p w14:paraId="399B5731">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176CD39C">
            <w:pPr>
              <w:pStyle w:val="54"/>
              <w:widowControl w:val="0"/>
              <w:spacing w:before="0" w:after="0"/>
              <w:rPr>
                <w:rFonts w:ascii="Times New Roman"/>
                <w:snapToGrid w:val="0"/>
                <w:color w:val="auto"/>
                <w:szCs w:val="21"/>
              </w:rPr>
            </w:pPr>
          </w:p>
        </w:tc>
      </w:tr>
      <w:tr w14:paraId="57890A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7F46C578">
            <w:pPr>
              <w:pStyle w:val="54"/>
              <w:widowControl w:val="0"/>
              <w:spacing w:before="0" w:after="0"/>
              <w:rPr>
                <w:rFonts w:ascii="Times New Roman"/>
                <w:snapToGrid w:val="0"/>
                <w:color w:val="auto"/>
                <w:szCs w:val="21"/>
              </w:rPr>
            </w:pPr>
            <w:r>
              <w:rPr>
                <w:rFonts w:ascii="Times New Roman"/>
                <w:snapToGrid w:val="0"/>
                <w:color w:val="auto"/>
                <w:szCs w:val="21"/>
              </w:rPr>
              <w:t>4</w:t>
            </w:r>
          </w:p>
        </w:tc>
        <w:tc>
          <w:tcPr>
            <w:tcW w:w="1501" w:type="pct"/>
            <w:vAlign w:val="center"/>
          </w:tcPr>
          <w:p w14:paraId="59127DA9">
            <w:pPr>
              <w:pStyle w:val="54"/>
              <w:widowControl w:val="0"/>
              <w:spacing w:before="0" w:after="0"/>
              <w:rPr>
                <w:rFonts w:ascii="Times New Roman"/>
                <w:snapToGrid w:val="0"/>
                <w:color w:val="auto"/>
                <w:szCs w:val="21"/>
              </w:rPr>
            </w:pPr>
            <w:r>
              <w:rPr>
                <w:rFonts w:ascii="Times New Roman"/>
                <w:snapToGrid w:val="0"/>
                <w:color w:val="auto"/>
                <w:kern w:val="0"/>
                <w:szCs w:val="21"/>
              </w:rPr>
              <w:t>BOD</w:t>
            </w:r>
            <w:r>
              <w:rPr>
                <w:rFonts w:ascii="Times New Roman"/>
                <w:snapToGrid w:val="0"/>
                <w:color w:val="auto"/>
                <w:kern w:val="0"/>
                <w:szCs w:val="21"/>
                <w:vertAlign w:val="subscript"/>
              </w:rPr>
              <w:t>5</w:t>
            </w:r>
            <w:r>
              <w:rPr>
                <w:rFonts w:hint="eastAsia" w:ascii="Times New Roman"/>
                <w:snapToGrid w:val="0"/>
                <w:color w:val="auto"/>
                <w:kern w:val="0"/>
                <w:szCs w:val="21"/>
              </w:rPr>
              <w:t>≤</w:t>
            </w:r>
          </w:p>
        </w:tc>
        <w:tc>
          <w:tcPr>
            <w:tcW w:w="1180" w:type="pct"/>
            <w:vAlign w:val="center"/>
          </w:tcPr>
          <w:p w14:paraId="356B99FB">
            <w:pPr>
              <w:pStyle w:val="54"/>
              <w:widowControl w:val="0"/>
              <w:spacing w:before="0" w:after="0"/>
              <w:rPr>
                <w:rFonts w:ascii="Times New Roman"/>
                <w:snapToGrid w:val="0"/>
                <w:color w:val="auto"/>
                <w:szCs w:val="21"/>
              </w:rPr>
            </w:pPr>
            <w:r>
              <w:rPr>
                <w:rFonts w:hint="eastAsia" w:ascii="Times New Roman"/>
                <w:snapToGrid w:val="0"/>
                <w:color w:val="auto"/>
                <w:szCs w:val="21"/>
              </w:rPr>
              <w:t>4</w:t>
            </w:r>
          </w:p>
        </w:tc>
        <w:tc>
          <w:tcPr>
            <w:tcW w:w="750" w:type="pct"/>
            <w:vAlign w:val="center"/>
          </w:tcPr>
          <w:p w14:paraId="01BC7C85">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3701B4FC">
            <w:pPr>
              <w:pStyle w:val="54"/>
              <w:widowControl w:val="0"/>
              <w:spacing w:before="0" w:after="0"/>
              <w:rPr>
                <w:rFonts w:ascii="Times New Roman"/>
                <w:snapToGrid w:val="0"/>
                <w:color w:val="auto"/>
                <w:szCs w:val="21"/>
              </w:rPr>
            </w:pPr>
          </w:p>
        </w:tc>
      </w:tr>
      <w:tr w14:paraId="2E07F5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3F51ACC4">
            <w:pPr>
              <w:pStyle w:val="54"/>
              <w:widowControl w:val="0"/>
              <w:spacing w:before="0" w:after="0"/>
              <w:rPr>
                <w:rFonts w:ascii="Times New Roman"/>
                <w:snapToGrid w:val="0"/>
                <w:color w:val="auto"/>
                <w:szCs w:val="21"/>
              </w:rPr>
            </w:pPr>
            <w:r>
              <w:rPr>
                <w:rFonts w:ascii="Times New Roman"/>
                <w:snapToGrid w:val="0"/>
                <w:color w:val="auto"/>
                <w:szCs w:val="21"/>
              </w:rPr>
              <w:t>5</w:t>
            </w:r>
          </w:p>
        </w:tc>
        <w:tc>
          <w:tcPr>
            <w:tcW w:w="1501" w:type="pct"/>
          </w:tcPr>
          <w:p w14:paraId="3B5DC454">
            <w:pPr>
              <w:pStyle w:val="54"/>
              <w:widowControl w:val="0"/>
              <w:spacing w:before="0" w:after="0"/>
              <w:rPr>
                <w:rFonts w:ascii="Times New Roman"/>
                <w:snapToGrid w:val="0"/>
                <w:color w:val="auto"/>
                <w:szCs w:val="21"/>
              </w:rPr>
            </w:pPr>
            <w:r>
              <w:rPr>
                <w:rFonts w:ascii="Times New Roman"/>
                <w:snapToGrid w:val="0"/>
                <w:color w:val="auto"/>
                <w:kern w:val="0"/>
                <w:szCs w:val="21"/>
              </w:rPr>
              <w:t>氨氮</w:t>
            </w:r>
            <w:r>
              <w:rPr>
                <w:rFonts w:hint="eastAsia" w:ascii="Times New Roman"/>
                <w:snapToGrid w:val="0"/>
                <w:color w:val="auto"/>
                <w:kern w:val="0"/>
                <w:szCs w:val="21"/>
              </w:rPr>
              <w:t>≤</w:t>
            </w:r>
          </w:p>
        </w:tc>
        <w:tc>
          <w:tcPr>
            <w:tcW w:w="1180" w:type="pct"/>
            <w:vAlign w:val="center"/>
          </w:tcPr>
          <w:p w14:paraId="17419E4A">
            <w:pPr>
              <w:pStyle w:val="54"/>
              <w:widowControl w:val="0"/>
              <w:spacing w:before="0" w:after="0"/>
              <w:rPr>
                <w:rFonts w:ascii="Times New Roman"/>
                <w:snapToGrid w:val="0"/>
                <w:color w:val="auto"/>
                <w:szCs w:val="21"/>
              </w:rPr>
            </w:pPr>
            <w:r>
              <w:rPr>
                <w:rFonts w:hint="eastAsia" w:ascii="Times New Roman"/>
                <w:snapToGrid w:val="0"/>
                <w:color w:val="auto"/>
                <w:szCs w:val="21"/>
              </w:rPr>
              <w:t>1.0</w:t>
            </w:r>
          </w:p>
        </w:tc>
        <w:tc>
          <w:tcPr>
            <w:tcW w:w="750" w:type="pct"/>
            <w:vAlign w:val="center"/>
          </w:tcPr>
          <w:p w14:paraId="1153462F">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42B828F4">
            <w:pPr>
              <w:pStyle w:val="54"/>
              <w:widowControl w:val="0"/>
              <w:spacing w:before="0" w:after="0"/>
              <w:rPr>
                <w:rFonts w:ascii="Times New Roman"/>
                <w:snapToGrid w:val="0"/>
                <w:color w:val="auto"/>
                <w:szCs w:val="21"/>
              </w:rPr>
            </w:pPr>
          </w:p>
        </w:tc>
      </w:tr>
      <w:tr w14:paraId="3C93D9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0252C5D5">
            <w:pPr>
              <w:pStyle w:val="54"/>
              <w:widowControl w:val="0"/>
              <w:spacing w:before="0" w:after="0"/>
              <w:rPr>
                <w:rFonts w:ascii="Times New Roman"/>
                <w:snapToGrid w:val="0"/>
                <w:color w:val="auto"/>
                <w:szCs w:val="21"/>
              </w:rPr>
            </w:pPr>
            <w:r>
              <w:rPr>
                <w:rFonts w:ascii="Times New Roman"/>
                <w:snapToGrid w:val="0"/>
                <w:color w:val="auto"/>
                <w:szCs w:val="21"/>
              </w:rPr>
              <w:t>6</w:t>
            </w:r>
          </w:p>
        </w:tc>
        <w:tc>
          <w:tcPr>
            <w:tcW w:w="1501" w:type="pct"/>
            <w:vAlign w:val="center"/>
          </w:tcPr>
          <w:p w14:paraId="3C7C389F">
            <w:pPr>
              <w:pStyle w:val="54"/>
              <w:widowControl w:val="0"/>
              <w:spacing w:before="0" w:after="0"/>
              <w:rPr>
                <w:rFonts w:ascii="Times New Roman"/>
                <w:snapToGrid w:val="0"/>
                <w:color w:val="auto"/>
                <w:szCs w:val="21"/>
              </w:rPr>
            </w:pPr>
            <w:r>
              <w:rPr>
                <w:rFonts w:hint="eastAsia" w:ascii="Times New Roman"/>
                <w:snapToGrid w:val="0"/>
                <w:color w:val="auto"/>
                <w:kern w:val="0"/>
                <w:szCs w:val="21"/>
              </w:rPr>
              <w:t>总磷≤</w:t>
            </w:r>
          </w:p>
        </w:tc>
        <w:tc>
          <w:tcPr>
            <w:tcW w:w="1180" w:type="pct"/>
            <w:vAlign w:val="center"/>
          </w:tcPr>
          <w:p w14:paraId="0495071B">
            <w:pPr>
              <w:pStyle w:val="54"/>
              <w:widowControl w:val="0"/>
              <w:spacing w:before="0" w:after="0"/>
              <w:rPr>
                <w:rFonts w:ascii="Times New Roman"/>
                <w:snapToGrid w:val="0"/>
                <w:color w:val="auto"/>
                <w:szCs w:val="21"/>
              </w:rPr>
            </w:pPr>
            <w:r>
              <w:rPr>
                <w:rFonts w:hint="eastAsia" w:ascii="Times New Roman"/>
                <w:snapToGrid w:val="0"/>
                <w:color w:val="auto"/>
                <w:szCs w:val="21"/>
              </w:rPr>
              <w:t>0.2</w:t>
            </w:r>
          </w:p>
        </w:tc>
        <w:tc>
          <w:tcPr>
            <w:tcW w:w="750" w:type="pct"/>
            <w:vAlign w:val="center"/>
          </w:tcPr>
          <w:p w14:paraId="44D162E6">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2FCBE819">
            <w:pPr>
              <w:pStyle w:val="54"/>
              <w:widowControl w:val="0"/>
              <w:spacing w:before="0" w:after="0"/>
              <w:rPr>
                <w:rFonts w:ascii="Times New Roman"/>
                <w:snapToGrid w:val="0"/>
                <w:color w:val="auto"/>
                <w:szCs w:val="21"/>
              </w:rPr>
            </w:pPr>
          </w:p>
        </w:tc>
      </w:tr>
      <w:tr w14:paraId="6D63D9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743BF8B3">
            <w:pPr>
              <w:pStyle w:val="54"/>
              <w:widowControl w:val="0"/>
              <w:spacing w:before="0" w:after="0"/>
              <w:rPr>
                <w:rFonts w:ascii="Times New Roman"/>
                <w:snapToGrid w:val="0"/>
                <w:color w:val="auto"/>
                <w:szCs w:val="21"/>
              </w:rPr>
            </w:pPr>
            <w:r>
              <w:rPr>
                <w:rFonts w:ascii="Times New Roman"/>
                <w:snapToGrid w:val="0"/>
                <w:color w:val="auto"/>
                <w:szCs w:val="21"/>
              </w:rPr>
              <w:t>7</w:t>
            </w:r>
          </w:p>
        </w:tc>
        <w:tc>
          <w:tcPr>
            <w:tcW w:w="1501" w:type="pct"/>
          </w:tcPr>
          <w:p w14:paraId="3BC0EEC0">
            <w:pPr>
              <w:pStyle w:val="54"/>
              <w:widowControl w:val="0"/>
              <w:spacing w:before="0" w:after="0"/>
              <w:rPr>
                <w:rFonts w:ascii="Times New Roman"/>
                <w:snapToGrid w:val="0"/>
                <w:color w:val="auto"/>
                <w:szCs w:val="21"/>
              </w:rPr>
            </w:pPr>
            <w:r>
              <w:rPr>
                <w:rFonts w:hint="eastAsia" w:ascii="Times New Roman"/>
                <w:snapToGrid w:val="0"/>
                <w:color w:val="auto"/>
                <w:kern w:val="0"/>
                <w:szCs w:val="21"/>
              </w:rPr>
              <w:t>硝酸盐≤</w:t>
            </w:r>
          </w:p>
        </w:tc>
        <w:tc>
          <w:tcPr>
            <w:tcW w:w="1180" w:type="pct"/>
            <w:vAlign w:val="center"/>
          </w:tcPr>
          <w:p w14:paraId="7394222D">
            <w:pPr>
              <w:pStyle w:val="54"/>
              <w:widowControl w:val="0"/>
              <w:spacing w:before="0" w:after="0"/>
              <w:rPr>
                <w:rFonts w:ascii="Times New Roman"/>
                <w:snapToGrid w:val="0"/>
                <w:color w:val="auto"/>
                <w:szCs w:val="21"/>
              </w:rPr>
            </w:pPr>
            <w:r>
              <w:rPr>
                <w:rFonts w:hint="eastAsia" w:ascii="Times New Roman"/>
                <w:snapToGrid w:val="0"/>
                <w:color w:val="auto"/>
                <w:szCs w:val="21"/>
              </w:rPr>
              <w:t>10</w:t>
            </w:r>
          </w:p>
        </w:tc>
        <w:tc>
          <w:tcPr>
            <w:tcW w:w="750" w:type="pct"/>
            <w:vAlign w:val="center"/>
          </w:tcPr>
          <w:p w14:paraId="55E87936">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527F015B">
            <w:pPr>
              <w:pStyle w:val="54"/>
              <w:widowControl w:val="0"/>
              <w:spacing w:before="0" w:after="0"/>
              <w:rPr>
                <w:rFonts w:ascii="Times New Roman"/>
                <w:snapToGrid w:val="0"/>
                <w:color w:val="auto"/>
                <w:szCs w:val="21"/>
              </w:rPr>
            </w:pPr>
          </w:p>
        </w:tc>
      </w:tr>
      <w:tr w14:paraId="69F524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63ED127A">
            <w:pPr>
              <w:pStyle w:val="54"/>
              <w:widowControl w:val="0"/>
              <w:spacing w:before="0" w:after="0"/>
              <w:rPr>
                <w:rFonts w:ascii="Times New Roman"/>
                <w:snapToGrid w:val="0"/>
                <w:color w:val="auto"/>
                <w:szCs w:val="21"/>
              </w:rPr>
            </w:pPr>
            <w:r>
              <w:rPr>
                <w:rFonts w:ascii="Times New Roman"/>
                <w:snapToGrid w:val="0"/>
                <w:color w:val="auto"/>
                <w:szCs w:val="21"/>
              </w:rPr>
              <w:t>8</w:t>
            </w:r>
          </w:p>
        </w:tc>
        <w:tc>
          <w:tcPr>
            <w:tcW w:w="1501" w:type="pct"/>
            <w:vAlign w:val="center"/>
          </w:tcPr>
          <w:p w14:paraId="18EAC809">
            <w:pPr>
              <w:pStyle w:val="54"/>
              <w:widowControl w:val="0"/>
              <w:spacing w:before="0" w:after="0"/>
              <w:rPr>
                <w:rFonts w:ascii="Times New Roman"/>
                <w:snapToGrid w:val="0"/>
                <w:color w:val="auto"/>
                <w:szCs w:val="21"/>
              </w:rPr>
            </w:pPr>
            <w:r>
              <w:rPr>
                <w:rFonts w:ascii="Times New Roman"/>
                <w:snapToGrid w:val="0"/>
                <w:color w:val="auto"/>
                <w:kern w:val="0"/>
                <w:szCs w:val="21"/>
              </w:rPr>
              <w:t>氟化物</w:t>
            </w:r>
            <w:r>
              <w:rPr>
                <w:rFonts w:hint="eastAsia" w:ascii="Times New Roman"/>
                <w:snapToGrid w:val="0"/>
                <w:color w:val="auto"/>
                <w:kern w:val="0"/>
                <w:szCs w:val="21"/>
              </w:rPr>
              <w:t>（F</w:t>
            </w:r>
            <w:r>
              <w:rPr>
                <w:rFonts w:hint="eastAsia" w:ascii="Times New Roman"/>
                <w:snapToGrid w:val="0"/>
                <w:color w:val="auto"/>
                <w:kern w:val="0"/>
                <w:szCs w:val="21"/>
                <w:vertAlign w:val="superscript"/>
              </w:rPr>
              <w:t>-</w:t>
            </w:r>
            <w:r>
              <w:rPr>
                <w:rFonts w:hint="eastAsia" w:ascii="Times New Roman"/>
                <w:snapToGrid w:val="0"/>
                <w:color w:val="auto"/>
                <w:kern w:val="0"/>
                <w:szCs w:val="21"/>
              </w:rPr>
              <w:t>计）≤</w:t>
            </w:r>
          </w:p>
        </w:tc>
        <w:tc>
          <w:tcPr>
            <w:tcW w:w="1180" w:type="pct"/>
            <w:vAlign w:val="center"/>
          </w:tcPr>
          <w:p w14:paraId="0208C276">
            <w:pPr>
              <w:pStyle w:val="54"/>
              <w:widowControl w:val="0"/>
              <w:spacing w:before="0" w:after="0"/>
              <w:rPr>
                <w:rFonts w:ascii="Times New Roman"/>
                <w:snapToGrid w:val="0"/>
                <w:color w:val="auto"/>
                <w:szCs w:val="21"/>
              </w:rPr>
            </w:pPr>
            <w:r>
              <w:rPr>
                <w:rFonts w:hint="eastAsia" w:ascii="Times New Roman"/>
                <w:snapToGrid w:val="0"/>
                <w:color w:val="auto"/>
                <w:szCs w:val="21"/>
              </w:rPr>
              <w:t>1.0</w:t>
            </w:r>
          </w:p>
        </w:tc>
        <w:tc>
          <w:tcPr>
            <w:tcW w:w="750" w:type="pct"/>
            <w:vAlign w:val="center"/>
          </w:tcPr>
          <w:p w14:paraId="45F22BD5">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76886770">
            <w:pPr>
              <w:pStyle w:val="54"/>
              <w:widowControl w:val="0"/>
              <w:spacing w:before="0" w:after="0"/>
              <w:rPr>
                <w:rFonts w:ascii="Times New Roman"/>
                <w:snapToGrid w:val="0"/>
                <w:color w:val="auto"/>
                <w:szCs w:val="21"/>
              </w:rPr>
            </w:pPr>
          </w:p>
        </w:tc>
      </w:tr>
      <w:tr w14:paraId="4BDA32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523F40A0">
            <w:pPr>
              <w:pStyle w:val="54"/>
              <w:widowControl w:val="0"/>
              <w:spacing w:before="0" w:after="0"/>
              <w:rPr>
                <w:rFonts w:ascii="Times New Roman"/>
                <w:snapToGrid w:val="0"/>
                <w:color w:val="auto"/>
                <w:szCs w:val="21"/>
              </w:rPr>
            </w:pPr>
            <w:r>
              <w:rPr>
                <w:rFonts w:ascii="Times New Roman"/>
                <w:snapToGrid w:val="0"/>
                <w:color w:val="auto"/>
                <w:szCs w:val="21"/>
              </w:rPr>
              <w:t>9</w:t>
            </w:r>
          </w:p>
        </w:tc>
        <w:tc>
          <w:tcPr>
            <w:tcW w:w="1501" w:type="pct"/>
          </w:tcPr>
          <w:p w14:paraId="5F9F13AA">
            <w:pPr>
              <w:pStyle w:val="54"/>
              <w:widowControl w:val="0"/>
              <w:spacing w:before="0" w:after="0"/>
              <w:rPr>
                <w:rFonts w:ascii="Times New Roman"/>
                <w:snapToGrid w:val="0"/>
                <w:color w:val="auto"/>
                <w:szCs w:val="21"/>
              </w:rPr>
            </w:pPr>
            <w:r>
              <w:rPr>
                <w:rFonts w:hint="eastAsia" w:ascii="Times New Roman"/>
                <w:snapToGrid w:val="0"/>
                <w:color w:val="auto"/>
                <w:kern w:val="0"/>
                <w:szCs w:val="21"/>
              </w:rPr>
              <w:t>硫酸盐≤</w:t>
            </w:r>
          </w:p>
        </w:tc>
        <w:tc>
          <w:tcPr>
            <w:tcW w:w="1180" w:type="pct"/>
            <w:vAlign w:val="center"/>
          </w:tcPr>
          <w:p w14:paraId="74C23CEB">
            <w:pPr>
              <w:pStyle w:val="54"/>
              <w:widowControl w:val="0"/>
              <w:spacing w:before="0" w:after="0"/>
              <w:rPr>
                <w:rFonts w:ascii="Times New Roman"/>
                <w:snapToGrid w:val="0"/>
                <w:color w:val="auto"/>
                <w:szCs w:val="21"/>
              </w:rPr>
            </w:pPr>
            <w:r>
              <w:rPr>
                <w:rFonts w:hint="eastAsia" w:ascii="Times New Roman"/>
                <w:snapToGrid w:val="0"/>
                <w:color w:val="auto"/>
                <w:szCs w:val="21"/>
              </w:rPr>
              <w:t>250</w:t>
            </w:r>
          </w:p>
        </w:tc>
        <w:tc>
          <w:tcPr>
            <w:tcW w:w="750" w:type="pct"/>
            <w:vAlign w:val="center"/>
          </w:tcPr>
          <w:p w14:paraId="774556AF">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3A1B7EBF">
            <w:pPr>
              <w:pStyle w:val="54"/>
              <w:widowControl w:val="0"/>
              <w:spacing w:before="0" w:after="0"/>
              <w:rPr>
                <w:rFonts w:ascii="Times New Roman"/>
                <w:snapToGrid w:val="0"/>
                <w:color w:val="auto"/>
                <w:szCs w:val="21"/>
              </w:rPr>
            </w:pPr>
          </w:p>
        </w:tc>
      </w:tr>
      <w:tr w14:paraId="3ECF8A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2F82C1F2">
            <w:pPr>
              <w:pStyle w:val="54"/>
              <w:widowControl w:val="0"/>
              <w:spacing w:before="0" w:after="0"/>
              <w:rPr>
                <w:rFonts w:ascii="Times New Roman"/>
                <w:snapToGrid w:val="0"/>
                <w:color w:val="auto"/>
                <w:szCs w:val="21"/>
              </w:rPr>
            </w:pPr>
            <w:r>
              <w:rPr>
                <w:rFonts w:ascii="Times New Roman"/>
                <w:snapToGrid w:val="0"/>
                <w:color w:val="auto"/>
                <w:szCs w:val="21"/>
              </w:rPr>
              <w:t>10</w:t>
            </w:r>
          </w:p>
        </w:tc>
        <w:tc>
          <w:tcPr>
            <w:tcW w:w="1501" w:type="pct"/>
            <w:vAlign w:val="center"/>
          </w:tcPr>
          <w:p w14:paraId="46572360">
            <w:pPr>
              <w:pStyle w:val="54"/>
              <w:widowControl w:val="0"/>
              <w:spacing w:before="0" w:after="0"/>
              <w:rPr>
                <w:rFonts w:ascii="Times New Roman"/>
                <w:snapToGrid w:val="0"/>
                <w:color w:val="auto"/>
                <w:szCs w:val="21"/>
              </w:rPr>
            </w:pPr>
            <w:r>
              <w:rPr>
                <w:rFonts w:hint="eastAsia" w:ascii="Times New Roman"/>
                <w:snapToGrid w:val="0"/>
                <w:color w:val="auto"/>
                <w:kern w:val="0"/>
                <w:szCs w:val="21"/>
              </w:rPr>
              <w:t>砷≤</w:t>
            </w:r>
          </w:p>
        </w:tc>
        <w:tc>
          <w:tcPr>
            <w:tcW w:w="1180" w:type="pct"/>
            <w:vAlign w:val="center"/>
          </w:tcPr>
          <w:p w14:paraId="17F4F823">
            <w:pPr>
              <w:pStyle w:val="54"/>
              <w:widowControl w:val="0"/>
              <w:spacing w:before="0" w:after="0"/>
              <w:rPr>
                <w:rFonts w:ascii="Times New Roman"/>
                <w:snapToGrid w:val="0"/>
                <w:color w:val="auto"/>
                <w:szCs w:val="21"/>
              </w:rPr>
            </w:pPr>
            <w:r>
              <w:rPr>
                <w:rFonts w:hint="eastAsia" w:ascii="Times New Roman"/>
                <w:snapToGrid w:val="0"/>
                <w:color w:val="auto"/>
                <w:szCs w:val="21"/>
              </w:rPr>
              <w:t>0.05</w:t>
            </w:r>
          </w:p>
        </w:tc>
        <w:tc>
          <w:tcPr>
            <w:tcW w:w="750" w:type="pct"/>
            <w:vAlign w:val="center"/>
          </w:tcPr>
          <w:p w14:paraId="4FD96A1B">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62C87223">
            <w:pPr>
              <w:pStyle w:val="54"/>
              <w:widowControl w:val="0"/>
              <w:spacing w:before="0" w:after="0"/>
              <w:rPr>
                <w:rFonts w:ascii="Times New Roman"/>
                <w:snapToGrid w:val="0"/>
                <w:color w:val="auto"/>
                <w:szCs w:val="21"/>
              </w:rPr>
            </w:pPr>
          </w:p>
        </w:tc>
      </w:tr>
      <w:tr w14:paraId="28E29E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2A59534A">
            <w:pPr>
              <w:pStyle w:val="54"/>
              <w:widowControl w:val="0"/>
              <w:spacing w:before="0" w:after="0"/>
              <w:rPr>
                <w:rFonts w:ascii="Times New Roman"/>
                <w:snapToGrid w:val="0"/>
                <w:color w:val="auto"/>
                <w:szCs w:val="21"/>
              </w:rPr>
            </w:pPr>
            <w:r>
              <w:rPr>
                <w:rFonts w:ascii="Times New Roman"/>
                <w:snapToGrid w:val="0"/>
                <w:color w:val="auto"/>
                <w:szCs w:val="21"/>
              </w:rPr>
              <w:t>11</w:t>
            </w:r>
          </w:p>
        </w:tc>
        <w:tc>
          <w:tcPr>
            <w:tcW w:w="1501" w:type="pct"/>
            <w:vAlign w:val="center"/>
          </w:tcPr>
          <w:p w14:paraId="3FDD0CC8">
            <w:pPr>
              <w:pStyle w:val="54"/>
              <w:widowControl w:val="0"/>
              <w:spacing w:before="0" w:after="0"/>
              <w:rPr>
                <w:rFonts w:ascii="Times New Roman"/>
                <w:snapToGrid w:val="0"/>
                <w:color w:val="auto"/>
                <w:szCs w:val="21"/>
              </w:rPr>
            </w:pPr>
            <w:r>
              <w:rPr>
                <w:rFonts w:hint="eastAsia" w:ascii="Times New Roman"/>
                <w:snapToGrid w:val="0"/>
                <w:color w:val="auto"/>
                <w:kern w:val="0"/>
                <w:szCs w:val="21"/>
              </w:rPr>
              <w:t>铁≤</w:t>
            </w:r>
          </w:p>
        </w:tc>
        <w:tc>
          <w:tcPr>
            <w:tcW w:w="1180" w:type="pct"/>
            <w:vAlign w:val="center"/>
          </w:tcPr>
          <w:p w14:paraId="1E4038C3">
            <w:pPr>
              <w:pStyle w:val="54"/>
              <w:widowControl w:val="0"/>
              <w:spacing w:before="0" w:after="0"/>
              <w:rPr>
                <w:rFonts w:ascii="Times New Roman"/>
                <w:snapToGrid w:val="0"/>
                <w:color w:val="auto"/>
                <w:szCs w:val="21"/>
              </w:rPr>
            </w:pPr>
            <w:r>
              <w:rPr>
                <w:rFonts w:hint="eastAsia" w:ascii="Times New Roman"/>
                <w:snapToGrid w:val="0"/>
                <w:color w:val="auto"/>
                <w:szCs w:val="21"/>
              </w:rPr>
              <w:t>0.3</w:t>
            </w:r>
          </w:p>
        </w:tc>
        <w:tc>
          <w:tcPr>
            <w:tcW w:w="750" w:type="pct"/>
            <w:vAlign w:val="center"/>
          </w:tcPr>
          <w:p w14:paraId="27FC7C9C">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1C4547DD">
            <w:pPr>
              <w:pStyle w:val="54"/>
              <w:widowControl w:val="0"/>
              <w:spacing w:before="0" w:after="0"/>
              <w:rPr>
                <w:rFonts w:ascii="Times New Roman"/>
                <w:snapToGrid w:val="0"/>
                <w:color w:val="auto"/>
                <w:szCs w:val="21"/>
              </w:rPr>
            </w:pPr>
          </w:p>
        </w:tc>
      </w:tr>
      <w:tr w14:paraId="4E9D00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3EC5C2B8">
            <w:pPr>
              <w:pStyle w:val="54"/>
              <w:widowControl w:val="0"/>
              <w:spacing w:before="0" w:after="0"/>
              <w:rPr>
                <w:rFonts w:ascii="Times New Roman"/>
                <w:snapToGrid w:val="0"/>
                <w:color w:val="auto"/>
                <w:szCs w:val="21"/>
              </w:rPr>
            </w:pPr>
            <w:r>
              <w:rPr>
                <w:rFonts w:ascii="Times New Roman"/>
                <w:snapToGrid w:val="0"/>
                <w:color w:val="auto"/>
                <w:szCs w:val="21"/>
              </w:rPr>
              <w:t>12</w:t>
            </w:r>
          </w:p>
        </w:tc>
        <w:tc>
          <w:tcPr>
            <w:tcW w:w="1501" w:type="pct"/>
            <w:vAlign w:val="center"/>
          </w:tcPr>
          <w:p w14:paraId="43CBD453">
            <w:pPr>
              <w:pStyle w:val="54"/>
              <w:widowControl w:val="0"/>
              <w:spacing w:before="0" w:after="0"/>
              <w:rPr>
                <w:rFonts w:ascii="Times New Roman"/>
                <w:snapToGrid w:val="0"/>
                <w:color w:val="auto"/>
                <w:szCs w:val="21"/>
              </w:rPr>
            </w:pPr>
            <w:r>
              <w:rPr>
                <w:rFonts w:hint="eastAsia" w:ascii="Times New Roman"/>
                <w:snapToGrid w:val="0"/>
                <w:color w:val="auto"/>
                <w:kern w:val="0"/>
                <w:szCs w:val="21"/>
              </w:rPr>
              <w:t>锰≤</w:t>
            </w:r>
          </w:p>
        </w:tc>
        <w:tc>
          <w:tcPr>
            <w:tcW w:w="1180" w:type="pct"/>
            <w:vAlign w:val="center"/>
          </w:tcPr>
          <w:p w14:paraId="7D9D58ED">
            <w:pPr>
              <w:pStyle w:val="54"/>
              <w:widowControl w:val="0"/>
              <w:spacing w:before="0" w:after="0"/>
              <w:rPr>
                <w:rFonts w:ascii="Times New Roman"/>
                <w:snapToGrid w:val="0"/>
                <w:color w:val="auto"/>
                <w:szCs w:val="21"/>
              </w:rPr>
            </w:pPr>
            <w:r>
              <w:rPr>
                <w:rFonts w:hint="eastAsia" w:ascii="Times New Roman"/>
                <w:snapToGrid w:val="0"/>
                <w:color w:val="auto"/>
                <w:szCs w:val="21"/>
              </w:rPr>
              <w:t>0.1</w:t>
            </w:r>
          </w:p>
        </w:tc>
        <w:tc>
          <w:tcPr>
            <w:tcW w:w="750" w:type="pct"/>
            <w:vAlign w:val="center"/>
          </w:tcPr>
          <w:p w14:paraId="2395B358">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410DEF2A">
            <w:pPr>
              <w:pStyle w:val="54"/>
              <w:widowControl w:val="0"/>
              <w:spacing w:before="0" w:after="0"/>
              <w:rPr>
                <w:rFonts w:ascii="Times New Roman"/>
                <w:snapToGrid w:val="0"/>
                <w:color w:val="auto"/>
                <w:szCs w:val="21"/>
              </w:rPr>
            </w:pPr>
          </w:p>
        </w:tc>
      </w:tr>
      <w:tr w14:paraId="5C132A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09477D17">
            <w:pPr>
              <w:pStyle w:val="54"/>
              <w:widowControl w:val="0"/>
              <w:spacing w:before="0" w:after="0"/>
              <w:rPr>
                <w:rFonts w:ascii="Times New Roman"/>
                <w:snapToGrid w:val="0"/>
                <w:color w:val="auto"/>
                <w:szCs w:val="21"/>
              </w:rPr>
            </w:pPr>
            <w:r>
              <w:rPr>
                <w:rFonts w:ascii="Times New Roman"/>
                <w:snapToGrid w:val="0"/>
                <w:color w:val="auto"/>
                <w:szCs w:val="21"/>
              </w:rPr>
              <w:t>13</w:t>
            </w:r>
          </w:p>
        </w:tc>
        <w:tc>
          <w:tcPr>
            <w:tcW w:w="1501" w:type="pct"/>
          </w:tcPr>
          <w:p w14:paraId="1696A157">
            <w:pPr>
              <w:pStyle w:val="54"/>
              <w:widowControl w:val="0"/>
              <w:spacing w:before="0" w:after="0"/>
              <w:rPr>
                <w:rFonts w:ascii="Times New Roman"/>
                <w:snapToGrid w:val="0"/>
                <w:color w:val="auto"/>
                <w:szCs w:val="21"/>
              </w:rPr>
            </w:pPr>
            <w:r>
              <w:rPr>
                <w:rFonts w:hint="eastAsia" w:ascii="Times New Roman"/>
                <w:snapToGrid w:val="0"/>
                <w:color w:val="auto"/>
                <w:kern w:val="0"/>
                <w:szCs w:val="21"/>
              </w:rPr>
              <w:t>镉≤</w:t>
            </w:r>
          </w:p>
        </w:tc>
        <w:tc>
          <w:tcPr>
            <w:tcW w:w="1180" w:type="pct"/>
            <w:vAlign w:val="center"/>
          </w:tcPr>
          <w:p w14:paraId="2BB8531C">
            <w:pPr>
              <w:pStyle w:val="54"/>
              <w:widowControl w:val="0"/>
              <w:spacing w:before="0" w:after="0"/>
              <w:rPr>
                <w:rFonts w:ascii="Times New Roman"/>
                <w:snapToGrid w:val="0"/>
                <w:color w:val="auto"/>
                <w:szCs w:val="21"/>
              </w:rPr>
            </w:pPr>
            <w:r>
              <w:rPr>
                <w:rFonts w:hint="eastAsia" w:ascii="Times New Roman"/>
                <w:snapToGrid w:val="0"/>
                <w:color w:val="auto"/>
                <w:szCs w:val="21"/>
              </w:rPr>
              <w:t>0.005</w:t>
            </w:r>
          </w:p>
        </w:tc>
        <w:tc>
          <w:tcPr>
            <w:tcW w:w="750" w:type="pct"/>
            <w:vAlign w:val="center"/>
          </w:tcPr>
          <w:p w14:paraId="4AE4CFD8">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470669BC">
            <w:pPr>
              <w:pStyle w:val="54"/>
              <w:widowControl w:val="0"/>
              <w:spacing w:before="0" w:after="0"/>
              <w:rPr>
                <w:rFonts w:ascii="Times New Roman"/>
                <w:snapToGrid w:val="0"/>
                <w:color w:val="auto"/>
                <w:szCs w:val="21"/>
              </w:rPr>
            </w:pPr>
          </w:p>
        </w:tc>
      </w:tr>
      <w:tr w14:paraId="3C9A5A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6997BC23">
            <w:pPr>
              <w:pStyle w:val="54"/>
              <w:widowControl w:val="0"/>
              <w:spacing w:before="0" w:after="0"/>
              <w:rPr>
                <w:rFonts w:ascii="Times New Roman"/>
                <w:snapToGrid w:val="0"/>
                <w:color w:val="auto"/>
                <w:szCs w:val="21"/>
              </w:rPr>
            </w:pPr>
            <w:r>
              <w:rPr>
                <w:rFonts w:ascii="Times New Roman"/>
                <w:snapToGrid w:val="0"/>
                <w:color w:val="auto"/>
                <w:szCs w:val="21"/>
              </w:rPr>
              <w:t>14</w:t>
            </w:r>
          </w:p>
        </w:tc>
        <w:tc>
          <w:tcPr>
            <w:tcW w:w="1501" w:type="pct"/>
            <w:vAlign w:val="center"/>
          </w:tcPr>
          <w:p w14:paraId="7D1967FF">
            <w:pPr>
              <w:pStyle w:val="54"/>
              <w:widowControl w:val="0"/>
              <w:spacing w:before="0" w:after="0"/>
              <w:rPr>
                <w:rFonts w:ascii="Times New Roman"/>
                <w:snapToGrid w:val="0"/>
                <w:color w:val="auto"/>
                <w:szCs w:val="21"/>
              </w:rPr>
            </w:pPr>
            <w:r>
              <w:rPr>
                <w:rFonts w:hint="eastAsia" w:ascii="Times New Roman"/>
                <w:snapToGrid w:val="0"/>
                <w:color w:val="auto"/>
                <w:kern w:val="0"/>
                <w:szCs w:val="21"/>
              </w:rPr>
              <w:t>锌≤</w:t>
            </w:r>
          </w:p>
        </w:tc>
        <w:tc>
          <w:tcPr>
            <w:tcW w:w="1180" w:type="pct"/>
            <w:vAlign w:val="center"/>
          </w:tcPr>
          <w:p w14:paraId="52B7A74F">
            <w:pPr>
              <w:pStyle w:val="54"/>
              <w:widowControl w:val="0"/>
              <w:spacing w:before="0" w:after="0"/>
              <w:rPr>
                <w:rFonts w:ascii="Times New Roman"/>
                <w:snapToGrid w:val="0"/>
                <w:color w:val="auto"/>
                <w:szCs w:val="21"/>
              </w:rPr>
            </w:pPr>
            <w:r>
              <w:rPr>
                <w:rFonts w:hint="eastAsia" w:ascii="Times New Roman"/>
                <w:snapToGrid w:val="0"/>
                <w:color w:val="auto"/>
                <w:szCs w:val="21"/>
              </w:rPr>
              <w:t>1.0</w:t>
            </w:r>
          </w:p>
        </w:tc>
        <w:tc>
          <w:tcPr>
            <w:tcW w:w="750" w:type="pct"/>
            <w:vAlign w:val="center"/>
          </w:tcPr>
          <w:p w14:paraId="3EFB8BB4">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532B3B9A">
            <w:pPr>
              <w:pStyle w:val="54"/>
              <w:widowControl w:val="0"/>
              <w:spacing w:before="0" w:after="0"/>
              <w:rPr>
                <w:rFonts w:ascii="Times New Roman"/>
                <w:snapToGrid w:val="0"/>
                <w:color w:val="auto"/>
                <w:szCs w:val="21"/>
              </w:rPr>
            </w:pPr>
          </w:p>
        </w:tc>
      </w:tr>
      <w:tr w14:paraId="588380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1437236F">
            <w:pPr>
              <w:pStyle w:val="54"/>
              <w:widowControl w:val="0"/>
              <w:spacing w:before="0" w:after="0"/>
              <w:rPr>
                <w:rFonts w:ascii="Times New Roman"/>
                <w:snapToGrid w:val="0"/>
                <w:color w:val="auto"/>
                <w:szCs w:val="21"/>
              </w:rPr>
            </w:pPr>
            <w:r>
              <w:rPr>
                <w:rFonts w:ascii="Times New Roman"/>
                <w:snapToGrid w:val="0"/>
                <w:color w:val="auto"/>
                <w:szCs w:val="21"/>
              </w:rPr>
              <w:t>15</w:t>
            </w:r>
          </w:p>
        </w:tc>
        <w:tc>
          <w:tcPr>
            <w:tcW w:w="1501" w:type="pct"/>
          </w:tcPr>
          <w:p w14:paraId="225708D5">
            <w:pPr>
              <w:pStyle w:val="54"/>
              <w:widowControl w:val="0"/>
              <w:spacing w:before="0" w:after="0"/>
              <w:rPr>
                <w:rFonts w:ascii="Times New Roman"/>
                <w:snapToGrid w:val="0"/>
                <w:color w:val="auto"/>
                <w:szCs w:val="21"/>
              </w:rPr>
            </w:pPr>
            <w:r>
              <w:rPr>
                <w:rFonts w:hint="eastAsia" w:ascii="Times New Roman"/>
                <w:snapToGrid w:val="0"/>
                <w:color w:val="auto"/>
                <w:kern w:val="0"/>
                <w:szCs w:val="21"/>
              </w:rPr>
              <w:t>铅≤</w:t>
            </w:r>
          </w:p>
        </w:tc>
        <w:tc>
          <w:tcPr>
            <w:tcW w:w="1180" w:type="pct"/>
            <w:vAlign w:val="center"/>
          </w:tcPr>
          <w:p w14:paraId="7FFA8CFF">
            <w:pPr>
              <w:pStyle w:val="54"/>
              <w:widowControl w:val="0"/>
              <w:spacing w:before="0" w:after="0"/>
              <w:rPr>
                <w:rFonts w:ascii="Times New Roman"/>
                <w:snapToGrid w:val="0"/>
                <w:color w:val="auto"/>
                <w:szCs w:val="21"/>
              </w:rPr>
            </w:pPr>
            <w:r>
              <w:rPr>
                <w:rFonts w:hint="eastAsia" w:ascii="Times New Roman"/>
                <w:snapToGrid w:val="0"/>
                <w:color w:val="auto"/>
                <w:szCs w:val="21"/>
              </w:rPr>
              <w:t>0.05</w:t>
            </w:r>
          </w:p>
        </w:tc>
        <w:tc>
          <w:tcPr>
            <w:tcW w:w="750" w:type="pct"/>
            <w:vAlign w:val="center"/>
          </w:tcPr>
          <w:p w14:paraId="7E0B08DB">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085FA682">
            <w:pPr>
              <w:pStyle w:val="54"/>
              <w:widowControl w:val="0"/>
              <w:spacing w:before="0" w:after="0"/>
              <w:rPr>
                <w:rFonts w:ascii="Times New Roman"/>
                <w:snapToGrid w:val="0"/>
                <w:color w:val="auto"/>
                <w:szCs w:val="21"/>
              </w:rPr>
            </w:pPr>
          </w:p>
        </w:tc>
      </w:tr>
      <w:tr w14:paraId="700DBE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04DA564F">
            <w:pPr>
              <w:pStyle w:val="54"/>
              <w:widowControl w:val="0"/>
              <w:spacing w:before="0" w:after="0"/>
              <w:rPr>
                <w:rFonts w:ascii="Times New Roman"/>
                <w:snapToGrid w:val="0"/>
                <w:color w:val="auto"/>
                <w:szCs w:val="21"/>
              </w:rPr>
            </w:pPr>
            <w:r>
              <w:rPr>
                <w:rFonts w:hint="eastAsia" w:ascii="Times New Roman"/>
                <w:snapToGrid w:val="0"/>
                <w:color w:val="auto"/>
                <w:szCs w:val="21"/>
              </w:rPr>
              <w:t>16</w:t>
            </w:r>
          </w:p>
        </w:tc>
        <w:tc>
          <w:tcPr>
            <w:tcW w:w="1501" w:type="pct"/>
            <w:vAlign w:val="center"/>
          </w:tcPr>
          <w:p w14:paraId="472DD330">
            <w:pPr>
              <w:pStyle w:val="54"/>
              <w:widowControl w:val="0"/>
              <w:spacing w:before="0" w:after="0"/>
              <w:rPr>
                <w:rFonts w:ascii="Times New Roman"/>
                <w:snapToGrid w:val="0"/>
                <w:color w:val="auto"/>
                <w:szCs w:val="21"/>
              </w:rPr>
            </w:pPr>
            <w:r>
              <w:rPr>
                <w:rFonts w:hint="eastAsia" w:ascii="Times New Roman"/>
                <w:snapToGrid w:val="0"/>
                <w:color w:val="auto"/>
                <w:kern w:val="0"/>
                <w:szCs w:val="21"/>
              </w:rPr>
              <w:t>铜≤</w:t>
            </w:r>
          </w:p>
        </w:tc>
        <w:tc>
          <w:tcPr>
            <w:tcW w:w="1180" w:type="pct"/>
            <w:vAlign w:val="center"/>
          </w:tcPr>
          <w:p w14:paraId="440BC502">
            <w:pPr>
              <w:pStyle w:val="54"/>
              <w:widowControl w:val="0"/>
              <w:spacing w:before="0" w:after="0"/>
              <w:rPr>
                <w:rFonts w:ascii="Times New Roman"/>
                <w:snapToGrid w:val="0"/>
                <w:color w:val="auto"/>
                <w:szCs w:val="21"/>
              </w:rPr>
            </w:pPr>
            <w:r>
              <w:rPr>
                <w:rFonts w:hint="eastAsia" w:ascii="Times New Roman"/>
                <w:snapToGrid w:val="0"/>
                <w:color w:val="auto"/>
                <w:szCs w:val="21"/>
              </w:rPr>
              <w:t>1.0</w:t>
            </w:r>
          </w:p>
        </w:tc>
        <w:tc>
          <w:tcPr>
            <w:tcW w:w="750" w:type="pct"/>
            <w:vAlign w:val="center"/>
          </w:tcPr>
          <w:p w14:paraId="7C5E5A48">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4ABA81AE">
            <w:pPr>
              <w:pStyle w:val="54"/>
              <w:widowControl w:val="0"/>
              <w:spacing w:before="0" w:after="0"/>
              <w:rPr>
                <w:rFonts w:ascii="Times New Roman"/>
                <w:snapToGrid w:val="0"/>
                <w:color w:val="auto"/>
                <w:szCs w:val="21"/>
              </w:rPr>
            </w:pPr>
          </w:p>
        </w:tc>
      </w:tr>
      <w:tr w14:paraId="78AF6E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3B8845C5">
            <w:pPr>
              <w:pStyle w:val="54"/>
              <w:widowControl w:val="0"/>
              <w:spacing w:before="0" w:after="0"/>
              <w:rPr>
                <w:rFonts w:ascii="Times New Roman"/>
                <w:snapToGrid w:val="0"/>
                <w:color w:val="auto"/>
                <w:szCs w:val="21"/>
              </w:rPr>
            </w:pPr>
            <w:r>
              <w:rPr>
                <w:rFonts w:hint="eastAsia" w:ascii="Times New Roman"/>
                <w:snapToGrid w:val="0"/>
                <w:color w:val="auto"/>
                <w:szCs w:val="21"/>
              </w:rPr>
              <w:t>17</w:t>
            </w:r>
          </w:p>
        </w:tc>
        <w:tc>
          <w:tcPr>
            <w:tcW w:w="1501" w:type="pct"/>
          </w:tcPr>
          <w:p w14:paraId="75E9731A">
            <w:pPr>
              <w:pStyle w:val="54"/>
              <w:widowControl w:val="0"/>
              <w:spacing w:before="0" w:after="0"/>
              <w:rPr>
                <w:rFonts w:ascii="Times New Roman"/>
                <w:snapToGrid w:val="0"/>
                <w:color w:val="auto"/>
                <w:szCs w:val="21"/>
              </w:rPr>
            </w:pPr>
            <w:r>
              <w:rPr>
                <w:rFonts w:hint="eastAsia" w:ascii="Times New Roman"/>
                <w:snapToGrid w:val="0"/>
                <w:color w:val="auto"/>
                <w:kern w:val="0"/>
                <w:szCs w:val="21"/>
              </w:rPr>
              <w:t>六价铬≤</w:t>
            </w:r>
          </w:p>
        </w:tc>
        <w:tc>
          <w:tcPr>
            <w:tcW w:w="1180" w:type="pct"/>
            <w:vAlign w:val="center"/>
          </w:tcPr>
          <w:p w14:paraId="17F192CD">
            <w:pPr>
              <w:pStyle w:val="54"/>
              <w:widowControl w:val="0"/>
              <w:spacing w:before="0" w:after="0"/>
              <w:rPr>
                <w:rFonts w:ascii="Times New Roman"/>
                <w:snapToGrid w:val="0"/>
                <w:color w:val="auto"/>
                <w:szCs w:val="21"/>
              </w:rPr>
            </w:pPr>
            <w:r>
              <w:rPr>
                <w:rFonts w:hint="eastAsia" w:ascii="Times New Roman"/>
                <w:snapToGrid w:val="0"/>
                <w:color w:val="auto"/>
                <w:szCs w:val="21"/>
              </w:rPr>
              <w:t>0.05</w:t>
            </w:r>
          </w:p>
        </w:tc>
        <w:tc>
          <w:tcPr>
            <w:tcW w:w="750" w:type="pct"/>
            <w:vAlign w:val="center"/>
          </w:tcPr>
          <w:p w14:paraId="0006B4AD">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1C4E08AC">
            <w:pPr>
              <w:pStyle w:val="54"/>
              <w:widowControl w:val="0"/>
              <w:spacing w:before="0" w:after="0"/>
              <w:rPr>
                <w:rFonts w:ascii="Times New Roman"/>
                <w:snapToGrid w:val="0"/>
                <w:color w:val="auto"/>
                <w:szCs w:val="21"/>
              </w:rPr>
            </w:pPr>
          </w:p>
        </w:tc>
      </w:tr>
      <w:tr w14:paraId="2E1500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24DD131C">
            <w:pPr>
              <w:pStyle w:val="54"/>
              <w:widowControl w:val="0"/>
              <w:spacing w:before="0" w:after="0"/>
              <w:rPr>
                <w:rFonts w:ascii="Times New Roman"/>
                <w:snapToGrid w:val="0"/>
                <w:color w:val="auto"/>
                <w:szCs w:val="21"/>
              </w:rPr>
            </w:pPr>
            <w:r>
              <w:rPr>
                <w:rFonts w:hint="eastAsia" w:ascii="Times New Roman"/>
                <w:snapToGrid w:val="0"/>
                <w:color w:val="auto"/>
                <w:szCs w:val="21"/>
              </w:rPr>
              <w:t>18</w:t>
            </w:r>
          </w:p>
        </w:tc>
        <w:tc>
          <w:tcPr>
            <w:tcW w:w="1501" w:type="pct"/>
          </w:tcPr>
          <w:p w14:paraId="5032EB84">
            <w:pPr>
              <w:pStyle w:val="54"/>
              <w:widowControl w:val="0"/>
              <w:spacing w:before="0" w:after="0"/>
              <w:rPr>
                <w:rFonts w:ascii="Times New Roman"/>
                <w:snapToGrid w:val="0"/>
                <w:color w:val="auto"/>
                <w:szCs w:val="21"/>
              </w:rPr>
            </w:pPr>
            <w:r>
              <w:rPr>
                <w:rFonts w:hint="eastAsia" w:ascii="Times New Roman"/>
                <w:snapToGrid w:val="0"/>
                <w:color w:val="auto"/>
                <w:kern w:val="0"/>
                <w:szCs w:val="21"/>
              </w:rPr>
              <w:t>汞≤</w:t>
            </w:r>
          </w:p>
        </w:tc>
        <w:tc>
          <w:tcPr>
            <w:tcW w:w="1180" w:type="pct"/>
            <w:vAlign w:val="center"/>
          </w:tcPr>
          <w:p w14:paraId="4C8218B2">
            <w:pPr>
              <w:pStyle w:val="54"/>
              <w:widowControl w:val="0"/>
              <w:spacing w:before="0" w:after="0"/>
              <w:rPr>
                <w:rFonts w:ascii="Times New Roman"/>
                <w:snapToGrid w:val="0"/>
                <w:color w:val="auto"/>
                <w:szCs w:val="21"/>
              </w:rPr>
            </w:pPr>
            <w:r>
              <w:rPr>
                <w:rFonts w:hint="eastAsia" w:ascii="Times New Roman"/>
                <w:snapToGrid w:val="0"/>
                <w:color w:val="auto"/>
                <w:szCs w:val="21"/>
              </w:rPr>
              <w:t>0.0001</w:t>
            </w:r>
          </w:p>
        </w:tc>
        <w:tc>
          <w:tcPr>
            <w:tcW w:w="750" w:type="pct"/>
            <w:vAlign w:val="center"/>
          </w:tcPr>
          <w:p w14:paraId="5AAFFE61">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2CBEC840">
            <w:pPr>
              <w:pStyle w:val="54"/>
              <w:widowControl w:val="0"/>
              <w:spacing w:before="0" w:after="0"/>
              <w:rPr>
                <w:rFonts w:ascii="Times New Roman"/>
                <w:snapToGrid w:val="0"/>
                <w:color w:val="auto"/>
                <w:szCs w:val="21"/>
              </w:rPr>
            </w:pPr>
          </w:p>
        </w:tc>
      </w:tr>
      <w:tr w14:paraId="0B5A01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5B47CFE6">
            <w:pPr>
              <w:pStyle w:val="54"/>
              <w:widowControl w:val="0"/>
              <w:spacing w:before="0" w:after="0"/>
              <w:rPr>
                <w:rFonts w:ascii="Times New Roman"/>
                <w:snapToGrid w:val="0"/>
                <w:color w:val="auto"/>
                <w:szCs w:val="21"/>
              </w:rPr>
            </w:pPr>
            <w:r>
              <w:rPr>
                <w:rFonts w:hint="eastAsia" w:ascii="Times New Roman"/>
                <w:snapToGrid w:val="0"/>
                <w:color w:val="auto"/>
                <w:szCs w:val="21"/>
              </w:rPr>
              <w:t>19</w:t>
            </w:r>
          </w:p>
        </w:tc>
        <w:tc>
          <w:tcPr>
            <w:tcW w:w="1501" w:type="pct"/>
            <w:vAlign w:val="center"/>
          </w:tcPr>
          <w:p w14:paraId="6CFF88E3">
            <w:pPr>
              <w:pStyle w:val="54"/>
              <w:widowControl w:val="0"/>
              <w:spacing w:before="0" w:after="0"/>
              <w:rPr>
                <w:rFonts w:ascii="Times New Roman"/>
                <w:snapToGrid w:val="0"/>
                <w:color w:val="auto"/>
                <w:szCs w:val="21"/>
              </w:rPr>
            </w:pPr>
            <w:r>
              <w:rPr>
                <w:rFonts w:hint="eastAsia" w:ascii="Times New Roman"/>
                <w:snapToGrid w:val="0"/>
                <w:color w:val="auto"/>
                <w:kern w:val="0"/>
                <w:szCs w:val="21"/>
              </w:rPr>
              <w:t>硫化物≤</w:t>
            </w:r>
          </w:p>
        </w:tc>
        <w:tc>
          <w:tcPr>
            <w:tcW w:w="1180" w:type="pct"/>
            <w:vAlign w:val="center"/>
          </w:tcPr>
          <w:p w14:paraId="2233609B">
            <w:pPr>
              <w:pStyle w:val="54"/>
              <w:widowControl w:val="0"/>
              <w:spacing w:before="0" w:after="0"/>
              <w:rPr>
                <w:rFonts w:ascii="Times New Roman"/>
                <w:snapToGrid w:val="0"/>
                <w:color w:val="auto"/>
                <w:szCs w:val="21"/>
              </w:rPr>
            </w:pPr>
            <w:r>
              <w:rPr>
                <w:rFonts w:hint="eastAsia" w:ascii="Times New Roman"/>
                <w:snapToGrid w:val="0"/>
                <w:color w:val="auto"/>
                <w:szCs w:val="21"/>
              </w:rPr>
              <w:t>0.2</w:t>
            </w:r>
          </w:p>
        </w:tc>
        <w:tc>
          <w:tcPr>
            <w:tcW w:w="750" w:type="pct"/>
            <w:vAlign w:val="center"/>
          </w:tcPr>
          <w:p w14:paraId="37C1457B">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0C935614">
            <w:pPr>
              <w:pStyle w:val="54"/>
              <w:widowControl w:val="0"/>
              <w:spacing w:before="0" w:after="0"/>
              <w:rPr>
                <w:rFonts w:ascii="Times New Roman"/>
                <w:snapToGrid w:val="0"/>
                <w:color w:val="auto"/>
                <w:szCs w:val="21"/>
              </w:rPr>
            </w:pPr>
          </w:p>
        </w:tc>
      </w:tr>
      <w:tr w14:paraId="51DEFB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1CE50A84">
            <w:pPr>
              <w:pStyle w:val="54"/>
              <w:widowControl w:val="0"/>
              <w:spacing w:before="0" w:after="0"/>
              <w:rPr>
                <w:rFonts w:ascii="Times New Roman"/>
                <w:snapToGrid w:val="0"/>
                <w:color w:val="auto"/>
                <w:szCs w:val="21"/>
              </w:rPr>
            </w:pPr>
            <w:r>
              <w:rPr>
                <w:rFonts w:hint="eastAsia" w:ascii="Times New Roman"/>
                <w:snapToGrid w:val="0"/>
                <w:color w:val="auto"/>
                <w:szCs w:val="21"/>
              </w:rPr>
              <w:t>20</w:t>
            </w:r>
          </w:p>
        </w:tc>
        <w:tc>
          <w:tcPr>
            <w:tcW w:w="1501" w:type="pct"/>
          </w:tcPr>
          <w:p w14:paraId="19D128F8">
            <w:pPr>
              <w:pStyle w:val="54"/>
              <w:widowControl w:val="0"/>
              <w:spacing w:before="0" w:after="0"/>
              <w:rPr>
                <w:rFonts w:ascii="Times New Roman"/>
                <w:snapToGrid w:val="0"/>
                <w:color w:val="auto"/>
                <w:szCs w:val="21"/>
              </w:rPr>
            </w:pPr>
            <w:r>
              <w:rPr>
                <w:rFonts w:hint="eastAsia" w:ascii="Times New Roman"/>
                <w:snapToGrid w:val="0"/>
                <w:color w:val="auto"/>
                <w:kern w:val="0"/>
                <w:szCs w:val="21"/>
              </w:rPr>
              <w:t>挥发酚≤</w:t>
            </w:r>
          </w:p>
        </w:tc>
        <w:tc>
          <w:tcPr>
            <w:tcW w:w="1180" w:type="pct"/>
            <w:vAlign w:val="center"/>
          </w:tcPr>
          <w:p w14:paraId="081D82B8">
            <w:pPr>
              <w:pStyle w:val="54"/>
              <w:widowControl w:val="0"/>
              <w:spacing w:before="0" w:after="0"/>
              <w:rPr>
                <w:rFonts w:ascii="Times New Roman"/>
                <w:snapToGrid w:val="0"/>
                <w:color w:val="auto"/>
                <w:szCs w:val="21"/>
              </w:rPr>
            </w:pPr>
            <w:r>
              <w:rPr>
                <w:rFonts w:hint="eastAsia" w:ascii="Times New Roman"/>
                <w:snapToGrid w:val="0"/>
                <w:color w:val="auto"/>
                <w:szCs w:val="21"/>
              </w:rPr>
              <w:t>0.005</w:t>
            </w:r>
          </w:p>
        </w:tc>
        <w:tc>
          <w:tcPr>
            <w:tcW w:w="750" w:type="pct"/>
            <w:vAlign w:val="center"/>
          </w:tcPr>
          <w:p w14:paraId="1BD2FDFA">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0866267B">
            <w:pPr>
              <w:pStyle w:val="54"/>
              <w:widowControl w:val="0"/>
              <w:spacing w:before="0" w:after="0"/>
              <w:rPr>
                <w:rFonts w:ascii="Times New Roman"/>
                <w:snapToGrid w:val="0"/>
                <w:color w:val="auto"/>
                <w:szCs w:val="21"/>
              </w:rPr>
            </w:pPr>
          </w:p>
        </w:tc>
      </w:tr>
      <w:tr w14:paraId="2431FD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7854AE19">
            <w:pPr>
              <w:pStyle w:val="54"/>
              <w:widowControl w:val="0"/>
              <w:spacing w:before="0" w:after="0"/>
              <w:rPr>
                <w:rFonts w:ascii="Times New Roman"/>
                <w:snapToGrid w:val="0"/>
                <w:color w:val="auto"/>
                <w:szCs w:val="21"/>
              </w:rPr>
            </w:pPr>
            <w:r>
              <w:rPr>
                <w:rFonts w:hint="eastAsia" w:ascii="Times New Roman"/>
                <w:snapToGrid w:val="0"/>
                <w:color w:val="auto"/>
                <w:szCs w:val="21"/>
              </w:rPr>
              <w:t>21</w:t>
            </w:r>
          </w:p>
        </w:tc>
        <w:tc>
          <w:tcPr>
            <w:tcW w:w="1501" w:type="pct"/>
            <w:vAlign w:val="center"/>
          </w:tcPr>
          <w:p w14:paraId="63A7DE34">
            <w:pPr>
              <w:pStyle w:val="54"/>
              <w:widowControl w:val="0"/>
              <w:spacing w:before="0" w:after="0"/>
              <w:rPr>
                <w:rFonts w:ascii="Times New Roman"/>
                <w:snapToGrid w:val="0"/>
                <w:color w:val="auto"/>
                <w:szCs w:val="21"/>
              </w:rPr>
            </w:pPr>
            <w:r>
              <w:rPr>
                <w:rFonts w:hint="eastAsia" w:ascii="Times New Roman"/>
                <w:snapToGrid w:val="0"/>
                <w:color w:val="auto"/>
                <w:kern w:val="0"/>
                <w:szCs w:val="21"/>
              </w:rPr>
              <w:t>氰化物≤</w:t>
            </w:r>
          </w:p>
        </w:tc>
        <w:tc>
          <w:tcPr>
            <w:tcW w:w="1180" w:type="pct"/>
            <w:vAlign w:val="center"/>
          </w:tcPr>
          <w:p w14:paraId="3A046B19">
            <w:pPr>
              <w:pStyle w:val="54"/>
              <w:widowControl w:val="0"/>
              <w:spacing w:before="0" w:after="0"/>
              <w:rPr>
                <w:rFonts w:ascii="Times New Roman"/>
                <w:snapToGrid w:val="0"/>
                <w:color w:val="auto"/>
                <w:szCs w:val="21"/>
              </w:rPr>
            </w:pPr>
            <w:r>
              <w:rPr>
                <w:rFonts w:hint="eastAsia" w:ascii="Times New Roman"/>
                <w:snapToGrid w:val="0"/>
                <w:color w:val="auto"/>
                <w:szCs w:val="21"/>
              </w:rPr>
              <w:t>0.2</w:t>
            </w:r>
          </w:p>
        </w:tc>
        <w:tc>
          <w:tcPr>
            <w:tcW w:w="750" w:type="pct"/>
            <w:vAlign w:val="center"/>
          </w:tcPr>
          <w:p w14:paraId="0DB6F978">
            <w:pPr>
              <w:pStyle w:val="54"/>
              <w:widowControl w:val="0"/>
              <w:spacing w:before="0" w:after="0"/>
              <w:rPr>
                <w:rFonts w:ascii="Times New Roman"/>
                <w:snapToGrid w:val="0"/>
                <w:color w:val="auto"/>
                <w:szCs w:val="21"/>
              </w:rPr>
            </w:pPr>
            <w:r>
              <w:rPr>
                <w:rFonts w:ascii="Times New Roman"/>
                <w:snapToGrid w:val="0"/>
                <w:color w:val="auto"/>
                <w:szCs w:val="21"/>
              </w:rPr>
              <w:t>m</w:t>
            </w:r>
            <w:r>
              <w:rPr>
                <w:rFonts w:hint="eastAsia" w:ascii="Times New Roman"/>
                <w:snapToGrid w:val="0"/>
                <w:color w:val="auto"/>
                <w:szCs w:val="21"/>
              </w:rPr>
              <w:t>g/L</w:t>
            </w:r>
          </w:p>
        </w:tc>
        <w:tc>
          <w:tcPr>
            <w:tcW w:w="926" w:type="pct"/>
            <w:vMerge w:val="continue"/>
            <w:vAlign w:val="center"/>
          </w:tcPr>
          <w:p w14:paraId="3F8D20D9">
            <w:pPr>
              <w:pStyle w:val="54"/>
              <w:widowControl w:val="0"/>
              <w:spacing w:before="0" w:after="0"/>
              <w:rPr>
                <w:rFonts w:ascii="Times New Roman"/>
                <w:snapToGrid w:val="0"/>
                <w:color w:val="auto"/>
                <w:szCs w:val="21"/>
              </w:rPr>
            </w:pPr>
          </w:p>
        </w:tc>
      </w:tr>
      <w:tr w14:paraId="191D0E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tcPr>
          <w:p w14:paraId="0EEC3598">
            <w:pPr>
              <w:pStyle w:val="54"/>
              <w:widowControl w:val="0"/>
              <w:spacing w:before="0" w:after="0"/>
              <w:rPr>
                <w:rFonts w:ascii="Times New Roman"/>
                <w:snapToGrid w:val="0"/>
                <w:color w:val="auto"/>
                <w:szCs w:val="21"/>
              </w:rPr>
            </w:pPr>
            <w:r>
              <w:rPr>
                <w:rFonts w:hint="eastAsia" w:ascii="Times New Roman"/>
                <w:snapToGrid w:val="0"/>
                <w:color w:val="auto"/>
                <w:szCs w:val="21"/>
              </w:rPr>
              <w:t>22</w:t>
            </w:r>
          </w:p>
        </w:tc>
        <w:tc>
          <w:tcPr>
            <w:tcW w:w="1501" w:type="pct"/>
          </w:tcPr>
          <w:p w14:paraId="16D0AF42">
            <w:pPr>
              <w:pStyle w:val="54"/>
              <w:widowControl w:val="0"/>
              <w:spacing w:before="0" w:after="0"/>
              <w:rPr>
                <w:rFonts w:ascii="Times New Roman"/>
                <w:snapToGrid w:val="0"/>
                <w:color w:val="auto"/>
                <w:szCs w:val="21"/>
              </w:rPr>
            </w:pPr>
            <w:r>
              <w:rPr>
                <w:rFonts w:hint="eastAsia" w:ascii="Times New Roman"/>
                <w:snapToGrid w:val="0"/>
                <w:color w:val="auto"/>
                <w:kern w:val="0"/>
                <w:szCs w:val="21"/>
              </w:rPr>
              <w:t>粪大肠菌落≤</w:t>
            </w:r>
          </w:p>
        </w:tc>
        <w:tc>
          <w:tcPr>
            <w:tcW w:w="1180" w:type="pct"/>
            <w:vAlign w:val="center"/>
          </w:tcPr>
          <w:p w14:paraId="5EE042CD">
            <w:pPr>
              <w:pStyle w:val="54"/>
              <w:widowControl w:val="0"/>
              <w:spacing w:before="0" w:after="0"/>
              <w:rPr>
                <w:rFonts w:ascii="Times New Roman"/>
                <w:snapToGrid w:val="0"/>
                <w:color w:val="auto"/>
                <w:szCs w:val="21"/>
              </w:rPr>
            </w:pPr>
            <w:r>
              <w:rPr>
                <w:rFonts w:hint="eastAsia" w:ascii="Times New Roman"/>
                <w:snapToGrid w:val="0"/>
                <w:color w:val="auto"/>
                <w:szCs w:val="21"/>
              </w:rPr>
              <w:t>10000</w:t>
            </w:r>
          </w:p>
        </w:tc>
        <w:tc>
          <w:tcPr>
            <w:tcW w:w="750" w:type="pct"/>
            <w:vAlign w:val="center"/>
          </w:tcPr>
          <w:p w14:paraId="431DF46B">
            <w:pPr>
              <w:pStyle w:val="54"/>
              <w:widowControl w:val="0"/>
              <w:spacing w:before="0" w:after="0"/>
              <w:rPr>
                <w:rFonts w:ascii="Times New Roman"/>
                <w:snapToGrid w:val="0"/>
                <w:color w:val="auto"/>
                <w:szCs w:val="21"/>
              </w:rPr>
            </w:pPr>
            <w:r>
              <w:rPr>
                <w:rFonts w:hint="eastAsia" w:ascii="Times New Roman"/>
                <w:snapToGrid w:val="0"/>
                <w:color w:val="auto"/>
                <w:szCs w:val="21"/>
              </w:rPr>
              <w:t>个/L</w:t>
            </w:r>
          </w:p>
        </w:tc>
        <w:tc>
          <w:tcPr>
            <w:tcW w:w="926" w:type="pct"/>
            <w:vMerge w:val="continue"/>
            <w:vAlign w:val="center"/>
          </w:tcPr>
          <w:p w14:paraId="6F3681C3">
            <w:pPr>
              <w:pStyle w:val="54"/>
              <w:widowControl w:val="0"/>
              <w:spacing w:before="0" w:after="0"/>
              <w:rPr>
                <w:rFonts w:ascii="Times New Roman"/>
                <w:snapToGrid w:val="0"/>
                <w:color w:val="auto"/>
                <w:szCs w:val="21"/>
              </w:rPr>
            </w:pPr>
          </w:p>
        </w:tc>
      </w:tr>
    </w:tbl>
    <w:p w14:paraId="031A08ED">
      <w:pPr>
        <w:ind w:firstLine="482"/>
        <w:rPr>
          <w:b/>
          <w:bCs/>
        </w:rPr>
      </w:pPr>
      <w:r>
        <w:rPr>
          <w:rFonts w:hint="eastAsia"/>
          <w:b/>
          <w:bCs/>
        </w:rPr>
        <w:t>（3）地下水环境</w:t>
      </w:r>
    </w:p>
    <w:p w14:paraId="09FD62D5">
      <w:pPr>
        <w:ind w:firstLine="480"/>
      </w:pPr>
      <w:r>
        <w:rPr>
          <w:rFonts w:hint="eastAsia"/>
        </w:rPr>
        <w:t>后评价阶段与环评及验收阶段相比，地下水质量标准发生了变化。环评及验收阶段区域地下水执行《地下水质量标准》（GB/T14848-93）Ⅲ类标准，后评价阶段执行区域地下水执行《地下水质量标准》（GB/T14848-2017）Ⅲ类标准。具体标准限值详见表1.4-3。</w:t>
      </w:r>
    </w:p>
    <w:p w14:paraId="0EEBF982">
      <w:pPr>
        <w:pStyle w:val="18"/>
        <w:ind w:firstLine="482"/>
        <w:jc w:val="center"/>
        <w:rPr>
          <w:b/>
          <w:bCs/>
          <w:sz w:val="24"/>
          <w:szCs w:val="24"/>
        </w:rPr>
      </w:pPr>
      <w:r>
        <w:rPr>
          <w:b/>
          <w:bCs/>
          <w:sz w:val="24"/>
          <w:szCs w:val="24"/>
        </w:rPr>
        <w:t>表</w:t>
      </w:r>
      <w:r>
        <w:rPr>
          <w:rFonts w:hint="eastAsia"/>
          <w:b/>
          <w:bCs/>
          <w:sz w:val="24"/>
          <w:szCs w:val="24"/>
        </w:rPr>
        <w:t>1.4-</w:t>
      </w:r>
      <w:r>
        <w:rPr>
          <w:b/>
          <w:bCs/>
          <w:sz w:val="24"/>
          <w:szCs w:val="24"/>
        </w:rPr>
        <w:t>3  地下水环境质量</w:t>
      </w:r>
      <w:r>
        <w:rPr>
          <w:rFonts w:hint="eastAsia"/>
          <w:b/>
          <w:bCs/>
          <w:sz w:val="24"/>
          <w:szCs w:val="24"/>
        </w:rPr>
        <w:t>标准</w:t>
      </w:r>
    </w:p>
    <w:tbl>
      <w:tblPr>
        <w:tblStyle w:val="32"/>
        <w:tblW w:w="521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4"/>
        <w:gridCol w:w="2726"/>
        <w:gridCol w:w="1811"/>
        <w:gridCol w:w="1895"/>
        <w:gridCol w:w="1692"/>
      </w:tblGrid>
      <w:tr w14:paraId="2EFB1E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Merge w:val="restart"/>
            <w:vAlign w:val="center"/>
          </w:tcPr>
          <w:p w14:paraId="70011BB6">
            <w:pPr>
              <w:pStyle w:val="54"/>
              <w:widowControl w:val="0"/>
              <w:spacing w:before="0" w:after="0"/>
              <w:rPr>
                <w:rFonts w:ascii="Times New Roman"/>
                <w:b/>
                <w:bCs/>
                <w:snapToGrid w:val="0"/>
                <w:color w:val="auto"/>
                <w:kern w:val="0"/>
                <w:szCs w:val="21"/>
              </w:rPr>
            </w:pPr>
            <w:r>
              <w:rPr>
                <w:rFonts w:ascii="Times New Roman"/>
                <w:b/>
                <w:bCs/>
                <w:snapToGrid w:val="0"/>
                <w:color w:val="auto"/>
                <w:kern w:val="0"/>
                <w:szCs w:val="21"/>
              </w:rPr>
              <w:t>序号</w:t>
            </w:r>
          </w:p>
        </w:tc>
        <w:tc>
          <w:tcPr>
            <w:tcW w:w="2730" w:type="dxa"/>
            <w:vMerge w:val="restart"/>
            <w:vAlign w:val="center"/>
          </w:tcPr>
          <w:p w14:paraId="7590FB3E">
            <w:pPr>
              <w:pStyle w:val="54"/>
              <w:widowControl w:val="0"/>
              <w:spacing w:before="0" w:after="0"/>
              <w:rPr>
                <w:rFonts w:ascii="Times New Roman"/>
                <w:b/>
                <w:bCs/>
                <w:snapToGrid w:val="0"/>
                <w:color w:val="auto"/>
                <w:kern w:val="0"/>
                <w:szCs w:val="21"/>
              </w:rPr>
            </w:pPr>
            <w:r>
              <w:rPr>
                <w:rFonts w:ascii="Times New Roman"/>
                <w:b/>
                <w:bCs/>
                <w:snapToGrid w:val="0"/>
                <w:color w:val="auto"/>
                <w:kern w:val="0"/>
                <w:szCs w:val="21"/>
              </w:rPr>
              <w:t>项目</w:t>
            </w:r>
          </w:p>
        </w:tc>
        <w:tc>
          <w:tcPr>
            <w:tcW w:w="1811" w:type="dxa"/>
            <w:vAlign w:val="center"/>
          </w:tcPr>
          <w:p w14:paraId="5603698A">
            <w:pPr>
              <w:pStyle w:val="54"/>
              <w:widowControl w:val="0"/>
              <w:spacing w:before="0" w:after="0"/>
              <w:rPr>
                <w:rFonts w:ascii="Times New Roman"/>
                <w:b/>
                <w:bCs/>
                <w:snapToGrid w:val="0"/>
                <w:color w:val="auto"/>
                <w:kern w:val="0"/>
                <w:szCs w:val="21"/>
              </w:rPr>
            </w:pPr>
            <w:r>
              <w:rPr>
                <w:rFonts w:hint="eastAsia" w:ascii="Times New Roman"/>
                <w:b/>
                <w:bCs/>
                <w:snapToGrid w:val="0"/>
                <w:color w:val="auto"/>
                <w:kern w:val="0"/>
                <w:szCs w:val="21"/>
              </w:rPr>
              <w:t>环评及验收阶段</w:t>
            </w:r>
          </w:p>
        </w:tc>
        <w:tc>
          <w:tcPr>
            <w:tcW w:w="1895" w:type="dxa"/>
            <w:vAlign w:val="center"/>
          </w:tcPr>
          <w:p w14:paraId="57CCF966">
            <w:pPr>
              <w:pStyle w:val="54"/>
              <w:widowControl w:val="0"/>
              <w:spacing w:before="0" w:after="0"/>
              <w:rPr>
                <w:rFonts w:ascii="Times New Roman"/>
                <w:b/>
                <w:bCs/>
                <w:snapToGrid w:val="0"/>
                <w:color w:val="auto"/>
                <w:kern w:val="0"/>
                <w:szCs w:val="21"/>
              </w:rPr>
            </w:pPr>
            <w:r>
              <w:rPr>
                <w:rFonts w:hint="eastAsia" w:ascii="Times New Roman"/>
                <w:b/>
                <w:bCs/>
                <w:snapToGrid w:val="0"/>
                <w:color w:val="auto"/>
                <w:kern w:val="0"/>
                <w:szCs w:val="21"/>
              </w:rPr>
              <w:t>后评价阶段</w:t>
            </w:r>
          </w:p>
        </w:tc>
        <w:tc>
          <w:tcPr>
            <w:tcW w:w="1692" w:type="dxa"/>
            <w:vMerge w:val="restart"/>
            <w:vAlign w:val="center"/>
          </w:tcPr>
          <w:p w14:paraId="6D88AA53">
            <w:pPr>
              <w:pStyle w:val="54"/>
              <w:widowControl w:val="0"/>
              <w:spacing w:before="0" w:after="0"/>
              <w:rPr>
                <w:rFonts w:ascii="Times New Roman"/>
                <w:b/>
                <w:bCs/>
                <w:snapToGrid w:val="0"/>
                <w:color w:val="auto"/>
                <w:kern w:val="0"/>
                <w:szCs w:val="21"/>
              </w:rPr>
            </w:pPr>
            <w:r>
              <w:rPr>
                <w:rFonts w:hint="eastAsia" w:ascii="Times New Roman"/>
                <w:b/>
                <w:bCs/>
                <w:snapToGrid w:val="0"/>
                <w:color w:val="auto"/>
                <w:kern w:val="0"/>
                <w:szCs w:val="21"/>
              </w:rPr>
              <w:t>单位</w:t>
            </w:r>
          </w:p>
        </w:tc>
      </w:tr>
      <w:tr w14:paraId="113F04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Merge w:val="continue"/>
            <w:vAlign w:val="center"/>
          </w:tcPr>
          <w:p w14:paraId="72BCA1C6">
            <w:pPr>
              <w:pStyle w:val="54"/>
              <w:widowControl w:val="0"/>
              <w:spacing w:before="0" w:after="0"/>
              <w:rPr>
                <w:rFonts w:ascii="Times New Roman"/>
                <w:snapToGrid w:val="0"/>
                <w:color w:val="auto"/>
                <w:kern w:val="0"/>
                <w:szCs w:val="21"/>
              </w:rPr>
            </w:pPr>
          </w:p>
        </w:tc>
        <w:tc>
          <w:tcPr>
            <w:tcW w:w="2730" w:type="dxa"/>
            <w:vMerge w:val="continue"/>
            <w:vAlign w:val="center"/>
          </w:tcPr>
          <w:p w14:paraId="49972CF4">
            <w:pPr>
              <w:pStyle w:val="54"/>
              <w:widowControl w:val="0"/>
              <w:spacing w:before="0" w:after="0"/>
              <w:rPr>
                <w:rFonts w:ascii="Times New Roman"/>
                <w:snapToGrid w:val="0"/>
                <w:color w:val="auto"/>
                <w:kern w:val="0"/>
                <w:szCs w:val="21"/>
              </w:rPr>
            </w:pPr>
          </w:p>
        </w:tc>
        <w:tc>
          <w:tcPr>
            <w:tcW w:w="1811" w:type="dxa"/>
            <w:vAlign w:val="center"/>
          </w:tcPr>
          <w:p w14:paraId="2E5562EB">
            <w:pPr>
              <w:pStyle w:val="54"/>
              <w:widowControl w:val="0"/>
              <w:spacing w:before="0" w:after="0"/>
              <w:rPr>
                <w:rFonts w:ascii="Times New Roman"/>
                <w:b/>
                <w:bCs/>
                <w:snapToGrid w:val="0"/>
                <w:color w:val="auto"/>
                <w:kern w:val="0"/>
                <w:szCs w:val="21"/>
              </w:rPr>
            </w:pPr>
            <w:r>
              <w:rPr>
                <w:rFonts w:ascii="Times New Roman"/>
                <w:b/>
                <w:bCs/>
                <w:snapToGrid w:val="0"/>
                <w:color w:val="auto"/>
                <w:kern w:val="0"/>
                <w:szCs w:val="21"/>
              </w:rPr>
              <w:t>GB/T14848-93</w:t>
            </w:r>
          </w:p>
          <w:p w14:paraId="47A46894">
            <w:pPr>
              <w:pStyle w:val="54"/>
              <w:widowControl w:val="0"/>
              <w:spacing w:before="0" w:after="0"/>
              <w:rPr>
                <w:rFonts w:ascii="Times New Roman"/>
                <w:b/>
                <w:bCs/>
                <w:snapToGrid w:val="0"/>
                <w:color w:val="auto"/>
                <w:kern w:val="0"/>
                <w:szCs w:val="21"/>
              </w:rPr>
            </w:pPr>
            <w:r>
              <w:rPr>
                <w:rFonts w:hint="eastAsia"/>
                <w:b/>
                <w:bCs/>
                <w:color w:val="auto"/>
              </w:rPr>
              <w:t>Ⅲ类</w:t>
            </w:r>
          </w:p>
        </w:tc>
        <w:tc>
          <w:tcPr>
            <w:tcW w:w="1895" w:type="dxa"/>
            <w:vAlign w:val="center"/>
          </w:tcPr>
          <w:p w14:paraId="620A6763">
            <w:pPr>
              <w:pStyle w:val="54"/>
              <w:widowControl w:val="0"/>
              <w:spacing w:before="0" w:after="0"/>
              <w:rPr>
                <w:rFonts w:ascii="Times New Roman"/>
                <w:b/>
                <w:bCs/>
                <w:snapToGrid w:val="0"/>
                <w:color w:val="auto"/>
                <w:kern w:val="0"/>
                <w:szCs w:val="21"/>
              </w:rPr>
            </w:pPr>
            <w:r>
              <w:rPr>
                <w:rFonts w:hint="eastAsia" w:ascii="Times New Roman"/>
                <w:b/>
                <w:bCs/>
                <w:snapToGrid w:val="0"/>
                <w:color w:val="auto"/>
                <w:kern w:val="0"/>
                <w:szCs w:val="21"/>
              </w:rPr>
              <w:t>GB/T14848-2017Ⅲ类</w:t>
            </w:r>
          </w:p>
        </w:tc>
        <w:tc>
          <w:tcPr>
            <w:tcW w:w="1692" w:type="dxa"/>
            <w:vMerge w:val="continue"/>
            <w:vAlign w:val="center"/>
          </w:tcPr>
          <w:p w14:paraId="442D19AE">
            <w:pPr>
              <w:pStyle w:val="54"/>
              <w:widowControl w:val="0"/>
              <w:spacing w:before="0" w:after="0"/>
              <w:rPr>
                <w:rFonts w:ascii="Times New Roman"/>
                <w:snapToGrid w:val="0"/>
                <w:color w:val="auto"/>
                <w:kern w:val="0"/>
                <w:szCs w:val="21"/>
              </w:rPr>
            </w:pPr>
          </w:p>
        </w:tc>
      </w:tr>
      <w:tr w14:paraId="3332F9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399A7A42">
            <w:pPr>
              <w:pStyle w:val="54"/>
              <w:widowControl w:val="0"/>
              <w:spacing w:before="0" w:after="0"/>
              <w:rPr>
                <w:rFonts w:ascii="Times New Roman"/>
                <w:snapToGrid w:val="0"/>
                <w:color w:val="auto"/>
                <w:kern w:val="0"/>
                <w:szCs w:val="21"/>
              </w:rPr>
            </w:pPr>
            <w:r>
              <w:rPr>
                <w:rFonts w:ascii="Times New Roman"/>
                <w:snapToGrid w:val="0"/>
                <w:color w:val="auto"/>
                <w:kern w:val="0"/>
                <w:szCs w:val="21"/>
              </w:rPr>
              <w:t>1</w:t>
            </w:r>
          </w:p>
        </w:tc>
        <w:tc>
          <w:tcPr>
            <w:tcW w:w="2730" w:type="dxa"/>
            <w:vAlign w:val="center"/>
          </w:tcPr>
          <w:p w14:paraId="7650FE94">
            <w:pPr>
              <w:pStyle w:val="54"/>
              <w:widowControl w:val="0"/>
              <w:spacing w:before="0" w:after="0"/>
              <w:rPr>
                <w:rFonts w:ascii="Times New Roman"/>
                <w:snapToGrid w:val="0"/>
                <w:color w:val="auto"/>
                <w:kern w:val="0"/>
                <w:szCs w:val="21"/>
              </w:rPr>
            </w:pPr>
            <w:r>
              <w:rPr>
                <w:rFonts w:ascii="Times New Roman"/>
                <w:snapToGrid w:val="0"/>
                <w:color w:val="auto"/>
                <w:kern w:val="0"/>
                <w:szCs w:val="21"/>
              </w:rPr>
              <w:t>pH</w:t>
            </w:r>
          </w:p>
        </w:tc>
        <w:tc>
          <w:tcPr>
            <w:tcW w:w="1811" w:type="dxa"/>
            <w:vAlign w:val="center"/>
          </w:tcPr>
          <w:p w14:paraId="1C437458">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6</w:t>
            </w:r>
            <w:r>
              <w:rPr>
                <w:rFonts w:ascii="Times New Roman"/>
                <w:snapToGrid w:val="0"/>
                <w:color w:val="auto"/>
                <w:kern w:val="0"/>
                <w:szCs w:val="21"/>
              </w:rPr>
              <w:t>.5~8.5</w:t>
            </w:r>
          </w:p>
        </w:tc>
        <w:tc>
          <w:tcPr>
            <w:tcW w:w="1895" w:type="dxa"/>
            <w:vAlign w:val="center"/>
          </w:tcPr>
          <w:p w14:paraId="58D0C40B">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6</w:t>
            </w:r>
            <w:r>
              <w:rPr>
                <w:rFonts w:ascii="Times New Roman"/>
                <w:snapToGrid w:val="0"/>
                <w:color w:val="auto"/>
                <w:kern w:val="0"/>
                <w:szCs w:val="21"/>
              </w:rPr>
              <w:t>.5~8.5</w:t>
            </w:r>
          </w:p>
        </w:tc>
        <w:tc>
          <w:tcPr>
            <w:tcW w:w="1692" w:type="dxa"/>
            <w:vAlign w:val="center"/>
          </w:tcPr>
          <w:p w14:paraId="5BFDD075">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无量纲</w:t>
            </w:r>
          </w:p>
        </w:tc>
      </w:tr>
      <w:tr w14:paraId="225D34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4587C021">
            <w:pPr>
              <w:pStyle w:val="54"/>
              <w:widowControl w:val="0"/>
              <w:spacing w:before="0" w:after="0"/>
              <w:rPr>
                <w:rFonts w:ascii="Times New Roman"/>
                <w:snapToGrid w:val="0"/>
                <w:color w:val="auto"/>
                <w:kern w:val="0"/>
                <w:szCs w:val="21"/>
              </w:rPr>
            </w:pPr>
            <w:r>
              <w:rPr>
                <w:rFonts w:ascii="Times New Roman"/>
                <w:snapToGrid w:val="0"/>
                <w:color w:val="auto"/>
                <w:kern w:val="0"/>
                <w:szCs w:val="21"/>
              </w:rPr>
              <w:t>2</w:t>
            </w:r>
          </w:p>
        </w:tc>
        <w:tc>
          <w:tcPr>
            <w:tcW w:w="2730" w:type="dxa"/>
            <w:vAlign w:val="center"/>
          </w:tcPr>
          <w:p w14:paraId="03E29C3E">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色度≤</w:t>
            </w:r>
          </w:p>
        </w:tc>
        <w:tc>
          <w:tcPr>
            <w:tcW w:w="1811" w:type="dxa"/>
            <w:vAlign w:val="center"/>
          </w:tcPr>
          <w:p w14:paraId="2790995E">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15</w:t>
            </w:r>
          </w:p>
        </w:tc>
        <w:tc>
          <w:tcPr>
            <w:tcW w:w="1895" w:type="dxa"/>
            <w:vAlign w:val="center"/>
          </w:tcPr>
          <w:p w14:paraId="68DC3325">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w:t>
            </w:r>
          </w:p>
        </w:tc>
        <w:tc>
          <w:tcPr>
            <w:tcW w:w="1692" w:type="dxa"/>
            <w:vAlign w:val="center"/>
          </w:tcPr>
          <w:p w14:paraId="62A300A9">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无量纲</w:t>
            </w:r>
          </w:p>
        </w:tc>
      </w:tr>
      <w:tr w14:paraId="2D9A46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6CB9BBAA">
            <w:pPr>
              <w:pStyle w:val="54"/>
              <w:widowControl w:val="0"/>
              <w:spacing w:before="0" w:after="0"/>
              <w:rPr>
                <w:rFonts w:ascii="Times New Roman"/>
                <w:snapToGrid w:val="0"/>
                <w:color w:val="auto"/>
                <w:kern w:val="0"/>
                <w:szCs w:val="21"/>
              </w:rPr>
            </w:pPr>
            <w:r>
              <w:rPr>
                <w:rFonts w:ascii="Times New Roman"/>
                <w:snapToGrid w:val="0"/>
                <w:color w:val="auto"/>
                <w:kern w:val="0"/>
                <w:szCs w:val="21"/>
              </w:rPr>
              <w:t>3</w:t>
            </w:r>
          </w:p>
        </w:tc>
        <w:tc>
          <w:tcPr>
            <w:tcW w:w="2730" w:type="dxa"/>
            <w:vAlign w:val="center"/>
          </w:tcPr>
          <w:p w14:paraId="2C615029">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耗氧量≤</w:t>
            </w:r>
          </w:p>
        </w:tc>
        <w:tc>
          <w:tcPr>
            <w:tcW w:w="1811" w:type="dxa"/>
            <w:vAlign w:val="center"/>
          </w:tcPr>
          <w:p w14:paraId="2C4D01D9">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w:t>
            </w:r>
          </w:p>
        </w:tc>
        <w:tc>
          <w:tcPr>
            <w:tcW w:w="1895" w:type="dxa"/>
            <w:vAlign w:val="center"/>
          </w:tcPr>
          <w:p w14:paraId="152AC54B">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3.0</w:t>
            </w:r>
          </w:p>
        </w:tc>
        <w:tc>
          <w:tcPr>
            <w:tcW w:w="1692" w:type="dxa"/>
            <w:vAlign w:val="center"/>
          </w:tcPr>
          <w:p w14:paraId="24DF8266">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0FA485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1297B526">
            <w:pPr>
              <w:pStyle w:val="54"/>
              <w:widowControl w:val="0"/>
              <w:spacing w:before="0" w:after="0"/>
              <w:rPr>
                <w:rFonts w:ascii="Times New Roman"/>
                <w:snapToGrid w:val="0"/>
                <w:color w:val="auto"/>
                <w:kern w:val="0"/>
                <w:szCs w:val="21"/>
              </w:rPr>
            </w:pPr>
            <w:r>
              <w:rPr>
                <w:rFonts w:ascii="Times New Roman"/>
                <w:snapToGrid w:val="0"/>
                <w:color w:val="auto"/>
                <w:kern w:val="0"/>
                <w:szCs w:val="21"/>
              </w:rPr>
              <w:t>4</w:t>
            </w:r>
          </w:p>
        </w:tc>
        <w:tc>
          <w:tcPr>
            <w:tcW w:w="2730" w:type="dxa"/>
            <w:vAlign w:val="center"/>
          </w:tcPr>
          <w:p w14:paraId="610D1E09">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高锰酸盐指数≤</w:t>
            </w:r>
          </w:p>
        </w:tc>
        <w:tc>
          <w:tcPr>
            <w:tcW w:w="1811" w:type="dxa"/>
            <w:vAlign w:val="center"/>
          </w:tcPr>
          <w:p w14:paraId="4F46380E">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3.0</w:t>
            </w:r>
          </w:p>
        </w:tc>
        <w:tc>
          <w:tcPr>
            <w:tcW w:w="1895" w:type="dxa"/>
            <w:vAlign w:val="center"/>
          </w:tcPr>
          <w:p w14:paraId="03E4C4B5">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w:t>
            </w:r>
          </w:p>
        </w:tc>
        <w:tc>
          <w:tcPr>
            <w:tcW w:w="1692" w:type="dxa"/>
            <w:vAlign w:val="center"/>
          </w:tcPr>
          <w:p w14:paraId="7A5AFCE3">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35D338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35B3B44A">
            <w:pPr>
              <w:pStyle w:val="54"/>
              <w:widowControl w:val="0"/>
              <w:spacing w:before="0" w:after="0"/>
              <w:rPr>
                <w:rFonts w:ascii="Times New Roman"/>
                <w:snapToGrid w:val="0"/>
                <w:color w:val="auto"/>
                <w:kern w:val="0"/>
                <w:szCs w:val="21"/>
              </w:rPr>
            </w:pPr>
            <w:r>
              <w:rPr>
                <w:rFonts w:ascii="Times New Roman"/>
                <w:snapToGrid w:val="0"/>
                <w:color w:val="auto"/>
                <w:kern w:val="0"/>
                <w:szCs w:val="21"/>
              </w:rPr>
              <w:t>5</w:t>
            </w:r>
          </w:p>
        </w:tc>
        <w:tc>
          <w:tcPr>
            <w:tcW w:w="2730" w:type="dxa"/>
            <w:vAlign w:val="center"/>
          </w:tcPr>
          <w:p w14:paraId="4A183BC5">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总硬度（以Ca</w:t>
            </w:r>
            <w:r>
              <w:rPr>
                <w:rFonts w:ascii="Times New Roman"/>
                <w:snapToGrid w:val="0"/>
                <w:color w:val="auto"/>
                <w:kern w:val="0"/>
                <w:szCs w:val="21"/>
              </w:rPr>
              <w:t>CO</w:t>
            </w:r>
            <w:r>
              <w:rPr>
                <w:rFonts w:ascii="Times New Roman"/>
                <w:snapToGrid w:val="0"/>
                <w:color w:val="auto"/>
                <w:kern w:val="0"/>
                <w:szCs w:val="21"/>
                <w:vertAlign w:val="subscript"/>
              </w:rPr>
              <w:t>3</w:t>
            </w:r>
            <w:r>
              <w:rPr>
                <w:rFonts w:hint="eastAsia" w:ascii="Times New Roman"/>
                <w:snapToGrid w:val="0"/>
                <w:color w:val="auto"/>
                <w:kern w:val="0"/>
                <w:szCs w:val="21"/>
              </w:rPr>
              <w:t>计）≤</w:t>
            </w:r>
          </w:p>
        </w:tc>
        <w:tc>
          <w:tcPr>
            <w:tcW w:w="1811" w:type="dxa"/>
            <w:vAlign w:val="center"/>
          </w:tcPr>
          <w:p w14:paraId="1EB9D9F2">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450</w:t>
            </w:r>
          </w:p>
        </w:tc>
        <w:tc>
          <w:tcPr>
            <w:tcW w:w="1895" w:type="dxa"/>
            <w:vAlign w:val="center"/>
          </w:tcPr>
          <w:p w14:paraId="010E17B2">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450</w:t>
            </w:r>
          </w:p>
        </w:tc>
        <w:tc>
          <w:tcPr>
            <w:tcW w:w="1692" w:type="dxa"/>
            <w:vAlign w:val="center"/>
          </w:tcPr>
          <w:p w14:paraId="14AFC2DC">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0C9C8F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0328B662">
            <w:pPr>
              <w:pStyle w:val="54"/>
              <w:widowControl w:val="0"/>
              <w:spacing w:before="0" w:after="0"/>
              <w:rPr>
                <w:rFonts w:ascii="Times New Roman"/>
                <w:snapToGrid w:val="0"/>
                <w:color w:val="auto"/>
                <w:kern w:val="0"/>
                <w:szCs w:val="21"/>
              </w:rPr>
            </w:pPr>
            <w:r>
              <w:rPr>
                <w:rFonts w:ascii="Times New Roman"/>
                <w:snapToGrid w:val="0"/>
                <w:color w:val="auto"/>
                <w:kern w:val="0"/>
                <w:szCs w:val="21"/>
              </w:rPr>
              <w:t>6</w:t>
            </w:r>
          </w:p>
        </w:tc>
        <w:tc>
          <w:tcPr>
            <w:tcW w:w="2730" w:type="dxa"/>
            <w:vAlign w:val="center"/>
          </w:tcPr>
          <w:p w14:paraId="4BE9844C">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溶解性总固体≤</w:t>
            </w:r>
          </w:p>
        </w:tc>
        <w:tc>
          <w:tcPr>
            <w:tcW w:w="1811" w:type="dxa"/>
            <w:vAlign w:val="center"/>
          </w:tcPr>
          <w:p w14:paraId="5885486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1000</w:t>
            </w:r>
          </w:p>
        </w:tc>
        <w:tc>
          <w:tcPr>
            <w:tcW w:w="1895" w:type="dxa"/>
            <w:vAlign w:val="center"/>
          </w:tcPr>
          <w:p w14:paraId="23545202">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1000</w:t>
            </w:r>
          </w:p>
        </w:tc>
        <w:tc>
          <w:tcPr>
            <w:tcW w:w="1692" w:type="dxa"/>
            <w:vAlign w:val="center"/>
          </w:tcPr>
          <w:p w14:paraId="74DAE553">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1EF270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6D43701F">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7</w:t>
            </w:r>
          </w:p>
        </w:tc>
        <w:tc>
          <w:tcPr>
            <w:tcW w:w="2730" w:type="dxa"/>
            <w:vAlign w:val="center"/>
          </w:tcPr>
          <w:p w14:paraId="4F313804">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硫酸盐≤</w:t>
            </w:r>
          </w:p>
        </w:tc>
        <w:tc>
          <w:tcPr>
            <w:tcW w:w="1811" w:type="dxa"/>
            <w:vAlign w:val="center"/>
          </w:tcPr>
          <w:p w14:paraId="2E3EDAE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250</w:t>
            </w:r>
          </w:p>
        </w:tc>
        <w:tc>
          <w:tcPr>
            <w:tcW w:w="1895" w:type="dxa"/>
            <w:vAlign w:val="center"/>
          </w:tcPr>
          <w:p w14:paraId="3E639305">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250</w:t>
            </w:r>
          </w:p>
        </w:tc>
        <w:tc>
          <w:tcPr>
            <w:tcW w:w="1692" w:type="dxa"/>
            <w:vAlign w:val="center"/>
          </w:tcPr>
          <w:p w14:paraId="0D0BF63E">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1B1C28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55D999FA">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8</w:t>
            </w:r>
          </w:p>
        </w:tc>
        <w:tc>
          <w:tcPr>
            <w:tcW w:w="2730" w:type="dxa"/>
            <w:vAlign w:val="center"/>
          </w:tcPr>
          <w:p w14:paraId="17F4F2B3">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氯化物≤</w:t>
            </w:r>
          </w:p>
        </w:tc>
        <w:tc>
          <w:tcPr>
            <w:tcW w:w="1811" w:type="dxa"/>
            <w:vAlign w:val="center"/>
          </w:tcPr>
          <w:p w14:paraId="2B0F7F9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250</w:t>
            </w:r>
          </w:p>
        </w:tc>
        <w:tc>
          <w:tcPr>
            <w:tcW w:w="1895" w:type="dxa"/>
            <w:vAlign w:val="center"/>
          </w:tcPr>
          <w:p w14:paraId="158B432F">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250</w:t>
            </w:r>
          </w:p>
        </w:tc>
        <w:tc>
          <w:tcPr>
            <w:tcW w:w="1692" w:type="dxa"/>
            <w:vAlign w:val="center"/>
          </w:tcPr>
          <w:p w14:paraId="1A9D2EE1">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70B0B1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223E60A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9</w:t>
            </w:r>
          </w:p>
        </w:tc>
        <w:tc>
          <w:tcPr>
            <w:tcW w:w="2730" w:type="dxa"/>
            <w:vAlign w:val="center"/>
          </w:tcPr>
          <w:p w14:paraId="4E0DB3E3">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铁≤</w:t>
            </w:r>
          </w:p>
        </w:tc>
        <w:tc>
          <w:tcPr>
            <w:tcW w:w="1811" w:type="dxa"/>
            <w:vAlign w:val="center"/>
          </w:tcPr>
          <w:p w14:paraId="7EBAFC87">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0.3</w:t>
            </w:r>
          </w:p>
        </w:tc>
        <w:tc>
          <w:tcPr>
            <w:tcW w:w="1895" w:type="dxa"/>
            <w:vAlign w:val="center"/>
          </w:tcPr>
          <w:p w14:paraId="76536738">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0.3</w:t>
            </w:r>
          </w:p>
        </w:tc>
        <w:tc>
          <w:tcPr>
            <w:tcW w:w="1692" w:type="dxa"/>
            <w:vAlign w:val="center"/>
          </w:tcPr>
          <w:p w14:paraId="78ABC4FA">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638534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25952A67">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10</w:t>
            </w:r>
          </w:p>
        </w:tc>
        <w:tc>
          <w:tcPr>
            <w:tcW w:w="2730" w:type="dxa"/>
            <w:vAlign w:val="center"/>
          </w:tcPr>
          <w:p w14:paraId="66886C3C">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锰≤</w:t>
            </w:r>
          </w:p>
        </w:tc>
        <w:tc>
          <w:tcPr>
            <w:tcW w:w="1811" w:type="dxa"/>
            <w:vAlign w:val="center"/>
          </w:tcPr>
          <w:p w14:paraId="1AAD2A3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0.1</w:t>
            </w:r>
          </w:p>
        </w:tc>
        <w:tc>
          <w:tcPr>
            <w:tcW w:w="1895" w:type="dxa"/>
            <w:vAlign w:val="center"/>
          </w:tcPr>
          <w:p w14:paraId="0D9FCFF3">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0.1</w:t>
            </w:r>
          </w:p>
        </w:tc>
        <w:tc>
          <w:tcPr>
            <w:tcW w:w="1692" w:type="dxa"/>
            <w:vAlign w:val="center"/>
          </w:tcPr>
          <w:p w14:paraId="46F942D1">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6B6048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58FBFD7E">
            <w:pPr>
              <w:pStyle w:val="54"/>
              <w:widowControl w:val="0"/>
              <w:spacing w:before="0" w:after="0"/>
              <w:rPr>
                <w:rFonts w:ascii="Times New Roman"/>
                <w:snapToGrid w:val="0"/>
                <w:color w:val="auto"/>
                <w:kern w:val="0"/>
                <w:szCs w:val="21"/>
              </w:rPr>
            </w:pPr>
            <w:r>
              <w:rPr>
                <w:rFonts w:ascii="Times New Roman"/>
                <w:snapToGrid w:val="0"/>
                <w:color w:val="auto"/>
                <w:kern w:val="0"/>
                <w:szCs w:val="21"/>
              </w:rPr>
              <w:t>1</w:t>
            </w:r>
            <w:r>
              <w:rPr>
                <w:rFonts w:hint="eastAsia" w:ascii="Times New Roman"/>
                <w:snapToGrid w:val="0"/>
                <w:color w:val="auto"/>
                <w:kern w:val="0"/>
                <w:szCs w:val="21"/>
              </w:rPr>
              <w:t>1</w:t>
            </w:r>
          </w:p>
        </w:tc>
        <w:tc>
          <w:tcPr>
            <w:tcW w:w="2730" w:type="dxa"/>
            <w:vAlign w:val="center"/>
          </w:tcPr>
          <w:p w14:paraId="5638C32F">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挥发性酚类≤</w:t>
            </w:r>
          </w:p>
        </w:tc>
        <w:tc>
          <w:tcPr>
            <w:tcW w:w="1811" w:type="dxa"/>
            <w:vAlign w:val="center"/>
          </w:tcPr>
          <w:p w14:paraId="5AA4B7F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0.002</w:t>
            </w:r>
          </w:p>
        </w:tc>
        <w:tc>
          <w:tcPr>
            <w:tcW w:w="1895" w:type="dxa"/>
            <w:vAlign w:val="center"/>
          </w:tcPr>
          <w:p w14:paraId="10E9ED66">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0.002</w:t>
            </w:r>
          </w:p>
        </w:tc>
        <w:tc>
          <w:tcPr>
            <w:tcW w:w="1692" w:type="dxa"/>
            <w:vAlign w:val="center"/>
          </w:tcPr>
          <w:p w14:paraId="79451C6C">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4641D7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49601B5E">
            <w:pPr>
              <w:pStyle w:val="54"/>
              <w:widowControl w:val="0"/>
              <w:spacing w:before="0" w:after="0"/>
              <w:rPr>
                <w:rFonts w:ascii="Times New Roman"/>
                <w:snapToGrid w:val="0"/>
                <w:color w:val="auto"/>
                <w:kern w:val="0"/>
                <w:szCs w:val="21"/>
              </w:rPr>
            </w:pPr>
            <w:r>
              <w:rPr>
                <w:rFonts w:ascii="Times New Roman"/>
                <w:snapToGrid w:val="0"/>
                <w:color w:val="auto"/>
                <w:kern w:val="0"/>
                <w:szCs w:val="21"/>
              </w:rPr>
              <w:t>1</w:t>
            </w:r>
            <w:r>
              <w:rPr>
                <w:rFonts w:hint="eastAsia" w:ascii="Times New Roman"/>
                <w:snapToGrid w:val="0"/>
                <w:color w:val="auto"/>
                <w:kern w:val="0"/>
                <w:szCs w:val="21"/>
              </w:rPr>
              <w:t>2</w:t>
            </w:r>
          </w:p>
        </w:tc>
        <w:tc>
          <w:tcPr>
            <w:tcW w:w="2730" w:type="dxa"/>
            <w:vAlign w:val="center"/>
          </w:tcPr>
          <w:p w14:paraId="0706BA32">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硝酸盐（以N计）≤</w:t>
            </w:r>
          </w:p>
        </w:tc>
        <w:tc>
          <w:tcPr>
            <w:tcW w:w="1811" w:type="dxa"/>
            <w:vAlign w:val="center"/>
          </w:tcPr>
          <w:p w14:paraId="2821C9DC">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20</w:t>
            </w:r>
          </w:p>
        </w:tc>
        <w:tc>
          <w:tcPr>
            <w:tcW w:w="1895" w:type="dxa"/>
            <w:vAlign w:val="center"/>
          </w:tcPr>
          <w:p w14:paraId="31F7919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20</w:t>
            </w:r>
          </w:p>
        </w:tc>
        <w:tc>
          <w:tcPr>
            <w:tcW w:w="1692" w:type="dxa"/>
            <w:vAlign w:val="center"/>
          </w:tcPr>
          <w:p w14:paraId="01982EA3">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0155E6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7A5E923B">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13</w:t>
            </w:r>
          </w:p>
        </w:tc>
        <w:tc>
          <w:tcPr>
            <w:tcW w:w="2730" w:type="dxa"/>
            <w:vAlign w:val="center"/>
          </w:tcPr>
          <w:p w14:paraId="191CE8E8">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亚硝酸盐（以N计）≤</w:t>
            </w:r>
          </w:p>
        </w:tc>
        <w:tc>
          <w:tcPr>
            <w:tcW w:w="1811" w:type="dxa"/>
            <w:vAlign w:val="center"/>
          </w:tcPr>
          <w:p w14:paraId="051FCF59">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0.02</w:t>
            </w:r>
          </w:p>
        </w:tc>
        <w:tc>
          <w:tcPr>
            <w:tcW w:w="1895" w:type="dxa"/>
            <w:vAlign w:val="center"/>
          </w:tcPr>
          <w:p w14:paraId="41485F74">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w:t>
            </w:r>
          </w:p>
        </w:tc>
        <w:tc>
          <w:tcPr>
            <w:tcW w:w="1692" w:type="dxa"/>
            <w:vAlign w:val="center"/>
          </w:tcPr>
          <w:p w14:paraId="1082B491">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074665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683EDD42">
            <w:pPr>
              <w:pStyle w:val="54"/>
              <w:widowControl w:val="0"/>
              <w:spacing w:before="0" w:after="0"/>
              <w:rPr>
                <w:rFonts w:ascii="Times New Roman"/>
                <w:snapToGrid w:val="0"/>
                <w:color w:val="auto"/>
                <w:kern w:val="0"/>
                <w:szCs w:val="21"/>
              </w:rPr>
            </w:pPr>
            <w:r>
              <w:rPr>
                <w:rFonts w:ascii="Times New Roman"/>
                <w:snapToGrid w:val="0"/>
                <w:color w:val="auto"/>
                <w:kern w:val="0"/>
                <w:szCs w:val="21"/>
              </w:rPr>
              <w:t>1</w:t>
            </w:r>
            <w:r>
              <w:rPr>
                <w:rFonts w:hint="eastAsia" w:ascii="Times New Roman"/>
                <w:snapToGrid w:val="0"/>
                <w:color w:val="auto"/>
                <w:kern w:val="0"/>
                <w:szCs w:val="21"/>
              </w:rPr>
              <w:t>4</w:t>
            </w:r>
          </w:p>
        </w:tc>
        <w:tc>
          <w:tcPr>
            <w:tcW w:w="2730" w:type="dxa"/>
            <w:vAlign w:val="center"/>
          </w:tcPr>
          <w:p w14:paraId="4EBB1354">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氨氮（以N计）≤</w:t>
            </w:r>
          </w:p>
        </w:tc>
        <w:tc>
          <w:tcPr>
            <w:tcW w:w="1811" w:type="dxa"/>
            <w:vAlign w:val="center"/>
          </w:tcPr>
          <w:p w14:paraId="79E15BFF">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0.2</w:t>
            </w:r>
          </w:p>
        </w:tc>
        <w:tc>
          <w:tcPr>
            <w:tcW w:w="1895" w:type="dxa"/>
            <w:vAlign w:val="center"/>
          </w:tcPr>
          <w:p w14:paraId="0E32F78C">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0.5</w:t>
            </w:r>
          </w:p>
        </w:tc>
        <w:tc>
          <w:tcPr>
            <w:tcW w:w="1692" w:type="dxa"/>
            <w:vAlign w:val="center"/>
          </w:tcPr>
          <w:p w14:paraId="544F74F3">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683279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646FDD81">
            <w:pPr>
              <w:pStyle w:val="54"/>
              <w:widowControl w:val="0"/>
              <w:spacing w:before="0" w:after="0"/>
              <w:rPr>
                <w:rFonts w:ascii="Times New Roman"/>
                <w:snapToGrid w:val="0"/>
                <w:color w:val="auto"/>
                <w:kern w:val="0"/>
                <w:szCs w:val="21"/>
              </w:rPr>
            </w:pPr>
            <w:r>
              <w:rPr>
                <w:rFonts w:ascii="Times New Roman"/>
                <w:snapToGrid w:val="0"/>
                <w:color w:val="auto"/>
                <w:kern w:val="0"/>
                <w:szCs w:val="21"/>
              </w:rPr>
              <w:t>1</w:t>
            </w:r>
            <w:r>
              <w:rPr>
                <w:rFonts w:hint="eastAsia" w:ascii="Times New Roman"/>
                <w:snapToGrid w:val="0"/>
                <w:color w:val="auto"/>
                <w:kern w:val="0"/>
                <w:szCs w:val="21"/>
              </w:rPr>
              <w:t>5</w:t>
            </w:r>
          </w:p>
        </w:tc>
        <w:tc>
          <w:tcPr>
            <w:tcW w:w="2730" w:type="dxa"/>
            <w:vAlign w:val="center"/>
          </w:tcPr>
          <w:p w14:paraId="3291835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氟化物≤</w:t>
            </w:r>
          </w:p>
        </w:tc>
        <w:tc>
          <w:tcPr>
            <w:tcW w:w="1811" w:type="dxa"/>
            <w:vAlign w:val="center"/>
          </w:tcPr>
          <w:p w14:paraId="13679205">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1.0</w:t>
            </w:r>
          </w:p>
        </w:tc>
        <w:tc>
          <w:tcPr>
            <w:tcW w:w="1895" w:type="dxa"/>
            <w:vAlign w:val="center"/>
          </w:tcPr>
          <w:p w14:paraId="1119C18C">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1.0</w:t>
            </w:r>
          </w:p>
        </w:tc>
        <w:tc>
          <w:tcPr>
            <w:tcW w:w="1692" w:type="dxa"/>
            <w:vAlign w:val="center"/>
          </w:tcPr>
          <w:p w14:paraId="2422DAD9">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1D279F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146FB0E1">
            <w:pPr>
              <w:pStyle w:val="54"/>
              <w:widowControl w:val="0"/>
              <w:spacing w:before="0" w:after="0"/>
              <w:rPr>
                <w:rFonts w:ascii="Times New Roman"/>
                <w:snapToGrid w:val="0"/>
                <w:color w:val="auto"/>
                <w:kern w:val="0"/>
                <w:szCs w:val="21"/>
              </w:rPr>
            </w:pPr>
            <w:r>
              <w:rPr>
                <w:rFonts w:ascii="Times New Roman"/>
                <w:snapToGrid w:val="0"/>
                <w:color w:val="auto"/>
                <w:kern w:val="0"/>
                <w:szCs w:val="21"/>
              </w:rPr>
              <w:t>1</w:t>
            </w:r>
            <w:r>
              <w:rPr>
                <w:rFonts w:hint="eastAsia" w:ascii="Times New Roman"/>
                <w:snapToGrid w:val="0"/>
                <w:color w:val="auto"/>
                <w:kern w:val="0"/>
                <w:szCs w:val="21"/>
              </w:rPr>
              <w:t>6</w:t>
            </w:r>
          </w:p>
        </w:tc>
        <w:tc>
          <w:tcPr>
            <w:tcW w:w="2730" w:type="dxa"/>
            <w:vAlign w:val="center"/>
          </w:tcPr>
          <w:p w14:paraId="1BE15BBE">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汞≤</w:t>
            </w:r>
          </w:p>
        </w:tc>
        <w:tc>
          <w:tcPr>
            <w:tcW w:w="1811" w:type="dxa"/>
            <w:vAlign w:val="center"/>
          </w:tcPr>
          <w:p w14:paraId="2F893DC0">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0.001</w:t>
            </w:r>
          </w:p>
        </w:tc>
        <w:tc>
          <w:tcPr>
            <w:tcW w:w="1895" w:type="dxa"/>
            <w:vAlign w:val="center"/>
          </w:tcPr>
          <w:p w14:paraId="4A422D18">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0.001</w:t>
            </w:r>
          </w:p>
        </w:tc>
        <w:tc>
          <w:tcPr>
            <w:tcW w:w="1692" w:type="dxa"/>
            <w:vAlign w:val="center"/>
          </w:tcPr>
          <w:p w14:paraId="67C8CB2E">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160FAB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2220A320">
            <w:pPr>
              <w:pStyle w:val="54"/>
              <w:widowControl w:val="0"/>
              <w:spacing w:before="0" w:after="0"/>
              <w:rPr>
                <w:rFonts w:ascii="Times New Roman"/>
                <w:snapToGrid w:val="0"/>
                <w:color w:val="auto"/>
                <w:kern w:val="0"/>
                <w:szCs w:val="21"/>
              </w:rPr>
            </w:pPr>
            <w:r>
              <w:rPr>
                <w:rFonts w:ascii="Times New Roman"/>
                <w:snapToGrid w:val="0"/>
                <w:color w:val="auto"/>
                <w:kern w:val="0"/>
                <w:szCs w:val="21"/>
              </w:rPr>
              <w:t>1</w:t>
            </w:r>
            <w:r>
              <w:rPr>
                <w:rFonts w:hint="eastAsia" w:ascii="Times New Roman"/>
                <w:snapToGrid w:val="0"/>
                <w:color w:val="auto"/>
                <w:kern w:val="0"/>
                <w:szCs w:val="21"/>
              </w:rPr>
              <w:t>7</w:t>
            </w:r>
          </w:p>
        </w:tc>
        <w:tc>
          <w:tcPr>
            <w:tcW w:w="2730" w:type="dxa"/>
            <w:vAlign w:val="center"/>
          </w:tcPr>
          <w:p w14:paraId="591EC875">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砷≤</w:t>
            </w:r>
          </w:p>
        </w:tc>
        <w:tc>
          <w:tcPr>
            <w:tcW w:w="1811" w:type="dxa"/>
            <w:vAlign w:val="center"/>
          </w:tcPr>
          <w:p w14:paraId="0CFD1570">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0.05</w:t>
            </w:r>
          </w:p>
        </w:tc>
        <w:tc>
          <w:tcPr>
            <w:tcW w:w="1895" w:type="dxa"/>
            <w:vAlign w:val="center"/>
          </w:tcPr>
          <w:p w14:paraId="0981DBCA">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0.01</w:t>
            </w:r>
          </w:p>
        </w:tc>
        <w:tc>
          <w:tcPr>
            <w:tcW w:w="1692" w:type="dxa"/>
            <w:vAlign w:val="center"/>
          </w:tcPr>
          <w:p w14:paraId="55D98D54">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3C6BF3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69CE4699">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18</w:t>
            </w:r>
          </w:p>
        </w:tc>
        <w:tc>
          <w:tcPr>
            <w:tcW w:w="2730" w:type="dxa"/>
            <w:vAlign w:val="center"/>
          </w:tcPr>
          <w:p w14:paraId="297749E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镉≤</w:t>
            </w:r>
          </w:p>
        </w:tc>
        <w:tc>
          <w:tcPr>
            <w:tcW w:w="1811" w:type="dxa"/>
            <w:vAlign w:val="center"/>
          </w:tcPr>
          <w:p w14:paraId="6059FE99">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0.01</w:t>
            </w:r>
          </w:p>
        </w:tc>
        <w:tc>
          <w:tcPr>
            <w:tcW w:w="1895" w:type="dxa"/>
            <w:vAlign w:val="center"/>
          </w:tcPr>
          <w:p w14:paraId="63A32E10">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0.005</w:t>
            </w:r>
          </w:p>
        </w:tc>
        <w:tc>
          <w:tcPr>
            <w:tcW w:w="1692" w:type="dxa"/>
            <w:vAlign w:val="center"/>
          </w:tcPr>
          <w:p w14:paraId="062B0BAF">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299DB9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5BCD42FD">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19</w:t>
            </w:r>
          </w:p>
        </w:tc>
        <w:tc>
          <w:tcPr>
            <w:tcW w:w="2730" w:type="dxa"/>
            <w:vAlign w:val="center"/>
          </w:tcPr>
          <w:p w14:paraId="6C8FC923">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铬（六价）≤</w:t>
            </w:r>
          </w:p>
        </w:tc>
        <w:tc>
          <w:tcPr>
            <w:tcW w:w="1811" w:type="dxa"/>
            <w:vAlign w:val="center"/>
          </w:tcPr>
          <w:p w14:paraId="63242CC3">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0.05</w:t>
            </w:r>
          </w:p>
        </w:tc>
        <w:tc>
          <w:tcPr>
            <w:tcW w:w="1895" w:type="dxa"/>
            <w:vAlign w:val="center"/>
          </w:tcPr>
          <w:p w14:paraId="1BCF4EEA">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0.05</w:t>
            </w:r>
          </w:p>
        </w:tc>
        <w:tc>
          <w:tcPr>
            <w:tcW w:w="1692" w:type="dxa"/>
            <w:vAlign w:val="center"/>
          </w:tcPr>
          <w:p w14:paraId="7B132C77">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24E3A1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6046B98E">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20</w:t>
            </w:r>
          </w:p>
        </w:tc>
        <w:tc>
          <w:tcPr>
            <w:tcW w:w="2730" w:type="dxa"/>
            <w:vAlign w:val="center"/>
          </w:tcPr>
          <w:p w14:paraId="14496869">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铅≤</w:t>
            </w:r>
          </w:p>
        </w:tc>
        <w:tc>
          <w:tcPr>
            <w:tcW w:w="1811" w:type="dxa"/>
            <w:vAlign w:val="center"/>
          </w:tcPr>
          <w:p w14:paraId="5F37463B">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0.05</w:t>
            </w:r>
          </w:p>
        </w:tc>
        <w:tc>
          <w:tcPr>
            <w:tcW w:w="1895" w:type="dxa"/>
            <w:vAlign w:val="center"/>
          </w:tcPr>
          <w:p w14:paraId="668E2737">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0.01</w:t>
            </w:r>
          </w:p>
        </w:tc>
        <w:tc>
          <w:tcPr>
            <w:tcW w:w="1692" w:type="dxa"/>
            <w:vAlign w:val="center"/>
          </w:tcPr>
          <w:p w14:paraId="76834464">
            <w:pPr>
              <w:pStyle w:val="54"/>
              <w:widowControl w:val="0"/>
              <w:spacing w:before="0" w:after="0"/>
              <w:rPr>
                <w:rFonts w:ascii="Times New Roman"/>
                <w:snapToGrid w:val="0"/>
                <w:color w:val="auto"/>
                <w:kern w:val="0"/>
                <w:szCs w:val="21"/>
              </w:rPr>
            </w:pPr>
            <w:r>
              <w:rPr>
                <w:rFonts w:ascii="Times New Roman"/>
                <w:snapToGrid w:val="0"/>
                <w:color w:val="auto"/>
                <w:szCs w:val="21"/>
              </w:rPr>
              <w:t>m</w:t>
            </w:r>
            <w:r>
              <w:rPr>
                <w:rFonts w:hint="eastAsia" w:ascii="Times New Roman"/>
                <w:snapToGrid w:val="0"/>
                <w:color w:val="auto"/>
                <w:szCs w:val="21"/>
              </w:rPr>
              <w:t>g/L</w:t>
            </w:r>
          </w:p>
        </w:tc>
      </w:tr>
      <w:tr w14:paraId="31609A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37391A3F">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21</w:t>
            </w:r>
          </w:p>
        </w:tc>
        <w:tc>
          <w:tcPr>
            <w:tcW w:w="2730" w:type="dxa"/>
            <w:vAlign w:val="center"/>
          </w:tcPr>
          <w:p w14:paraId="24B0BB9B">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总大肠菌群≤</w:t>
            </w:r>
          </w:p>
        </w:tc>
        <w:tc>
          <w:tcPr>
            <w:tcW w:w="1811" w:type="dxa"/>
            <w:vAlign w:val="center"/>
          </w:tcPr>
          <w:p w14:paraId="2B19DF2F">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3.0</w:t>
            </w:r>
          </w:p>
        </w:tc>
        <w:tc>
          <w:tcPr>
            <w:tcW w:w="1895" w:type="dxa"/>
            <w:vAlign w:val="center"/>
          </w:tcPr>
          <w:p w14:paraId="1A93D88E">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3.0</w:t>
            </w:r>
          </w:p>
        </w:tc>
        <w:tc>
          <w:tcPr>
            <w:tcW w:w="1692" w:type="dxa"/>
            <w:vAlign w:val="center"/>
          </w:tcPr>
          <w:p w14:paraId="34E78831">
            <w:pPr>
              <w:pStyle w:val="54"/>
              <w:widowControl w:val="0"/>
              <w:spacing w:before="0" w:after="0"/>
              <w:rPr>
                <w:rFonts w:ascii="Times New Roman"/>
                <w:snapToGrid w:val="0"/>
                <w:color w:val="auto"/>
                <w:szCs w:val="21"/>
              </w:rPr>
            </w:pPr>
            <w:r>
              <w:rPr>
                <w:rFonts w:hint="eastAsia" w:ascii="Times New Roman"/>
                <w:snapToGrid w:val="0"/>
                <w:color w:val="auto"/>
                <w:szCs w:val="21"/>
              </w:rPr>
              <w:t>C</w:t>
            </w:r>
            <w:r>
              <w:rPr>
                <w:rFonts w:ascii="Times New Roman"/>
                <w:snapToGrid w:val="0"/>
                <w:color w:val="auto"/>
                <w:szCs w:val="21"/>
              </w:rPr>
              <w:t>FU</w:t>
            </w:r>
            <w:r>
              <w:rPr>
                <w:rFonts w:hint="eastAsia" w:ascii="Times New Roman"/>
                <w:snapToGrid w:val="0"/>
                <w:color w:val="auto"/>
                <w:szCs w:val="21"/>
              </w:rPr>
              <w:t>/</w:t>
            </w:r>
            <w:r>
              <w:rPr>
                <w:rFonts w:ascii="Times New Roman"/>
                <w:snapToGrid w:val="0"/>
                <w:color w:val="auto"/>
                <w:szCs w:val="21"/>
              </w:rPr>
              <w:t>1</w:t>
            </w:r>
            <w:r>
              <w:rPr>
                <w:rFonts w:hint="eastAsia" w:ascii="Times New Roman"/>
                <w:snapToGrid w:val="0"/>
                <w:color w:val="auto"/>
                <w:szCs w:val="21"/>
              </w:rPr>
              <w:t>00</w:t>
            </w:r>
            <w:r>
              <w:rPr>
                <w:rFonts w:ascii="Times New Roman"/>
                <w:snapToGrid w:val="0"/>
                <w:color w:val="auto"/>
                <w:szCs w:val="21"/>
              </w:rPr>
              <w:t>mL</w:t>
            </w:r>
          </w:p>
        </w:tc>
      </w:tr>
      <w:tr w14:paraId="7675F0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0" w:type="dxa"/>
            <w:vAlign w:val="center"/>
          </w:tcPr>
          <w:p w14:paraId="1AAB2C8E">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22</w:t>
            </w:r>
          </w:p>
        </w:tc>
        <w:tc>
          <w:tcPr>
            <w:tcW w:w="2730" w:type="dxa"/>
            <w:vAlign w:val="center"/>
          </w:tcPr>
          <w:p w14:paraId="33D8F0B2">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菌落总数≤</w:t>
            </w:r>
          </w:p>
        </w:tc>
        <w:tc>
          <w:tcPr>
            <w:tcW w:w="1811" w:type="dxa"/>
            <w:vAlign w:val="center"/>
          </w:tcPr>
          <w:p w14:paraId="24969D7B">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100</w:t>
            </w:r>
          </w:p>
        </w:tc>
        <w:tc>
          <w:tcPr>
            <w:tcW w:w="1895" w:type="dxa"/>
            <w:vAlign w:val="center"/>
          </w:tcPr>
          <w:p w14:paraId="41242FBB">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100</w:t>
            </w:r>
          </w:p>
        </w:tc>
        <w:tc>
          <w:tcPr>
            <w:tcW w:w="1692" w:type="dxa"/>
            <w:vAlign w:val="center"/>
          </w:tcPr>
          <w:p w14:paraId="2447EDAE">
            <w:pPr>
              <w:pStyle w:val="54"/>
              <w:widowControl w:val="0"/>
              <w:spacing w:before="0" w:after="0"/>
              <w:rPr>
                <w:rFonts w:ascii="Times New Roman"/>
                <w:snapToGrid w:val="0"/>
                <w:color w:val="auto"/>
                <w:szCs w:val="21"/>
              </w:rPr>
            </w:pPr>
            <w:r>
              <w:rPr>
                <w:rFonts w:hint="eastAsia" w:ascii="Times New Roman"/>
                <w:snapToGrid w:val="0"/>
                <w:color w:val="auto"/>
                <w:szCs w:val="21"/>
              </w:rPr>
              <w:t>C</w:t>
            </w:r>
            <w:r>
              <w:rPr>
                <w:rFonts w:ascii="Times New Roman"/>
                <w:snapToGrid w:val="0"/>
                <w:color w:val="auto"/>
                <w:szCs w:val="21"/>
              </w:rPr>
              <w:t>FU</w:t>
            </w:r>
            <w:r>
              <w:rPr>
                <w:rFonts w:hint="eastAsia" w:ascii="Times New Roman"/>
                <w:snapToGrid w:val="0"/>
                <w:color w:val="auto"/>
                <w:szCs w:val="21"/>
              </w:rPr>
              <w:t>/</w:t>
            </w:r>
            <w:r>
              <w:rPr>
                <w:rFonts w:ascii="Times New Roman"/>
                <w:snapToGrid w:val="0"/>
                <w:color w:val="auto"/>
                <w:szCs w:val="21"/>
              </w:rPr>
              <w:t>mL</w:t>
            </w:r>
          </w:p>
        </w:tc>
      </w:tr>
    </w:tbl>
    <w:p w14:paraId="209341B3">
      <w:pPr>
        <w:ind w:firstLine="482"/>
        <w:rPr>
          <w:b/>
          <w:bCs/>
        </w:rPr>
      </w:pPr>
      <w:r>
        <w:rPr>
          <w:rFonts w:hint="eastAsia"/>
          <w:b/>
          <w:bCs/>
        </w:rPr>
        <w:t>（4）声环境</w:t>
      </w:r>
    </w:p>
    <w:p w14:paraId="16D50D9D">
      <w:pPr>
        <w:ind w:firstLine="480"/>
      </w:pPr>
      <w:r>
        <w:rPr>
          <w:rFonts w:hint="eastAsia"/>
        </w:rPr>
        <w:t>后评价阶段与环评及验收阶段相比，声环境执行标准未发生变化。项目区域声环境执行《声环境质量标准》（GB3096-2008）2类标准。具体标准限值详见表1.4-4。</w:t>
      </w:r>
    </w:p>
    <w:p w14:paraId="4E271B05">
      <w:pPr>
        <w:pStyle w:val="18"/>
        <w:ind w:firstLine="482"/>
        <w:jc w:val="center"/>
        <w:rPr>
          <w:b/>
          <w:bCs/>
          <w:sz w:val="24"/>
          <w:szCs w:val="24"/>
        </w:rPr>
      </w:pPr>
      <w:r>
        <w:rPr>
          <w:b/>
          <w:bCs/>
          <w:sz w:val="24"/>
          <w:szCs w:val="24"/>
        </w:rPr>
        <w:t>表</w:t>
      </w:r>
      <w:r>
        <w:rPr>
          <w:rFonts w:hint="eastAsia"/>
          <w:b/>
          <w:bCs/>
          <w:sz w:val="24"/>
          <w:szCs w:val="24"/>
        </w:rPr>
        <w:t>1</w:t>
      </w:r>
      <w:r>
        <w:rPr>
          <w:b/>
          <w:bCs/>
          <w:sz w:val="24"/>
          <w:szCs w:val="24"/>
        </w:rPr>
        <w:t>.</w:t>
      </w:r>
      <w:r>
        <w:rPr>
          <w:rFonts w:hint="eastAsia"/>
          <w:b/>
          <w:bCs/>
          <w:sz w:val="24"/>
          <w:szCs w:val="24"/>
        </w:rPr>
        <w:t>4</w:t>
      </w:r>
      <w:r>
        <w:rPr>
          <w:b/>
          <w:bCs/>
          <w:sz w:val="24"/>
          <w:szCs w:val="24"/>
        </w:rPr>
        <w:t>-</w:t>
      </w:r>
      <w:r>
        <w:rPr>
          <w:rFonts w:hint="eastAsia"/>
          <w:b/>
          <w:bCs/>
          <w:sz w:val="24"/>
          <w:szCs w:val="24"/>
        </w:rPr>
        <w:t>4</w:t>
      </w:r>
      <w:r>
        <w:rPr>
          <w:b/>
          <w:bCs/>
          <w:sz w:val="24"/>
          <w:szCs w:val="24"/>
        </w:rPr>
        <w:t xml:space="preserve">  声环境质量标准限值</w:t>
      </w:r>
    </w:p>
    <w:tbl>
      <w:tblPr>
        <w:tblStyle w:val="33"/>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851"/>
        <w:gridCol w:w="1276"/>
        <w:gridCol w:w="992"/>
        <w:gridCol w:w="1417"/>
        <w:gridCol w:w="2632"/>
      </w:tblGrid>
      <w:tr w14:paraId="6633C4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14:paraId="4F8D4D82">
            <w:pPr>
              <w:pStyle w:val="54"/>
              <w:widowControl w:val="0"/>
              <w:spacing w:before="0" w:after="0"/>
              <w:rPr>
                <w:rFonts w:ascii="Times New Roman"/>
                <w:b/>
                <w:bCs/>
                <w:snapToGrid w:val="0"/>
                <w:color w:val="auto"/>
                <w:kern w:val="0"/>
                <w:szCs w:val="21"/>
              </w:rPr>
            </w:pPr>
            <w:r>
              <w:rPr>
                <w:rFonts w:hint="eastAsia" w:ascii="Times New Roman"/>
                <w:b/>
                <w:bCs/>
                <w:snapToGrid w:val="0"/>
                <w:color w:val="auto"/>
                <w:kern w:val="0"/>
                <w:szCs w:val="21"/>
              </w:rPr>
              <w:t>环境类别</w:t>
            </w:r>
          </w:p>
        </w:tc>
        <w:tc>
          <w:tcPr>
            <w:tcW w:w="851" w:type="dxa"/>
            <w:vAlign w:val="center"/>
          </w:tcPr>
          <w:p w14:paraId="7AE3485E">
            <w:pPr>
              <w:pStyle w:val="54"/>
              <w:widowControl w:val="0"/>
              <w:spacing w:before="0" w:after="0"/>
              <w:rPr>
                <w:rFonts w:ascii="Times New Roman"/>
                <w:b/>
                <w:bCs/>
                <w:snapToGrid w:val="0"/>
                <w:color w:val="auto"/>
                <w:kern w:val="0"/>
                <w:szCs w:val="21"/>
              </w:rPr>
            </w:pPr>
            <w:r>
              <w:rPr>
                <w:rFonts w:hint="eastAsia" w:ascii="Times New Roman"/>
                <w:b/>
                <w:bCs/>
                <w:snapToGrid w:val="0"/>
                <w:color w:val="auto"/>
                <w:kern w:val="0"/>
                <w:szCs w:val="21"/>
              </w:rPr>
              <w:t>级别</w:t>
            </w:r>
          </w:p>
        </w:tc>
        <w:tc>
          <w:tcPr>
            <w:tcW w:w="1276" w:type="dxa"/>
            <w:vAlign w:val="center"/>
          </w:tcPr>
          <w:p w14:paraId="7C5C3DAC">
            <w:pPr>
              <w:pStyle w:val="54"/>
              <w:widowControl w:val="0"/>
              <w:spacing w:before="0" w:after="0"/>
              <w:rPr>
                <w:rFonts w:ascii="Times New Roman"/>
                <w:b/>
                <w:bCs/>
                <w:snapToGrid w:val="0"/>
                <w:color w:val="auto"/>
                <w:kern w:val="0"/>
                <w:szCs w:val="21"/>
              </w:rPr>
            </w:pPr>
            <w:r>
              <w:rPr>
                <w:rFonts w:hint="eastAsia" w:ascii="Times New Roman"/>
                <w:b/>
                <w:bCs/>
                <w:snapToGrid w:val="0"/>
                <w:color w:val="auto"/>
                <w:kern w:val="0"/>
                <w:szCs w:val="21"/>
              </w:rPr>
              <w:t>取值时间</w:t>
            </w:r>
          </w:p>
        </w:tc>
        <w:tc>
          <w:tcPr>
            <w:tcW w:w="2409" w:type="dxa"/>
            <w:gridSpan w:val="2"/>
            <w:vAlign w:val="center"/>
          </w:tcPr>
          <w:p w14:paraId="7AFBFA56">
            <w:pPr>
              <w:pStyle w:val="54"/>
              <w:widowControl w:val="0"/>
              <w:spacing w:before="0" w:after="0"/>
              <w:rPr>
                <w:rFonts w:ascii="Times New Roman"/>
                <w:b/>
                <w:bCs/>
                <w:snapToGrid w:val="0"/>
                <w:color w:val="auto"/>
                <w:kern w:val="0"/>
                <w:szCs w:val="21"/>
              </w:rPr>
            </w:pPr>
            <w:r>
              <w:rPr>
                <w:rFonts w:hint="eastAsia" w:ascii="Times New Roman"/>
                <w:b/>
                <w:bCs/>
                <w:snapToGrid w:val="0"/>
                <w:color w:val="auto"/>
                <w:kern w:val="0"/>
                <w:szCs w:val="21"/>
              </w:rPr>
              <w:t>标准限值</w:t>
            </w:r>
          </w:p>
        </w:tc>
        <w:tc>
          <w:tcPr>
            <w:tcW w:w="2632" w:type="dxa"/>
            <w:vAlign w:val="center"/>
          </w:tcPr>
          <w:p w14:paraId="2FBFA543">
            <w:pPr>
              <w:pStyle w:val="54"/>
              <w:widowControl w:val="0"/>
              <w:spacing w:before="0" w:after="0"/>
              <w:rPr>
                <w:rFonts w:ascii="Times New Roman"/>
                <w:b/>
                <w:bCs/>
                <w:snapToGrid w:val="0"/>
                <w:color w:val="auto"/>
                <w:kern w:val="0"/>
                <w:szCs w:val="21"/>
              </w:rPr>
            </w:pPr>
            <w:r>
              <w:rPr>
                <w:rFonts w:hint="eastAsia" w:ascii="Times New Roman"/>
                <w:b/>
                <w:bCs/>
                <w:snapToGrid w:val="0"/>
                <w:color w:val="auto"/>
                <w:kern w:val="0"/>
                <w:szCs w:val="21"/>
              </w:rPr>
              <w:t>标准来源</w:t>
            </w:r>
          </w:p>
        </w:tc>
      </w:tr>
      <w:tr w14:paraId="5CA4B1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Merge w:val="restart"/>
            <w:vAlign w:val="center"/>
          </w:tcPr>
          <w:p w14:paraId="6AF6B4DE">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声环境</w:t>
            </w:r>
          </w:p>
        </w:tc>
        <w:tc>
          <w:tcPr>
            <w:tcW w:w="851" w:type="dxa"/>
            <w:vMerge w:val="restart"/>
            <w:vAlign w:val="center"/>
          </w:tcPr>
          <w:p w14:paraId="158594EC">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2类</w:t>
            </w:r>
          </w:p>
        </w:tc>
        <w:tc>
          <w:tcPr>
            <w:tcW w:w="1276" w:type="dxa"/>
            <w:vAlign w:val="center"/>
          </w:tcPr>
          <w:p w14:paraId="40AEE758">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昼间</w:t>
            </w:r>
          </w:p>
        </w:tc>
        <w:tc>
          <w:tcPr>
            <w:tcW w:w="992" w:type="dxa"/>
            <w:vAlign w:val="center"/>
          </w:tcPr>
          <w:p w14:paraId="10EDEAFF">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60</w:t>
            </w:r>
          </w:p>
        </w:tc>
        <w:tc>
          <w:tcPr>
            <w:tcW w:w="1417" w:type="dxa"/>
            <w:vMerge w:val="restart"/>
            <w:vAlign w:val="center"/>
          </w:tcPr>
          <w:p w14:paraId="125CEBD1">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d</w:t>
            </w:r>
            <w:r>
              <w:rPr>
                <w:rFonts w:ascii="Times New Roman"/>
                <w:snapToGrid w:val="0"/>
                <w:color w:val="auto"/>
                <w:kern w:val="0"/>
                <w:szCs w:val="21"/>
              </w:rPr>
              <w:t>B</w:t>
            </w:r>
            <w:r>
              <w:rPr>
                <w:rFonts w:hint="eastAsia" w:ascii="Times New Roman"/>
                <w:snapToGrid w:val="0"/>
                <w:color w:val="auto"/>
                <w:kern w:val="0"/>
                <w:szCs w:val="21"/>
              </w:rPr>
              <w:t>（A）</w:t>
            </w:r>
          </w:p>
        </w:tc>
        <w:tc>
          <w:tcPr>
            <w:tcW w:w="2632" w:type="dxa"/>
            <w:vMerge w:val="restart"/>
            <w:vAlign w:val="center"/>
          </w:tcPr>
          <w:p w14:paraId="11CF66BA">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《声环境质量标准》（GB3096-2008）</w:t>
            </w:r>
          </w:p>
        </w:tc>
      </w:tr>
      <w:tr w14:paraId="723EA4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Merge w:val="continue"/>
            <w:vAlign w:val="center"/>
          </w:tcPr>
          <w:p w14:paraId="352A3F5B">
            <w:pPr>
              <w:pStyle w:val="54"/>
              <w:widowControl w:val="0"/>
              <w:spacing w:before="0" w:after="0"/>
              <w:rPr>
                <w:rFonts w:ascii="Times New Roman"/>
                <w:snapToGrid w:val="0"/>
                <w:color w:val="auto"/>
                <w:kern w:val="0"/>
                <w:szCs w:val="21"/>
              </w:rPr>
            </w:pPr>
          </w:p>
        </w:tc>
        <w:tc>
          <w:tcPr>
            <w:tcW w:w="851" w:type="dxa"/>
            <w:vMerge w:val="continue"/>
            <w:vAlign w:val="center"/>
          </w:tcPr>
          <w:p w14:paraId="30CD5FE6">
            <w:pPr>
              <w:pStyle w:val="54"/>
              <w:widowControl w:val="0"/>
              <w:spacing w:before="0" w:after="0"/>
              <w:rPr>
                <w:rFonts w:ascii="Times New Roman"/>
                <w:snapToGrid w:val="0"/>
                <w:color w:val="auto"/>
                <w:kern w:val="0"/>
                <w:szCs w:val="21"/>
              </w:rPr>
            </w:pPr>
          </w:p>
        </w:tc>
        <w:tc>
          <w:tcPr>
            <w:tcW w:w="1276" w:type="dxa"/>
            <w:vAlign w:val="center"/>
          </w:tcPr>
          <w:p w14:paraId="51E4CC3A">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夜间</w:t>
            </w:r>
          </w:p>
        </w:tc>
        <w:tc>
          <w:tcPr>
            <w:tcW w:w="992" w:type="dxa"/>
            <w:vAlign w:val="center"/>
          </w:tcPr>
          <w:p w14:paraId="517BA676">
            <w:pPr>
              <w:pStyle w:val="54"/>
              <w:widowControl w:val="0"/>
              <w:spacing w:before="0" w:after="0"/>
              <w:rPr>
                <w:rFonts w:ascii="Times New Roman"/>
                <w:snapToGrid w:val="0"/>
                <w:color w:val="auto"/>
                <w:kern w:val="0"/>
                <w:szCs w:val="21"/>
              </w:rPr>
            </w:pPr>
            <w:r>
              <w:rPr>
                <w:rFonts w:hint="eastAsia" w:ascii="Times New Roman"/>
                <w:snapToGrid w:val="0"/>
                <w:color w:val="auto"/>
                <w:kern w:val="0"/>
                <w:szCs w:val="21"/>
              </w:rPr>
              <w:t>50</w:t>
            </w:r>
          </w:p>
        </w:tc>
        <w:tc>
          <w:tcPr>
            <w:tcW w:w="1417" w:type="dxa"/>
            <w:vMerge w:val="continue"/>
            <w:vAlign w:val="center"/>
          </w:tcPr>
          <w:p w14:paraId="0FADCB18">
            <w:pPr>
              <w:pStyle w:val="54"/>
              <w:widowControl w:val="0"/>
              <w:spacing w:before="0" w:after="0"/>
              <w:rPr>
                <w:rFonts w:ascii="Times New Roman"/>
                <w:snapToGrid w:val="0"/>
                <w:color w:val="auto"/>
                <w:kern w:val="0"/>
                <w:szCs w:val="21"/>
              </w:rPr>
            </w:pPr>
          </w:p>
        </w:tc>
        <w:tc>
          <w:tcPr>
            <w:tcW w:w="2632" w:type="dxa"/>
            <w:vMerge w:val="continue"/>
            <w:vAlign w:val="center"/>
          </w:tcPr>
          <w:p w14:paraId="19552379">
            <w:pPr>
              <w:pStyle w:val="54"/>
              <w:widowControl w:val="0"/>
              <w:spacing w:before="0" w:after="0"/>
              <w:rPr>
                <w:rFonts w:ascii="Times New Roman"/>
                <w:snapToGrid w:val="0"/>
                <w:color w:val="auto"/>
                <w:kern w:val="0"/>
                <w:szCs w:val="21"/>
              </w:rPr>
            </w:pPr>
          </w:p>
        </w:tc>
      </w:tr>
    </w:tbl>
    <w:p w14:paraId="6A237329">
      <w:pPr>
        <w:ind w:firstLine="482"/>
        <w:rPr>
          <w:b/>
          <w:bCs/>
        </w:rPr>
      </w:pPr>
      <w:r>
        <w:rPr>
          <w:rFonts w:hint="eastAsia"/>
          <w:b/>
          <w:bCs/>
        </w:rPr>
        <w:t>（5）土壤环境</w:t>
      </w:r>
    </w:p>
    <w:p w14:paraId="2691C6FF">
      <w:pPr>
        <w:ind w:firstLine="480"/>
      </w:pPr>
      <w:r>
        <w:rPr>
          <w:rFonts w:hint="eastAsia"/>
        </w:rPr>
        <w:t>环评及验收阶段与后评价阶段相比，土壤环境执行标准发生变化。环评及验收阶段土壤环境质量按GB 15618-1995《土壤环境质量标准》二级标准，旱地，底泥执行</w:t>
      </w:r>
      <w:bookmarkStart w:id="20" w:name="_Hlk51924024"/>
      <w:r>
        <w:rPr>
          <w:rFonts w:hint="eastAsia"/>
        </w:rPr>
        <w:t>GB 4284-84</w:t>
      </w:r>
      <w:bookmarkEnd w:id="20"/>
      <w:r>
        <w:rPr>
          <w:rFonts w:hint="eastAsia"/>
        </w:rPr>
        <w:t>《农用污泥污染物控制标准》中的控制标准值。</w:t>
      </w:r>
    </w:p>
    <w:p w14:paraId="43744638">
      <w:pPr>
        <w:ind w:firstLine="480"/>
      </w:pPr>
      <w:r>
        <w:rPr>
          <w:rFonts w:hint="eastAsia"/>
        </w:rPr>
        <w:t>后评价阶段项目场地内土壤执行《土壤环境质量 建设用地土壤污染风险管控标准（试行）》（GB36600-2018）表1中第二类用地筛选值；项目场地外土壤执行《土壤环境质量 农用地土壤污染风险管控标准（试行）》（GB15618-2018）表1中风险筛选值。</w:t>
      </w:r>
    </w:p>
    <w:p w14:paraId="4F3F766E">
      <w:pPr>
        <w:ind w:firstLine="480"/>
      </w:pPr>
      <w:r>
        <w:rPr>
          <w:rFonts w:hint="eastAsia"/>
        </w:rPr>
        <w:t>具体标准限值详见表1.4-5、表1.4-6、表1.4-7和表1.4-8。</w:t>
      </w:r>
    </w:p>
    <w:p w14:paraId="05911C80">
      <w:pPr>
        <w:pStyle w:val="18"/>
        <w:ind w:firstLine="482"/>
        <w:jc w:val="center"/>
        <w:rPr>
          <w:b/>
          <w:bCs/>
          <w:sz w:val="24"/>
          <w:szCs w:val="24"/>
        </w:rPr>
      </w:pPr>
      <w:r>
        <w:rPr>
          <w:rFonts w:hint="eastAsia"/>
          <w:b/>
          <w:bCs/>
          <w:sz w:val="24"/>
          <w:szCs w:val="24"/>
        </w:rPr>
        <w:t>表1.4-5</w:t>
      </w:r>
      <w:r>
        <w:rPr>
          <w:b/>
          <w:bCs/>
          <w:sz w:val="24"/>
          <w:szCs w:val="24"/>
        </w:rPr>
        <w:t xml:space="preserve">  GB 15618-1995</w:t>
      </w:r>
      <w:r>
        <w:rPr>
          <w:rFonts w:hint="eastAsia"/>
          <w:b/>
          <w:bCs/>
          <w:sz w:val="24"/>
          <w:szCs w:val="24"/>
        </w:rPr>
        <w:t>土壤环境质量标准 （单位：mg/kg，p</w:t>
      </w:r>
      <w:r>
        <w:rPr>
          <w:b/>
          <w:bCs/>
          <w:sz w:val="24"/>
          <w:szCs w:val="24"/>
        </w:rPr>
        <w:t>H</w:t>
      </w:r>
      <w:r>
        <w:rPr>
          <w:rFonts w:hint="eastAsia"/>
          <w:b/>
          <w:bCs/>
          <w:sz w:val="24"/>
          <w:szCs w:val="24"/>
        </w:rPr>
        <w:t>无量纲）</w:t>
      </w:r>
    </w:p>
    <w:tbl>
      <w:tblPr>
        <w:tblStyle w:val="32"/>
        <w:tblW w:w="906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0"/>
        <w:gridCol w:w="1639"/>
        <w:gridCol w:w="825"/>
        <w:gridCol w:w="824"/>
        <w:gridCol w:w="824"/>
        <w:gridCol w:w="824"/>
        <w:gridCol w:w="663"/>
        <w:gridCol w:w="824"/>
        <w:gridCol w:w="663"/>
        <w:gridCol w:w="984"/>
      </w:tblGrid>
      <w:tr w14:paraId="77887F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990" w:type="dxa"/>
            <w:vAlign w:val="center"/>
          </w:tcPr>
          <w:p w14:paraId="75054B26">
            <w:pPr>
              <w:spacing w:line="240" w:lineRule="auto"/>
              <w:ind w:firstLine="0" w:firstLineChars="0"/>
              <w:jc w:val="center"/>
              <w:rPr>
                <w:b/>
                <w:bCs/>
                <w:sz w:val="21"/>
                <w:szCs w:val="20"/>
              </w:rPr>
            </w:pPr>
            <w:r>
              <w:rPr>
                <w:b/>
                <w:bCs/>
                <w:sz w:val="21"/>
                <w:szCs w:val="20"/>
              </w:rPr>
              <w:t>项目</w:t>
            </w:r>
          </w:p>
        </w:tc>
        <w:tc>
          <w:tcPr>
            <w:tcW w:w="1639" w:type="dxa"/>
            <w:vAlign w:val="center"/>
          </w:tcPr>
          <w:p w14:paraId="6720F0DB">
            <w:pPr>
              <w:spacing w:line="240" w:lineRule="auto"/>
              <w:ind w:firstLine="0" w:firstLineChars="0"/>
              <w:jc w:val="center"/>
              <w:rPr>
                <w:b/>
                <w:bCs/>
                <w:sz w:val="21"/>
                <w:szCs w:val="20"/>
              </w:rPr>
            </w:pPr>
            <w:r>
              <w:rPr>
                <w:b/>
                <w:bCs/>
                <w:sz w:val="21"/>
                <w:szCs w:val="20"/>
              </w:rPr>
              <w:t>pH</w:t>
            </w:r>
          </w:p>
        </w:tc>
        <w:tc>
          <w:tcPr>
            <w:tcW w:w="825" w:type="dxa"/>
            <w:vAlign w:val="center"/>
          </w:tcPr>
          <w:p w14:paraId="75C4EBBB">
            <w:pPr>
              <w:spacing w:line="240" w:lineRule="auto"/>
              <w:ind w:firstLine="0" w:firstLineChars="0"/>
              <w:jc w:val="center"/>
              <w:rPr>
                <w:b/>
                <w:bCs/>
                <w:sz w:val="21"/>
                <w:szCs w:val="20"/>
              </w:rPr>
            </w:pPr>
            <w:r>
              <w:rPr>
                <w:b/>
                <w:bCs/>
                <w:sz w:val="21"/>
                <w:szCs w:val="20"/>
              </w:rPr>
              <w:t>铜</w:t>
            </w:r>
          </w:p>
        </w:tc>
        <w:tc>
          <w:tcPr>
            <w:tcW w:w="824" w:type="dxa"/>
            <w:vAlign w:val="center"/>
          </w:tcPr>
          <w:p w14:paraId="1E944D89">
            <w:pPr>
              <w:spacing w:line="240" w:lineRule="auto"/>
              <w:ind w:firstLine="0" w:firstLineChars="0"/>
              <w:jc w:val="center"/>
              <w:rPr>
                <w:b/>
                <w:bCs/>
                <w:sz w:val="21"/>
                <w:szCs w:val="20"/>
              </w:rPr>
            </w:pPr>
            <w:r>
              <w:rPr>
                <w:b/>
                <w:bCs/>
                <w:sz w:val="21"/>
                <w:szCs w:val="20"/>
              </w:rPr>
              <w:t>锌</w:t>
            </w:r>
          </w:p>
        </w:tc>
        <w:tc>
          <w:tcPr>
            <w:tcW w:w="824" w:type="dxa"/>
          </w:tcPr>
          <w:p w14:paraId="3A6F4A20">
            <w:pPr>
              <w:spacing w:line="240" w:lineRule="auto"/>
              <w:ind w:firstLine="0" w:firstLineChars="0"/>
              <w:jc w:val="center"/>
              <w:rPr>
                <w:b/>
                <w:bCs/>
                <w:sz w:val="21"/>
                <w:szCs w:val="20"/>
              </w:rPr>
            </w:pPr>
            <w:r>
              <w:rPr>
                <w:b/>
                <w:bCs/>
                <w:sz w:val="21"/>
                <w:szCs w:val="20"/>
              </w:rPr>
              <w:t>铅</w:t>
            </w:r>
          </w:p>
        </w:tc>
        <w:tc>
          <w:tcPr>
            <w:tcW w:w="824" w:type="dxa"/>
          </w:tcPr>
          <w:p w14:paraId="5A7B80CB">
            <w:pPr>
              <w:spacing w:line="240" w:lineRule="auto"/>
              <w:ind w:firstLine="0" w:firstLineChars="0"/>
              <w:jc w:val="center"/>
              <w:rPr>
                <w:b/>
                <w:bCs/>
                <w:sz w:val="21"/>
                <w:szCs w:val="20"/>
              </w:rPr>
            </w:pPr>
            <w:r>
              <w:rPr>
                <w:b/>
                <w:bCs/>
                <w:sz w:val="21"/>
                <w:szCs w:val="20"/>
              </w:rPr>
              <w:t>铬</w:t>
            </w:r>
          </w:p>
        </w:tc>
        <w:tc>
          <w:tcPr>
            <w:tcW w:w="663" w:type="dxa"/>
          </w:tcPr>
          <w:p w14:paraId="4F08DD69">
            <w:pPr>
              <w:spacing w:line="240" w:lineRule="auto"/>
              <w:ind w:firstLine="0" w:firstLineChars="0"/>
              <w:jc w:val="center"/>
              <w:rPr>
                <w:b/>
                <w:bCs/>
                <w:sz w:val="21"/>
                <w:szCs w:val="20"/>
              </w:rPr>
            </w:pPr>
            <w:r>
              <w:rPr>
                <w:b/>
                <w:bCs/>
                <w:sz w:val="21"/>
                <w:szCs w:val="20"/>
              </w:rPr>
              <w:t>镍</w:t>
            </w:r>
          </w:p>
        </w:tc>
        <w:tc>
          <w:tcPr>
            <w:tcW w:w="824" w:type="dxa"/>
          </w:tcPr>
          <w:p w14:paraId="2222F40A">
            <w:pPr>
              <w:spacing w:line="240" w:lineRule="auto"/>
              <w:ind w:firstLine="0" w:firstLineChars="0"/>
              <w:jc w:val="center"/>
              <w:rPr>
                <w:b/>
                <w:bCs/>
                <w:sz w:val="21"/>
                <w:szCs w:val="20"/>
              </w:rPr>
            </w:pPr>
            <w:r>
              <w:rPr>
                <w:b/>
                <w:bCs/>
                <w:sz w:val="21"/>
                <w:szCs w:val="20"/>
              </w:rPr>
              <w:t>汞</w:t>
            </w:r>
          </w:p>
        </w:tc>
        <w:tc>
          <w:tcPr>
            <w:tcW w:w="663" w:type="dxa"/>
            <w:vAlign w:val="center"/>
          </w:tcPr>
          <w:p w14:paraId="31F8F6E1">
            <w:pPr>
              <w:spacing w:line="240" w:lineRule="auto"/>
              <w:ind w:firstLine="0" w:firstLineChars="0"/>
              <w:jc w:val="center"/>
              <w:rPr>
                <w:b/>
                <w:bCs/>
                <w:sz w:val="21"/>
                <w:szCs w:val="20"/>
              </w:rPr>
            </w:pPr>
            <w:r>
              <w:rPr>
                <w:b/>
                <w:bCs/>
                <w:sz w:val="21"/>
                <w:szCs w:val="20"/>
              </w:rPr>
              <w:t>砷</w:t>
            </w:r>
          </w:p>
        </w:tc>
        <w:tc>
          <w:tcPr>
            <w:tcW w:w="984" w:type="dxa"/>
            <w:vAlign w:val="center"/>
          </w:tcPr>
          <w:p w14:paraId="3723E803">
            <w:pPr>
              <w:spacing w:line="240" w:lineRule="auto"/>
              <w:ind w:firstLine="0" w:firstLineChars="0"/>
              <w:jc w:val="center"/>
              <w:rPr>
                <w:b/>
                <w:bCs/>
                <w:sz w:val="21"/>
                <w:szCs w:val="20"/>
              </w:rPr>
            </w:pPr>
            <w:r>
              <w:rPr>
                <w:b/>
                <w:bCs/>
                <w:sz w:val="21"/>
                <w:szCs w:val="20"/>
              </w:rPr>
              <w:t>镉</w:t>
            </w:r>
          </w:p>
        </w:tc>
      </w:tr>
      <w:tr w14:paraId="01EACB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0" w:type="dxa"/>
            <w:vMerge w:val="restart"/>
            <w:vAlign w:val="center"/>
          </w:tcPr>
          <w:p w14:paraId="4A90251F">
            <w:pPr>
              <w:spacing w:line="240" w:lineRule="auto"/>
              <w:ind w:firstLine="0" w:firstLineChars="0"/>
              <w:jc w:val="center"/>
              <w:rPr>
                <w:sz w:val="21"/>
                <w:szCs w:val="20"/>
              </w:rPr>
            </w:pPr>
            <w:r>
              <w:rPr>
                <w:sz w:val="21"/>
                <w:szCs w:val="20"/>
              </w:rPr>
              <w:t>二级</w:t>
            </w:r>
          </w:p>
        </w:tc>
        <w:tc>
          <w:tcPr>
            <w:tcW w:w="1639" w:type="dxa"/>
            <w:vAlign w:val="center"/>
          </w:tcPr>
          <w:p w14:paraId="16ECE504">
            <w:pPr>
              <w:spacing w:line="240" w:lineRule="auto"/>
              <w:ind w:firstLine="0" w:firstLineChars="0"/>
              <w:jc w:val="center"/>
              <w:rPr>
                <w:sz w:val="21"/>
                <w:szCs w:val="20"/>
              </w:rPr>
            </w:pPr>
            <w:r>
              <w:rPr>
                <w:rFonts w:hint="eastAsia"/>
                <w:sz w:val="21"/>
                <w:szCs w:val="20"/>
              </w:rPr>
              <w:t>＜</w:t>
            </w:r>
            <w:r>
              <w:rPr>
                <w:sz w:val="21"/>
                <w:szCs w:val="20"/>
              </w:rPr>
              <w:t>6.5</w:t>
            </w:r>
          </w:p>
        </w:tc>
        <w:tc>
          <w:tcPr>
            <w:tcW w:w="825" w:type="dxa"/>
            <w:vAlign w:val="center"/>
          </w:tcPr>
          <w:p w14:paraId="191A7A43">
            <w:pPr>
              <w:spacing w:line="240" w:lineRule="auto"/>
              <w:ind w:firstLine="0" w:firstLineChars="0"/>
              <w:jc w:val="center"/>
              <w:rPr>
                <w:sz w:val="21"/>
                <w:szCs w:val="20"/>
              </w:rPr>
            </w:pPr>
            <w:r>
              <w:rPr>
                <w:sz w:val="21"/>
                <w:szCs w:val="20"/>
              </w:rPr>
              <w:t>50</w:t>
            </w:r>
          </w:p>
        </w:tc>
        <w:tc>
          <w:tcPr>
            <w:tcW w:w="824" w:type="dxa"/>
            <w:vAlign w:val="center"/>
          </w:tcPr>
          <w:p w14:paraId="27D10B79">
            <w:pPr>
              <w:spacing w:line="240" w:lineRule="auto"/>
              <w:ind w:firstLine="0" w:firstLineChars="0"/>
              <w:jc w:val="center"/>
              <w:rPr>
                <w:sz w:val="21"/>
                <w:szCs w:val="20"/>
              </w:rPr>
            </w:pPr>
            <w:r>
              <w:rPr>
                <w:sz w:val="21"/>
                <w:szCs w:val="20"/>
              </w:rPr>
              <w:t>200</w:t>
            </w:r>
          </w:p>
        </w:tc>
        <w:tc>
          <w:tcPr>
            <w:tcW w:w="824" w:type="dxa"/>
          </w:tcPr>
          <w:p w14:paraId="19B1DE1A">
            <w:pPr>
              <w:spacing w:line="240" w:lineRule="auto"/>
              <w:ind w:firstLine="0" w:firstLineChars="0"/>
              <w:jc w:val="center"/>
              <w:rPr>
                <w:sz w:val="21"/>
                <w:szCs w:val="20"/>
              </w:rPr>
            </w:pPr>
            <w:r>
              <w:rPr>
                <w:sz w:val="21"/>
                <w:szCs w:val="20"/>
              </w:rPr>
              <w:t>250</w:t>
            </w:r>
          </w:p>
        </w:tc>
        <w:tc>
          <w:tcPr>
            <w:tcW w:w="824" w:type="dxa"/>
          </w:tcPr>
          <w:p w14:paraId="57A24750">
            <w:pPr>
              <w:spacing w:line="240" w:lineRule="auto"/>
              <w:ind w:firstLine="0" w:firstLineChars="0"/>
              <w:jc w:val="center"/>
              <w:rPr>
                <w:sz w:val="21"/>
                <w:szCs w:val="20"/>
              </w:rPr>
            </w:pPr>
            <w:r>
              <w:rPr>
                <w:sz w:val="21"/>
                <w:szCs w:val="20"/>
              </w:rPr>
              <w:t>150</w:t>
            </w:r>
          </w:p>
        </w:tc>
        <w:tc>
          <w:tcPr>
            <w:tcW w:w="663" w:type="dxa"/>
          </w:tcPr>
          <w:p w14:paraId="0796A6ED">
            <w:pPr>
              <w:spacing w:line="240" w:lineRule="auto"/>
              <w:ind w:firstLine="0" w:firstLineChars="0"/>
              <w:jc w:val="center"/>
              <w:rPr>
                <w:sz w:val="21"/>
                <w:szCs w:val="20"/>
              </w:rPr>
            </w:pPr>
            <w:r>
              <w:rPr>
                <w:sz w:val="21"/>
                <w:szCs w:val="20"/>
              </w:rPr>
              <w:t>40</w:t>
            </w:r>
          </w:p>
        </w:tc>
        <w:tc>
          <w:tcPr>
            <w:tcW w:w="824" w:type="dxa"/>
          </w:tcPr>
          <w:p w14:paraId="398E83ED">
            <w:pPr>
              <w:spacing w:line="240" w:lineRule="auto"/>
              <w:ind w:firstLine="0" w:firstLineChars="0"/>
              <w:jc w:val="center"/>
              <w:rPr>
                <w:sz w:val="21"/>
                <w:szCs w:val="20"/>
              </w:rPr>
            </w:pPr>
            <w:r>
              <w:rPr>
                <w:sz w:val="21"/>
                <w:szCs w:val="20"/>
              </w:rPr>
              <w:t>0.3</w:t>
            </w:r>
          </w:p>
        </w:tc>
        <w:tc>
          <w:tcPr>
            <w:tcW w:w="663" w:type="dxa"/>
            <w:vAlign w:val="center"/>
          </w:tcPr>
          <w:p w14:paraId="2B67ECEC">
            <w:pPr>
              <w:spacing w:line="240" w:lineRule="auto"/>
              <w:ind w:firstLine="0" w:firstLineChars="0"/>
              <w:jc w:val="center"/>
              <w:rPr>
                <w:sz w:val="21"/>
                <w:szCs w:val="20"/>
              </w:rPr>
            </w:pPr>
            <w:r>
              <w:rPr>
                <w:sz w:val="21"/>
                <w:szCs w:val="20"/>
              </w:rPr>
              <w:t>40</w:t>
            </w:r>
          </w:p>
        </w:tc>
        <w:tc>
          <w:tcPr>
            <w:tcW w:w="984" w:type="dxa"/>
            <w:vAlign w:val="center"/>
          </w:tcPr>
          <w:p w14:paraId="4CF8DAB2">
            <w:pPr>
              <w:spacing w:line="240" w:lineRule="auto"/>
              <w:ind w:firstLine="0" w:firstLineChars="0"/>
              <w:jc w:val="center"/>
              <w:rPr>
                <w:sz w:val="21"/>
                <w:szCs w:val="20"/>
              </w:rPr>
            </w:pPr>
            <w:r>
              <w:rPr>
                <w:sz w:val="21"/>
                <w:szCs w:val="20"/>
              </w:rPr>
              <w:t>0.30</w:t>
            </w:r>
          </w:p>
        </w:tc>
      </w:tr>
      <w:tr w14:paraId="0E0A6A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0" w:type="dxa"/>
            <w:vMerge w:val="continue"/>
            <w:vAlign w:val="center"/>
          </w:tcPr>
          <w:p w14:paraId="277AFE98">
            <w:pPr>
              <w:spacing w:line="240" w:lineRule="auto"/>
              <w:ind w:firstLine="0" w:firstLineChars="0"/>
              <w:jc w:val="center"/>
              <w:rPr>
                <w:sz w:val="21"/>
                <w:szCs w:val="20"/>
              </w:rPr>
            </w:pPr>
          </w:p>
        </w:tc>
        <w:tc>
          <w:tcPr>
            <w:tcW w:w="1639" w:type="dxa"/>
            <w:vAlign w:val="center"/>
          </w:tcPr>
          <w:p w14:paraId="3485D228">
            <w:pPr>
              <w:spacing w:line="240" w:lineRule="auto"/>
              <w:ind w:firstLine="0" w:firstLineChars="0"/>
              <w:jc w:val="center"/>
              <w:rPr>
                <w:sz w:val="21"/>
                <w:szCs w:val="20"/>
              </w:rPr>
            </w:pPr>
            <w:r>
              <w:rPr>
                <w:sz w:val="21"/>
                <w:szCs w:val="20"/>
              </w:rPr>
              <w:t>6.5～7.5</w:t>
            </w:r>
          </w:p>
        </w:tc>
        <w:tc>
          <w:tcPr>
            <w:tcW w:w="825" w:type="dxa"/>
            <w:vAlign w:val="center"/>
          </w:tcPr>
          <w:p w14:paraId="0CDC1736">
            <w:pPr>
              <w:spacing w:line="240" w:lineRule="auto"/>
              <w:ind w:firstLine="0" w:firstLineChars="0"/>
              <w:jc w:val="center"/>
              <w:rPr>
                <w:sz w:val="21"/>
                <w:szCs w:val="20"/>
              </w:rPr>
            </w:pPr>
            <w:r>
              <w:rPr>
                <w:sz w:val="21"/>
                <w:szCs w:val="20"/>
              </w:rPr>
              <w:t>100</w:t>
            </w:r>
          </w:p>
        </w:tc>
        <w:tc>
          <w:tcPr>
            <w:tcW w:w="824" w:type="dxa"/>
            <w:vAlign w:val="center"/>
          </w:tcPr>
          <w:p w14:paraId="72731B73">
            <w:pPr>
              <w:spacing w:line="240" w:lineRule="auto"/>
              <w:ind w:firstLine="0" w:firstLineChars="0"/>
              <w:jc w:val="center"/>
              <w:rPr>
                <w:sz w:val="21"/>
                <w:szCs w:val="20"/>
              </w:rPr>
            </w:pPr>
            <w:r>
              <w:rPr>
                <w:sz w:val="21"/>
                <w:szCs w:val="20"/>
              </w:rPr>
              <w:t>250</w:t>
            </w:r>
          </w:p>
        </w:tc>
        <w:tc>
          <w:tcPr>
            <w:tcW w:w="824" w:type="dxa"/>
          </w:tcPr>
          <w:p w14:paraId="44F10AC1">
            <w:pPr>
              <w:spacing w:line="240" w:lineRule="auto"/>
              <w:ind w:firstLine="0" w:firstLineChars="0"/>
              <w:jc w:val="center"/>
              <w:rPr>
                <w:sz w:val="21"/>
                <w:szCs w:val="20"/>
              </w:rPr>
            </w:pPr>
            <w:r>
              <w:rPr>
                <w:sz w:val="21"/>
                <w:szCs w:val="20"/>
              </w:rPr>
              <w:t>300</w:t>
            </w:r>
          </w:p>
        </w:tc>
        <w:tc>
          <w:tcPr>
            <w:tcW w:w="824" w:type="dxa"/>
          </w:tcPr>
          <w:p w14:paraId="6E36713E">
            <w:pPr>
              <w:spacing w:line="240" w:lineRule="auto"/>
              <w:ind w:firstLine="0" w:firstLineChars="0"/>
              <w:jc w:val="center"/>
              <w:rPr>
                <w:sz w:val="21"/>
                <w:szCs w:val="20"/>
              </w:rPr>
            </w:pPr>
            <w:r>
              <w:rPr>
                <w:sz w:val="21"/>
                <w:szCs w:val="20"/>
              </w:rPr>
              <w:t>200</w:t>
            </w:r>
          </w:p>
        </w:tc>
        <w:tc>
          <w:tcPr>
            <w:tcW w:w="663" w:type="dxa"/>
          </w:tcPr>
          <w:p w14:paraId="39A33D47">
            <w:pPr>
              <w:spacing w:line="240" w:lineRule="auto"/>
              <w:ind w:firstLine="0" w:firstLineChars="0"/>
              <w:jc w:val="center"/>
              <w:rPr>
                <w:sz w:val="21"/>
                <w:szCs w:val="20"/>
              </w:rPr>
            </w:pPr>
            <w:r>
              <w:rPr>
                <w:sz w:val="21"/>
                <w:szCs w:val="20"/>
              </w:rPr>
              <w:t>50</w:t>
            </w:r>
          </w:p>
        </w:tc>
        <w:tc>
          <w:tcPr>
            <w:tcW w:w="824" w:type="dxa"/>
          </w:tcPr>
          <w:p w14:paraId="46729A0B">
            <w:pPr>
              <w:spacing w:line="240" w:lineRule="auto"/>
              <w:ind w:firstLine="0" w:firstLineChars="0"/>
              <w:jc w:val="center"/>
              <w:rPr>
                <w:sz w:val="21"/>
                <w:szCs w:val="20"/>
              </w:rPr>
            </w:pPr>
            <w:r>
              <w:rPr>
                <w:sz w:val="21"/>
                <w:szCs w:val="20"/>
              </w:rPr>
              <w:t>0.5</w:t>
            </w:r>
          </w:p>
        </w:tc>
        <w:tc>
          <w:tcPr>
            <w:tcW w:w="663" w:type="dxa"/>
            <w:vAlign w:val="center"/>
          </w:tcPr>
          <w:p w14:paraId="358C7C40">
            <w:pPr>
              <w:spacing w:line="240" w:lineRule="auto"/>
              <w:ind w:firstLine="0" w:firstLineChars="0"/>
              <w:jc w:val="center"/>
              <w:rPr>
                <w:sz w:val="21"/>
                <w:szCs w:val="20"/>
              </w:rPr>
            </w:pPr>
            <w:r>
              <w:rPr>
                <w:sz w:val="21"/>
                <w:szCs w:val="20"/>
              </w:rPr>
              <w:t>30</w:t>
            </w:r>
          </w:p>
        </w:tc>
        <w:tc>
          <w:tcPr>
            <w:tcW w:w="984" w:type="dxa"/>
            <w:vAlign w:val="center"/>
          </w:tcPr>
          <w:p w14:paraId="69877E6F">
            <w:pPr>
              <w:spacing w:line="240" w:lineRule="auto"/>
              <w:ind w:firstLine="0" w:firstLineChars="0"/>
              <w:jc w:val="center"/>
              <w:rPr>
                <w:sz w:val="21"/>
                <w:szCs w:val="20"/>
              </w:rPr>
            </w:pPr>
            <w:r>
              <w:rPr>
                <w:sz w:val="21"/>
                <w:szCs w:val="20"/>
              </w:rPr>
              <w:t>0.30</w:t>
            </w:r>
          </w:p>
        </w:tc>
      </w:tr>
      <w:tr w14:paraId="232FD9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0" w:type="dxa"/>
            <w:vMerge w:val="continue"/>
            <w:vAlign w:val="center"/>
          </w:tcPr>
          <w:p w14:paraId="40AC30F7">
            <w:pPr>
              <w:spacing w:line="240" w:lineRule="auto"/>
              <w:ind w:firstLine="0" w:firstLineChars="0"/>
              <w:jc w:val="center"/>
              <w:rPr>
                <w:sz w:val="21"/>
                <w:szCs w:val="20"/>
              </w:rPr>
            </w:pPr>
          </w:p>
        </w:tc>
        <w:tc>
          <w:tcPr>
            <w:tcW w:w="1639" w:type="dxa"/>
            <w:vAlign w:val="center"/>
          </w:tcPr>
          <w:p w14:paraId="28DF48B3">
            <w:pPr>
              <w:spacing w:line="240" w:lineRule="auto"/>
              <w:ind w:firstLine="0" w:firstLineChars="0"/>
              <w:jc w:val="center"/>
              <w:rPr>
                <w:sz w:val="21"/>
                <w:szCs w:val="20"/>
              </w:rPr>
            </w:pPr>
            <w:r>
              <w:rPr>
                <w:rFonts w:hint="eastAsia"/>
                <w:sz w:val="21"/>
                <w:szCs w:val="20"/>
              </w:rPr>
              <w:t>＞</w:t>
            </w:r>
            <w:r>
              <w:rPr>
                <w:sz w:val="21"/>
                <w:szCs w:val="20"/>
              </w:rPr>
              <w:t>7.5</w:t>
            </w:r>
          </w:p>
        </w:tc>
        <w:tc>
          <w:tcPr>
            <w:tcW w:w="825" w:type="dxa"/>
            <w:vAlign w:val="center"/>
          </w:tcPr>
          <w:p w14:paraId="18F4D41F">
            <w:pPr>
              <w:spacing w:line="240" w:lineRule="auto"/>
              <w:ind w:firstLine="0" w:firstLineChars="0"/>
              <w:jc w:val="center"/>
              <w:rPr>
                <w:sz w:val="21"/>
                <w:szCs w:val="20"/>
              </w:rPr>
            </w:pPr>
            <w:r>
              <w:rPr>
                <w:sz w:val="21"/>
                <w:szCs w:val="20"/>
              </w:rPr>
              <w:t>100</w:t>
            </w:r>
          </w:p>
        </w:tc>
        <w:tc>
          <w:tcPr>
            <w:tcW w:w="824" w:type="dxa"/>
            <w:vAlign w:val="center"/>
          </w:tcPr>
          <w:p w14:paraId="037A5B9E">
            <w:pPr>
              <w:spacing w:line="240" w:lineRule="auto"/>
              <w:ind w:firstLine="0" w:firstLineChars="0"/>
              <w:jc w:val="center"/>
              <w:rPr>
                <w:sz w:val="21"/>
                <w:szCs w:val="20"/>
              </w:rPr>
            </w:pPr>
            <w:r>
              <w:rPr>
                <w:sz w:val="21"/>
                <w:szCs w:val="20"/>
              </w:rPr>
              <w:t>300</w:t>
            </w:r>
          </w:p>
        </w:tc>
        <w:tc>
          <w:tcPr>
            <w:tcW w:w="824" w:type="dxa"/>
          </w:tcPr>
          <w:p w14:paraId="08197247">
            <w:pPr>
              <w:spacing w:line="240" w:lineRule="auto"/>
              <w:ind w:firstLine="0" w:firstLineChars="0"/>
              <w:jc w:val="center"/>
              <w:rPr>
                <w:sz w:val="21"/>
                <w:szCs w:val="20"/>
              </w:rPr>
            </w:pPr>
            <w:r>
              <w:rPr>
                <w:sz w:val="21"/>
                <w:szCs w:val="20"/>
              </w:rPr>
              <w:t>350</w:t>
            </w:r>
          </w:p>
        </w:tc>
        <w:tc>
          <w:tcPr>
            <w:tcW w:w="824" w:type="dxa"/>
          </w:tcPr>
          <w:p w14:paraId="5341B1E8">
            <w:pPr>
              <w:spacing w:line="240" w:lineRule="auto"/>
              <w:ind w:firstLine="0" w:firstLineChars="0"/>
              <w:jc w:val="center"/>
              <w:rPr>
                <w:sz w:val="21"/>
                <w:szCs w:val="20"/>
              </w:rPr>
            </w:pPr>
            <w:r>
              <w:rPr>
                <w:sz w:val="21"/>
                <w:szCs w:val="20"/>
              </w:rPr>
              <w:t>250</w:t>
            </w:r>
          </w:p>
        </w:tc>
        <w:tc>
          <w:tcPr>
            <w:tcW w:w="663" w:type="dxa"/>
          </w:tcPr>
          <w:p w14:paraId="1A530041">
            <w:pPr>
              <w:spacing w:line="240" w:lineRule="auto"/>
              <w:ind w:firstLine="0" w:firstLineChars="0"/>
              <w:jc w:val="center"/>
              <w:rPr>
                <w:sz w:val="21"/>
                <w:szCs w:val="20"/>
              </w:rPr>
            </w:pPr>
            <w:r>
              <w:rPr>
                <w:sz w:val="21"/>
                <w:szCs w:val="20"/>
              </w:rPr>
              <w:t>60</w:t>
            </w:r>
          </w:p>
        </w:tc>
        <w:tc>
          <w:tcPr>
            <w:tcW w:w="824" w:type="dxa"/>
          </w:tcPr>
          <w:p w14:paraId="7D3D7176">
            <w:pPr>
              <w:spacing w:line="240" w:lineRule="auto"/>
              <w:ind w:firstLine="0" w:firstLineChars="0"/>
              <w:jc w:val="center"/>
              <w:rPr>
                <w:sz w:val="21"/>
                <w:szCs w:val="20"/>
              </w:rPr>
            </w:pPr>
            <w:r>
              <w:rPr>
                <w:sz w:val="21"/>
                <w:szCs w:val="20"/>
              </w:rPr>
              <w:t>1.0</w:t>
            </w:r>
          </w:p>
        </w:tc>
        <w:tc>
          <w:tcPr>
            <w:tcW w:w="663" w:type="dxa"/>
            <w:vAlign w:val="center"/>
          </w:tcPr>
          <w:p w14:paraId="3936B062">
            <w:pPr>
              <w:spacing w:line="240" w:lineRule="auto"/>
              <w:ind w:firstLine="0" w:firstLineChars="0"/>
              <w:jc w:val="center"/>
              <w:rPr>
                <w:sz w:val="21"/>
                <w:szCs w:val="20"/>
              </w:rPr>
            </w:pPr>
            <w:r>
              <w:rPr>
                <w:sz w:val="21"/>
                <w:szCs w:val="20"/>
              </w:rPr>
              <w:t>25</w:t>
            </w:r>
          </w:p>
        </w:tc>
        <w:tc>
          <w:tcPr>
            <w:tcW w:w="984" w:type="dxa"/>
            <w:vAlign w:val="center"/>
          </w:tcPr>
          <w:p w14:paraId="02196477">
            <w:pPr>
              <w:spacing w:line="240" w:lineRule="auto"/>
              <w:ind w:firstLine="0" w:firstLineChars="0"/>
              <w:jc w:val="center"/>
              <w:rPr>
                <w:sz w:val="21"/>
                <w:szCs w:val="20"/>
              </w:rPr>
            </w:pPr>
            <w:r>
              <w:rPr>
                <w:sz w:val="21"/>
                <w:szCs w:val="20"/>
              </w:rPr>
              <w:t>0.60</w:t>
            </w:r>
          </w:p>
        </w:tc>
      </w:tr>
    </w:tbl>
    <w:p w14:paraId="14C54D22">
      <w:pPr>
        <w:pStyle w:val="18"/>
        <w:ind w:firstLine="482"/>
        <w:jc w:val="center"/>
        <w:rPr>
          <w:b/>
          <w:bCs/>
          <w:sz w:val="24"/>
          <w:szCs w:val="24"/>
        </w:rPr>
      </w:pPr>
      <w:r>
        <w:rPr>
          <w:rFonts w:hint="eastAsia"/>
          <w:b/>
          <w:bCs/>
          <w:sz w:val="24"/>
          <w:szCs w:val="24"/>
        </w:rPr>
        <w:t xml:space="preserve">表1.4-6  </w:t>
      </w:r>
      <w:r>
        <w:rPr>
          <w:b/>
          <w:bCs/>
          <w:sz w:val="24"/>
          <w:szCs w:val="24"/>
        </w:rPr>
        <w:t>GB 4284-84</w:t>
      </w:r>
      <w:r>
        <w:rPr>
          <w:rFonts w:hint="eastAsia"/>
          <w:b/>
          <w:bCs/>
          <w:sz w:val="24"/>
          <w:szCs w:val="24"/>
        </w:rPr>
        <w:t>农用污泥中污染物控制标准值 (mg/kg)</w:t>
      </w:r>
    </w:p>
    <w:tbl>
      <w:tblPr>
        <w:tblStyle w:val="32"/>
        <w:tblW w:w="906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70"/>
        <w:gridCol w:w="2759"/>
        <w:gridCol w:w="3531"/>
      </w:tblGrid>
      <w:tr w14:paraId="7EC7AC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Merge w:val="restart"/>
            <w:vAlign w:val="center"/>
          </w:tcPr>
          <w:p w14:paraId="78362A6C">
            <w:pPr>
              <w:spacing w:line="240" w:lineRule="auto"/>
              <w:ind w:firstLine="0" w:firstLineChars="0"/>
              <w:jc w:val="center"/>
              <w:rPr>
                <w:b/>
                <w:bCs/>
                <w:sz w:val="21"/>
                <w:szCs w:val="20"/>
              </w:rPr>
            </w:pPr>
            <w:r>
              <w:rPr>
                <w:b/>
                <w:bCs/>
                <w:sz w:val="21"/>
                <w:szCs w:val="20"/>
              </w:rPr>
              <w:t>项目</w:t>
            </w:r>
          </w:p>
        </w:tc>
        <w:tc>
          <w:tcPr>
            <w:tcW w:w="6290" w:type="dxa"/>
            <w:gridSpan w:val="2"/>
            <w:vAlign w:val="center"/>
          </w:tcPr>
          <w:p w14:paraId="51066E70">
            <w:pPr>
              <w:spacing w:line="240" w:lineRule="auto"/>
              <w:ind w:firstLine="0" w:firstLineChars="0"/>
              <w:jc w:val="center"/>
              <w:rPr>
                <w:b/>
                <w:bCs/>
                <w:sz w:val="21"/>
                <w:szCs w:val="20"/>
              </w:rPr>
            </w:pPr>
            <w:r>
              <w:rPr>
                <w:b/>
                <w:bCs/>
                <w:sz w:val="21"/>
                <w:szCs w:val="20"/>
              </w:rPr>
              <w:t>最高允许含量</w:t>
            </w:r>
          </w:p>
        </w:tc>
      </w:tr>
      <w:tr w14:paraId="38F470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Merge w:val="continue"/>
            <w:vAlign w:val="center"/>
          </w:tcPr>
          <w:p w14:paraId="4D35A20E">
            <w:pPr>
              <w:spacing w:line="240" w:lineRule="auto"/>
              <w:ind w:firstLine="0" w:firstLineChars="0"/>
              <w:jc w:val="center"/>
              <w:rPr>
                <w:b/>
                <w:bCs/>
                <w:sz w:val="21"/>
                <w:szCs w:val="20"/>
              </w:rPr>
            </w:pPr>
          </w:p>
        </w:tc>
        <w:tc>
          <w:tcPr>
            <w:tcW w:w="2759" w:type="dxa"/>
            <w:vAlign w:val="center"/>
          </w:tcPr>
          <w:p w14:paraId="1D96D4B8">
            <w:pPr>
              <w:spacing w:line="240" w:lineRule="auto"/>
              <w:ind w:firstLine="0" w:firstLineChars="0"/>
              <w:jc w:val="center"/>
              <w:rPr>
                <w:b/>
                <w:bCs/>
                <w:sz w:val="21"/>
                <w:szCs w:val="20"/>
              </w:rPr>
            </w:pPr>
            <w:r>
              <w:rPr>
                <w:b/>
                <w:bCs/>
                <w:sz w:val="21"/>
                <w:szCs w:val="20"/>
              </w:rPr>
              <w:t>在酸性土壤上(</w:t>
            </w:r>
            <w:r>
              <w:rPr>
                <w:rFonts w:hint="eastAsia"/>
                <w:b/>
                <w:bCs/>
                <w:sz w:val="21"/>
                <w:szCs w:val="20"/>
              </w:rPr>
              <w:t>＜</w:t>
            </w:r>
            <w:r>
              <w:rPr>
                <w:b/>
                <w:bCs/>
                <w:sz w:val="21"/>
                <w:szCs w:val="20"/>
              </w:rPr>
              <w:t>6.5)</w:t>
            </w:r>
          </w:p>
        </w:tc>
        <w:tc>
          <w:tcPr>
            <w:tcW w:w="3531" w:type="dxa"/>
            <w:vAlign w:val="center"/>
          </w:tcPr>
          <w:p w14:paraId="3E6B6452">
            <w:pPr>
              <w:spacing w:line="240" w:lineRule="auto"/>
              <w:ind w:firstLine="0" w:firstLineChars="0"/>
              <w:jc w:val="center"/>
              <w:rPr>
                <w:b/>
                <w:bCs/>
                <w:sz w:val="21"/>
                <w:szCs w:val="20"/>
              </w:rPr>
            </w:pPr>
            <w:r>
              <w:rPr>
                <w:b/>
                <w:bCs/>
                <w:sz w:val="21"/>
                <w:szCs w:val="20"/>
              </w:rPr>
              <w:t>在中性和碱性土壤上(pH≥6.5)</w:t>
            </w:r>
          </w:p>
        </w:tc>
      </w:tr>
      <w:tr w14:paraId="699CAB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Align w:val="center"/>
          </w:tcPr>
          <w:p w14:paraId="148FF952">
            <w:pPr>
              <w:spacing w:line="240" w:lineRule="auto"/>
              <w:ind w:firstLine="0" w:firstLineChars="0"/>
              <w:jc w:val="center"/>
              <w:rPr>
                <w:sz w:val="21"/>
                <w:szCs w:val="20"/>
              </w:rPr>
            </w:pPr>
            <w:r>
              <w:rPr>
                <w:sz w:val="21"/>
                <w:szCs w:val="20"/>
              </w:rPr>
              <w:t>镉及其化合物(以Cd计)</w:t>
            </w:r>
          </w:p>
        </w:tc>
        <w:tc>
          <w:tcPr>
            <w:tcW w:w="2759" w:type="dxa"/>
            <w:vAlign w:val="center"/>
          </w:tcPr>
          <w:p w14:paraId="725C758F">
            <w:pPr>
              <w:spacing w:line="240" w:lineRule="auto"/>
              <w:ind w:firstLine="0" w:firstLineChars="0"/>
              <w:jc w:val="center"/>
              <w:rPr>
                <w:sz w:val="21"/>
                <w:szCs w:val="20"/>
              </w:rPr>
            </w:pPr>
            <w:r>
              <w:rPr>
                <w:sz w:val="21"/>
                <w:szCs w:val="20"/>
              </w:rPr>
              <w:t>5</w:t>
            </w:r>
          </w:p>
        </w:tc>
        <w:tc>
          <w:tcPr>
            <w:tcW w:w="3531" w:type="dxa"/>
            <w:vAlign w:val="center"/>
          </w:tcPr>
          <w:p w14:paraId="6016E6AF">
            <w:pPr>
              <w:spacing w:line="240" w:lineRule="auto"/>
              <w:ind w:firstLine="0" w:firstLineChars="0"/>
              <w:jc w:val="center"/>
              <w:rPr>
                <w:sz w:val="21"/>
                <w:szCs w:val="20"/>
              </w:rPr>
            </w:pPr>
            <w:r>
              <w:rPr>
                <w:sz w:val="21"/>
                <w:szCs w:val="20"/>
              </w:rPr>
              <w:t>20</w:t>
            </w:r>
          </w:p>
        </w:tc>
      </w:tr>
      <w:tr w14:paraId="35D826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Align w:val="center"/>
          </w:tcPr>
          <w:p w14:paraId="3A701F98">
            <w:pPr>
              <w:spacing w:line="240" w:lineRule="auto"/>
              <w:ind w:firstLine="0" w:firstLineChars="0"/>
              <w:jc w:val="center"/>
              <w:rPr>
                <w:sz w:val="21"/>
                <w:szCs w:val="20"/>
              </w:rPr>
            </w:pPr>
            <w:r>
              <w:rPr>
                <w:sz w:val="21"/>
                <w:szCs w:val="20"/>
              </w:rPr>
              <w:t>汞及其化合物(以Hg计)</w:t>
            </w:r>
          </w:p>
        </w:tc>
        <w:tc>
          <w:tcPr>
            <w:tcW w:w="2759" w:type="dxa"/>
            <w:vAlign w:val="center"/>
          </w:tcPr>
          <w:p w14:paraId="7A78CC3A">
            <w:pPr>
              <w:spacing w:line="240" w:lineRule="auto"/>
              <w:ind w:firstLine="0" w:firstLineChars="0"/>
              <w:jc w:val="center"/>
              <w:rPr>
                <w:sz w:val="21"/>
                <w:szCs w:val="20"/>
              </w:rPr>
            </w:pPr>
            <w:r>
              <w:rPr>
                <w:sz w:val="21"/>
                <w:szCs w:val="20"/>
              </w:rPr>
              <w:t>5</w:t>
            </w:r>
          </w:p>
        </w:tc>
        <w:tc>
          <w:tcPr>
            <w:tcW w:w="3531" w:type="dxa"/>
            <w:vAlign w:val="center"/>
          </w:tcPr>
          <w:p w14:paraId="073FCE40">
            <w:pPr>
              <w:spacing w:line="240" w:lineRule="auto"/>
              <w:ind w:firstLine="0" w:firstLineChars="0"/>
              <w:jc w:val="center"/>
              <w:rPr>
                <w:sz w:val="21"/>
                <w:szCs w:val="20"/>
              </w:rPr>
            </w:pPr>
            <w:r>
              <w:rPr>
                <w:sz w:val="21"/>
                <w:szCs w:val="20"/>
              </w:rPr>
              <w:t>15</w:t>
            </w:r>
          </w:p>
        </w:tc>
      </w:tr>
      <w:tr w14:paraId="66F1CC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Align w:val="center"/>
          </w:tcPr>
          <w:p w14:paraId="4046C76A">
            <w:pPr>
              <w:spacing w:line="240" w:lineRule="auto"/>
              <w:ind w:firstLine="0" w:firstLineChars="0"/>
              <w:jc w:val="center"/>
              <w:rPr>
                <w:sz w:val="21"/>
                <w:szCs w:val="20"/>
              </w:rPr>
            </w:pPr>
            <w:r>
              <w:rPr>
                <w:sz w:val="21"/>
                <w:szCs w:val="20"/>
              </w:rPr>
              <w:t>铅及其化合物(以Pb计)</w:t>
            </w:r>
          </w:p>
        </w:tc>
        <w:tc>
          <w:tcPr>
            <w:tcW w:w="2759" w:type="dxa"/>
            <w:vAlign w:val="center"/>
          </w:tcPr>
          <w:p w14:paraId="765D009A">
            <w:pPr>
              <w:spacing w:line="240" w:lineRule="auto"/>
              <w:ind w:firstLine="0" w:firstLineChars="0"/>
              <w:jc w:val="center"/>
              <w:rPr>
                <w:sz w:val="21"/>
                <w:szCs w:val="20"/>
              </w:rPr>
            </w:pPr>
            <w:r>
              <w:rPr>
                <w:sz w:val="21"/>
                <w:szCs w:val="20"/>
              </w:rPr>
              <w:t>300</w:t>
            </w:r>
          </w:p>
        </w:tc>
        <w:tc>
          <w:tcPr>
            <w:tcW w:w="3531" w:type="dxa"/>
            <w:vAlign w:val="center"/>
          </w:tcPr>
          <w:p w14:paraId="68ECFEA4">
            <w:pPr>
              <w:spacing w:line="240" w:lineRule="auto"/>
              <w:ind w:firstLine="0" w:firstLineChars="0"/>
              <w:jc w:val="center"/>
              <w:rPr>
                <w:sz w:val="21"/>
                <w:szCs w:val="20"/>
              </w:rPr>
            </w:pPr>
            <w:r>
              <w:rPr>
                <w:sz w:val="21"/>
                <w:szCs w:val="20"/>
              </w:rPr>
              <w:t>1000</w:t>
            </w:r>
          </w:p>
        </w:tc>
      </w:tr>
      <w:tr w14:paraId="48D282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Align w:val="center"/>
          </w:tcPr>
          <w:p w14:paraId="6542B616">
            <w:pPr>
              <w:spacing w:line="240" w:lineRule="auto"/>
              <w:ind w:firstLine="0" w:firstLineChars="0"/>
              <w:jc w:val="center"/>
              <w:rPr>
                <w:sz w:val="21"/>
                <w:szCs w:val="20"/>
              </w:rPr>
            </w:pPr>
            <w:r>
              <w:rPr>
                <w:sz w:val="21"/>
                <w:szCs w:val="20"/>
              </w:rPr>
              <w:t>铬及其化合物(以Cr计)</w:t>
            </w:r>
          </w:p>
        </w:tc>
        <w:tc>
          <w:tcPr>
            <w:tcW w:w="2759" w:type="dxa"/>
            <w:vAlign w:val="center"/>
          </w:tcPr>
          <w:p w14:paraId="4B506626">
            <w:pPr>
              <w:spacing w:line="240" w:lineRule="auto"/>
              <w:ind w:firstLine="0" w:firstLineChars="0"/>
              <w:jc w:val="center"/>
              <w:rPr>
                <w:sz w:val="21"/>
                <w:szCs w:val="20"/>
              </w:rPr>
            </w:pPr>
            <w:r>
              <w:rPr>
                <w:sz w:val="21"/>
                <w:szCs w:val="20"/>
              </w:rPr>
              <w:t>600</w:t>
            </w:r>
          </w:p>
        </w:tc>
        <w:tc>
          <w:tcPr>
            <w:tcW w:w="3531" w:type="dxa"/>
            <w:vAlign w:val="center"/>
          </w:tcPr>
          <w:p w14:paraId="666B98D1">
            <w:pPr>
              <w:spacing w:line="240" w:lineRule="auto"/>
              <w:ind w:firstLine="0" w:firstLineChars="0"/>
              <w:jc w:val="center"/>
              <w:rPr>
                <w:sz w:val="21"/>
                <w:szCs w:val="20"/>
              </w:rPr>
            </w:pPr>
            <w:r>
              <w:rPr>
                <w:sz w:val="21"/>
                <w:szCs w:val="20"/>
              </w:rPr>
              <w:t>1000</w:t>
            </w:r>
          </w:p>
        </w:tc>
      </w:tr>
      <w:tr w14:paraId="6A8F7E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Align w:val="center"/>
          </w:tcPr>
          <w:p w14:paraId="4ED373A0">
            <w:pPr>
              <w:spacing w:line="240" w:lineRule="auto"/>
              <w:ind w:firstLine="0" w:firstLineChars="0"/>
              <w:jc w:val="center"/>
              <w:rPr>
                <w:sz w:val="21"/>
                <w:szCs w:val="20"/>
              </w:rPr>
            </w:pPr>
            <w:r>
              <w:rPr>
                <w:sz w:val="21"/>
                <w:szCs w:val="20"/>
              </w:rPr>
              <w:t>砷及其化合物(以As计)</w:t>
            </w:r>
          </w:p>
        </w:tc>
        <w:tc>
          <w:tcPr>
            <w:tcW w:w="2759" w:type="dxa"/>
            <w:vAlign w:val="center"/>
          </w:tcPr>
          <w:p w14:paraId="2107B198">
            <w:pPr>
              <w:spacing w:line="240" w:lineRule="auto"/>
              <w:ind w:firstLine="0" w:firstLineChars="0"/>
              <w:jc w:val="center"/>
              <w:rPr>
                <w:sz w:val="21"/>
                <w:szCs w:val="20"/>
              </w:rPr>
            </w:pPr>
            <w:r>
              <w:rPr>
                <w:sz w:val="21"/>
                <w:szCs w:val="20"/>
              </w:rPr>
              <w:t>75</w:t>
            </w:r>
          </w:p>
        </w:tc>
        <w:tc>
          <w:tcPr>
            <w:tcW w:w="3531" w:type="dxa"/>
            <w:vAlign w:val="center"/>
          </w:tcPr>
          <w:p w14:paraId="3F34E059">
            <w:pPr>
              <w:spacing w:line="240" w:lineRule="auto"/>
              <w:ind w:firstLine="0" w:firstLineChars="0"/>
              <w:jc w:val="center"/>
              <w:rPr>
                <w:sz w:val="21"/>
                <w:szCs w:val="20"/>
              </w:rPr>
            </w:pPr>
            <w:r>
              <w:rPr>
                <w:sz w:val="21"/>
                <w:szCs w:val="20"/>
              </w:rPr>
              <w:t>75</w:t>
            </w:r>
          </w:p>
        </w:tc>
      </w:tr>
      <w:tr w14:paraId="1C4789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Align w:val="center"/>
          </w:tcPr>
          <w:p w14:paraId="1DFFD7AA">
            <w:pPr>
              <w:spacing w:line="240" w:lineRule="auto"/>
              <w:ind w:firstLine="0" w:firstLineChars="0"/>
              <w:jc w:val="center"/>
              <w:rPr>
                <w:sz w:val="21"/>
                <w:szCs w:val="20"/>
              </w:rPr>
            </w:pPr>
            <w:r>
              <w:rPr>
                <w:sz w:val="21"/>
                <w:szCs w:val="20"/>
              </w:rPr>
              <w:t>铜及其化合物(以Cu计)</w:t>
            </w:r>
          </w:p>
        </w:tc>
        <w:tc>
          <w:tcPr>
            <w:tcW w:w="2759" w:type="dxa"/>
            <w:vAlign w:val="center"/>
          </w:tcPr>
          <w:p w14:paraId="7B0144C9">
            <w:pPr>
              <w:spacing w:line="240" w:lineRule="auto"/>
              <w:ind w:firstLine="0" w:firstLineChars="0"/>
              <w:jc w:val="center"/>
              <w:rPr>
                <w:sz w:val="21"/>
                <w:szCs w:val="20"/>
              </w:rPr>
            </w:pPr>
            <w:r>
              <w:rPr>
                <w:sz w:val="21"/>
                <w:szCs w:val="20"/>
              </w:rPr>
              <w:t>250</w:t>
            </w:r>
          </w:p>
        </w:tc>
        <w:tc>
          <w:tcPr>
            <w:tcW w:w="3531" w:type="dxa"/>
            <w:vAlign w:val="center"/>
          </w:tcPr>
          <w:p w14:paraId="7AB8BD6A">
            <w:pPr>
              <w:spacing w:line="240" w:lineRule="auto"/>
              <w:ind w:firstLine="0" w:firstLineChars="0"/>
              <w:jc w:val="center"/>
              <w:rPr>
                <w:sz w:val="21"/>
                <w:szCs w:val="20"/>
              </w:rPr>
            </w:pPr>
            <w:r>
              <w:rPr>
                <w:sz w:val="21"/>
                <w:szCs w:val="20"/>
              </w:rPr>
              <w:t>500</w:t>
            </w:r>
          </w:p>
        </w:tc>
      </w:tr>
      <w:tr w14:paraId="76675E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Align w:val="center"/>
          </w:tcPr>
          <w:p w14:paraId="7F601B84">
            <w:pPr>
              <w:spacing w:line="240" w:lineRule="auto"/>
              <w:ind w:firstLine="0" w:firstLineChars="0"/>
              <w:jc w:val="center"/>
              <w:rPr>
                <w:sz w:val="21"/>
                <w:szCs w:val="20"/>
              </w:rPr>
            </w:pPr>
            <w:r>
              <w:rPr>
                <w:sz w:val="21"/>
                <w:szCs w:val="20"/>
              </w:rPr>
              <w:t>锌及其化合物(以Zn计)</w:t>
            </w:r>
          </w:p>
        </w:tc>
        <w:tc>
          <w:tcPr>
            <w:tcW w:w="2759" w:type="dxa"/>
            <w:vAlign w:val="center"/>
          </w:tcPr>
          <w:p w14:paraId="250C9895">
            <w:pPr>
              <w:spacing w:line="240" w:lineRule="auto"/>
              <w:ind w:firstLine="0" w:firstLineChars="0"/>
              <w:jc w:val="center"/>
              <w:rPr>
                <w:sz w:val="21"/>
                <w:szCs w:val="20"/>
              </w:rPr>
            </w:pPr>
            <w:r>
              <w:rPr>
                <w:sz w:val="21"/>
                <w:szCs w:val="20"/>
              </w:rPr>
              <w:t>500</w:t>
            </w:r>
          </w:p>
        </w:tc>
        <w:tc>
          <w:tcPr>
            <w:tcW w:w="3531" w:type="dxa"/>
            <w:vAlign w:val="center"/>
          </w:tcPr>
          <w:p w14:paraId="6F4648E5">
            <w:pPr>
              <w:spacing w:line="240" w:lineRule="auto"/>
              <w:ind w:firstLine="0" w:firstLineChars="0"/>
              <w:jc w:val="center"/>
              <w:rPr>
                <w:sz w:val="21"/>
                <w:szCs w:val="20"/>
              </w:rPr>
            </w:pPr>
            <w:r>
              <w:rPr>
                <w:sz w:val="21"/>
                <w:szCs w:val="20"/>
              </w:rPr>
              <w:t>1000</w:t>
            </w:r>
          </w:p>
        </w:tc>
      </w:tr>
      <w:tr w14:paraId="14DEFE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0" w:type="dxa"/>
            <w:vAlign w:val="center"/>
          </w:tcPr>
          <w:p w14:paraId="76B2372A">
            <w:pPr>
              <w:spacing w:line="240" w:lineRule="auto"/>
              <w:ind w:firstLine="0" w:firstLineChars="0"/>
              <w:jc w:val="center"/>
              <w:rPr>
                <w:sz w:val="21"/>
                <w:szCs w:val="20"/>
              </w:rPr>
            </w:pPr>
            <w:r>
              <w:rPr>
                <w:sz w:val="21"/>
                <w:szCs w:val="20"/>
              </w:rPr>
              <w:t>镍及其化合物(以Ni计)</w:t>
            </w:r>
          </w:p>
        </w:tc>
        <w:tc>
          <w:tcPr>
            <w:tcW w:w="2759" w:type="dxa"/>
            <w:vAlign w:val="center"/>
          </w:tcPr>
          <w:p w14:paraId="2DFB2A97">
            <w:pPr>
              <w:spacing w:line="240" w:lineRule="auto"/>
              <w:ind w:firstLine="0" w:firstLineChars="0"/>
              <w:jc w:val="center"/>
              <w:rPr>
                <w:sz w:val="21"/>
                <w:szCs w:val="20"/>
              </w:rPr>
            </w:pPr>
            <w:r>
              <w:rPr>
                <w:sz w:val="21"/>
                <w:szCs w:val="20"/>
              </w:rPr>
              <w:t>100</w:t>
            </w:r>
          </w:p>
        </w:tc>
        <w:tc>
          <w:tcPr>
            <w:tcW w:w="3531" w:type="dxa"/>
            <w:vAlign w:val="center"/>
          </w:tcPr>
          <w:p w14:paraId="179D9EBA">
            <w:pPr>
              <w:spacing w:line="240" w:lineRule="auto"/>
              <w:ind w:firstLine="0" w:firstLineChars="0"/>
              <w:jc w:val="center"/>
              <w:rPr>
                <w:sz w:val="21"/>
                <w:szCs w:val="20"/>
              </w:rPr>
            </w:pPr>
            <w:r>
              <w:rPr>
                <w:sz w:val="21"/>
                <w:szCs w:val="20"/>
              </w:rPr>
              <w:t>200</w:t>
            </w:r>
          </w:p>
        </w:tc>
      </w:tr>
    </w:tbl>
    <w:p w14:paraId="044D9F3D">
      <w:pPr>
        <w:pStyle w:val="18"/>
        <w:ind w:firstLine="482"/>
        <w:jc w:val="center"/>
        <w:rPr>
          <w:b/>
          <w:bCs/>
          <w:sz w:val="24"/>
          <w:szCs w:val="24"/>
        </w:rPr>
      </w:pPr>
      <w:r>
        <w:rPr>
          <w:rFonts w:hint="eastAsia"/>
          <w:b/>
          <w:bCs/>
          <w:sz w:val="24"/>
          <w:szCs w:val="24"/>
        </w:rPr>
        <w:t>表1.4-7</w:t>
      </w:r>
      <w:r>
        <w:rPr>
          <w:b/>
          <w:bCs/>
          <w:sz w:val="24"/>
          <w:szCs w:val="24"/>
        </w:rPr>
        <w:t xml:space="preserve">  </w:t>
      </w:r>
      <w:r>
        <w:rPr>
          <w:rFonts w:hint="eastAsia"/>
          <w:b/>
          <w:bCs/>
          <w:sz w:val="24"/>
          <w:szCs w:val="24"/>
        </w:rPr>
        <w:t>项目场地内土壤环境质量标准</w:t>
      </w:r>
    </w:p>
    <w:tbl>
      <w:tblPr>
        <w:tblStyle w:val="32"/>
        <w:tblW w:w="528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5"/>
        <w:gridCol w:w="3544"/>
        <w:gridCol w:w="2051"/>
        <w:gridCol w:w="2538"/>
      </w:tblGrid>
      <w:tr w14:paraId="3EFE49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tblHeader/>
          <w:jc w:val="center"/>
        </w:trPr>
        <w:tc>
          <w:tcPr>
            <w:tcW w:w="491" w:type="pct"/>
            <w:vAlign w:val="center"/>
          </w:tcPr>
          <w:p w14:paraId="0137DB57">
            <w:pPr>
              <w:pStyle w:val="58"/>
              <w:spacing w:line="240" w:lineRule="auto"/>
              <w:ind w:firstLine="0" w:firstLineChars="0"/>
              <w:jc w:val="center"/>
              <w:rPr>
                <w:b/>
                <w:bCs/>
                <w:sz w:val="21"/>
                <w:szCs w:val="21"/>
              </w:rPr>
            </w:pPr>
            <w:r>
              <w:rPr>
                <w:rFonts w:hint="eastAsia"/>
                <w:b/>
                <w:bCs/>
                <w:sz w:val="21"/>
                <w:szCs w:val="21"/>
              </w:rPr>
              <w:t>序号</w:t>
            </w:r>
          </w:p>
        </w:tc>
        <w:tc>
          <w:tcPr>
            <w:tcW w:w="1965" w:type="pct"/>
            <w:vAlign w:val="center"/>
          </w:tcPr>
          <w:p w14:paraId="56E65393">
            <w:pPr>
              <w:pStyle w:val="58"/>
              <w:spacing w:line="240" w:lineRule="auto"/>
              <w:ind w:firstLine="0" w:firstLineChars="0"/>
              <w:jc w:val="center"/>
              <w:rPr>
                <w:b/>
                <w:bCs/>
                <w:sz w:val="21"/>
                <w:szCs w:val="21"/>
              </w:rPr>
            </w:pPr>
            <w:r>
              <w:rPr>
                <w:rFonts w:hint="eastAsia"/>
                <w:b/>
                <w:bCs/>
                <w:sz w:val="21"/>
                <w:szCs w:val="21"/>
              </w:rPr>
              <w:t>污染物项目</w:t>
            </w:r>
          </w:p>
        </w:tc>
        <w:tc>
          <w:tcPr>
            <w:tcW w:w="1137" w:type="pct"/>
            <w:vAlign w:val="center"/>
          </w:tcPr>
          <w:p w14:paraId="5D21065E">
            <w:pPr>
              <w:pStyle w:val="58"/>
              <w:spacing w:line="240" w:lineRule="auto"/>
              <w:ind w:firstLine="0" w:firstLineChars="0"/>
              <w:jc w:val="center"/>
              <w:rPr>
                <w:b/>
                <w:bCs/>
                <w:sz w:val="21"/>
                <w:szCs w:val="21"/>
              </w:rPr>
            </w:pPr>
            <w:r>
              <w:rPr>
                <w:rFonts w:hint="eastAsia"/>
                <w:b/>
                <w:bCs/>
                <w:sz w:val="21"/>
                <w:szCs w:val="21"/>
              </w:rPr>
              <w:t>C</w:t>
            </w:r>
            <w:r>
              <w:rPr>
                <w:b/>
                <w:bCs/>
                <w:sz w:val="21"/>
                <w:szCs w:val="21"/>
              </w:rPr>
              <w:t>AS</w:t>
            </w:r>
            <w:r>
              <w:rPr>
                <w:rFonts w:hint="eastAsia"/>
                <w:b/>
                <w:bCs/>
                <w:sz w:val="21"/>
                <w:szCs w:val="21"/>
              </w:rPr>
              <w:t>编号</w:t>
            </w:r>
          </w:p>
        </w:tc>
        <w:tc>
          <w:tcPr>
            <w:tcW w:w="1407" w:type="pct"/>
            <w:vAlign w:val="center"/>
          </w:tcPr>
          <w:p w14:paraId="56FE32E4">
            <w:pPr>
              <w:pStyle w:val="58"/>
              <w:spacing w:line="240" w:lineRule="auto"/>
              <w:ind w:firstLine="0" w:firstLineChars="0"/>
              <w:jc w:val="center"/>
              <w:rPr>
                <w:b/>
                <w:bCs/>
                <w:sz w:val="21"/>
                <w:szCs w:val="21"/>
              </w:rPr>
            </w:pPr>
            <w:r>
              <w:rPr>
                <w:rFonts w:hint="eastAsia"/>
                <w:b/>
                <w:bCs/>
                <w:sz w:val="21"/>
                <w:szCs w:val="21"/>
              </w:rPr>
              <w:t>评价标准</w:t>
            </w:r>
          </w:p>
          <w:p w14:paraId="70F3407F">
            <w:pPr>
              <w:pStyle w:val="58"/>
              <w:spacing w:line="240" w:lineRule="auto"/>
              <w:ind w:firstLine="0" w:firstLineChars="0"/>
              <w:jc w:val="center"/>
              <w:rPr>
                <w:b/>
                <w:bCs/>
                <w:sz w:val="21"/>
                <w:szCs w:val="21"/>
              </w:rPr>
            </w:pPr>
            <w:r>
              <w:rPr>
                <w:rFonts w:hint="eastAsia"/>
                <w:b/>
                <w:bCs/>
                <w:sz w:val="21"/>
                <w:szCs w:val="21"/>
              </w:rPr>
              <w:t>（第二类用地筛选值）</w:t>
            </w:r>
          </w:p>
        </w:tc>
      </w:tr>
      <w:tr w14:paraId="13464D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4"/>
            <w:vAlign w:val="center"/>
          </w:tcPr>
          <w:p w14:paraId="3C43E21D">
            <w:pPr>
              <w:pStyle w:val="58"/>
              <w:spacing w:line="240" w:lineRule="auto"/>
              <w:ind w:firstLine="0" w:firstLineChars="0"/>
              <w:jc w:val="center"/>
              <w:rPr>
                <w:sz w:val="21"/>
                <w:szCs w:val="21"/>
              </w:rPr>
            </w:pPr>
            <w:r>
              <w:rPr>
                <w:rFonts w:hint="eastAsia"/>
                <w:sz w:val="21"/>
                <w:szCs w:val="21"/>
              </w:rPr>
              <w:t>重金属元素（单位：</w:t>
            </w:r>
            <w:r>
              <w:rPr>
                <w:sz w:val="21"/>
                <w:szCs w:val="21"/>
              </w:rPr>
              <w:t>mg/kg</w:t>
            </w:r>
            <w:r>
              <w:rPr>
                <w:rFonts w:hint="eastAsia"/>
                <w:sz w:val="21"/>
                <w:szCs w:val="21"/>
              </w:rPr>
              <w:t>）</w:t>
            </w:r>
          </w:p>
        </w:tc>
      </w:tr>
      <w:tr w14:paraId="3B2EE9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0B0C6F21">
            <w:pPr>
              <w:pStyle w:val="58"/>
              <w:spacing w:line="240" w:lineRule="auto"/>
              <w:ind w:firstLine="0" w:firstLineChars="0"/>
              <w:jc w:val="center"/>
              <w:rPr>
                <w:sz w:val="21"/>
                <w:szCs w:val="21"/>
              </w:rPr>
            </w:pPr>
            <w:r>
              <w:rPr>
                <w:sz w:val="21"/>
                <w:szCs w:val="21"/>
              </w:rPr>
              <w:t>1</w:t>
            </w:r>
          </w:p>
        </w:tc>
        <w:tc>
          <w:tcPr>
            <w:tcW w:w="1965" w:type="pct"/>
            <w:vAlign w:val="center"/>
          </w:tcPr>
          <w:p w14:paraId="770FF10B">
            <w:pPr>
              <w:pStyle w:val="58"/>
              <w:spacing w:line="240" w:lineRule="auto"/>
              <w:ind w:firstLine="0" w:firstLineChars="0"/>
              <w:jc w:val="center"/>
              <w:rPr>
                <w:sz w:val="21"/>
                <w:szCs w:val="21"/>
              </w:rPr>
            </w:pPr>
            <w:r>
              <w:rPr>
                <w:rFonts w:hint="eastAsia"/>
                <w:sz w:val="21"/>
                <w:szCs w:val="21"/>
              </w:rPr>
              <w:t>砷</w:t>
            </w:r>
          </w:p>
        </w:tc>
        <w:tc>
          <w:tcPr>
            <w:tcW w:w="1137" w:type="pct"/>
            <w:vAlign w:val="center"/>
          </w:tcPr>
          <w:p w14:paraId="399F2BB5">
            <w:pPr>
              <w:pStyle w:val="58"/>
              <w:spacing w:line="240" w:lineRule="auto"/>
              <w:ind w:firstLine="0" w:firstLineChars="0"/>
              <w:jc w:val="center"/>
              <w:rPr>
                <w:sz w:val="21"/>
                <w:szCs w:val="21"/>
              </w:rPr>
            </w:pPr>
            <w:r>
              <w:rPr>
                <w:sz w:val="21"/>
                <w:szCs w:val="21"/>
              </w:rPr>
              <w:t>7440-38-2</w:t>
            </w:r>
          </w:p>
        </w:tc>
        <w:tc>
          <w:tcPr>
            <w:tcW w:w="1407" w:type="pct"/>
            <w:vAlign w:val="center"/>
          </w:tcPr>
          <w:p w14:paraId="2A5C8A35">
            <w:pPr>
              <w:spacing w:line="240" w:lineRule="auto"/>
              <w:ind w:firstLine="0" w:firstLineChars="0"/>
              <w:jc w:val="center"/>
              <w:rPr>
                <w:sz w:val="21"/>
                <w:szCs w:val="21"/>
              </w:rPr>
            </w:pPr>
            <w:r>
              <w:rPr>
                <w:sz w:val="21"/>
                <w:szCs w:val="21"/>
              </w:rPr>
              <w:t>60</w:t>
            </w:r>
            <w:r>
              <w:rPr>
                <w:rFonts w:hint="eastAsia"/>
                <w:sz w:val="21"/>
                <w:szCs w:val="21"/>
              </w:rPr>
              <w:t>①</w:t>
            </w:r>
          </w:p>
        </w:tc>
      </w:tr>
      <w:tr w14:paraId="224431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11C92937">
            <w:pPr>
              <w:pStyle w:val="58"/>
              <w:spacing w:line="240" w:lineRule="auto"/>
              <w:ind w:firstLine="0" w:firstLineChars="0"/>
              <w:jc w:val="center"/>
              <w:rPr>
                <w:sz w:val="21"/>
                <w:szCs w:val="21"/>
              </w:rPr>
            </w:pPr>
            <w:r>
              <w:rPr>
                <w:sz w:val="21"/>
                <w:szCs w:val="21"/>
              </w:rPr>
              <w:t>2</w:t>
            </w:r>
          </w:p>
        </w:tc>
        <w:tc>
          <w:tcPr>
            <w:tcW w:w="1965" w:type="pct"/>
            <w:vAlign w:val="center"/>
          </w:tcPr>
          <w:p w14:paraId="6D3ECFA3">
            <w:pPr>
              <w:pStyle w:val="58"/>
              <w:spacing w:line="240" w:lineRule="auto"/>
              <w:ind w:firstLine="0" w:firstLineChars="0"/>
              <w:jc w:val="center"/>
              <w:rPr>
                <w:sz w:val="21"/>
                <w:szCs w:val="21"/>
              </w:rPr>
            </w:pPr>
            <w:r>
              <w:rPr>
                <w:rFonts w:hint="eastAsia"/>
                <w:sz w:val="21"/>
                <w:szCs w:val="21"/>
              </w:rPr>
              <w:t>镉</w:t>
            </w:r>
          </w:p>
        </w:tc>
        <w:tc>
          <w:tcPr>
            <w:tcW w:w="1137" w:type="pct"/>
            <w:vAlign w:val="center"/>
          </w:tcPr>
          <w:p w14:paraId="1DB083F2">
            <w:pPr>
              <w:pStyle w:val="58"/>
              <w:spacing w:line="240" w:lineRule="auto"/>
              <w:ind w:firstLine="0" w:firstLineChars="0"/>
              <w:jc w:val="center"/>
              <w:rPr>
                <w:sz w:val="21"/>
                <w:szCs w:val="21"/>
              </w:rPr>
            </w:pPr>
            <w:r>
              <w:rPr>
                <w:sz w:val="21"/>
                <w:szCs w:val="21"/>
              </w:rPr>
              <w:t>7440-43-9</w:t>
            </w:r>
          </w:p>
        </w:tc>
        <w:tc>
          <w:tcPr>
            <w:tcW w:w="1407" w:type="pct"/>
            <w:vAlign w:val="center"/>
          </w:tcPr>
          <w:p w14:paraId="17C2ABC4">
            <w:pPr>
              <w:spacing w:line="240" w:lineRule="auto"/>
              <w:ind w:firstLine="0" w:firstLineChars="0"/>
              <w:jc w:val="center"/>
              <w:rPr>
                <w:sz w:val="21"/>
                <w:szCs w:val="21"/>
              </w:rPr>
            </w:pPr>
            <w:r>
              <w:rPr>
                <w:sz w:val="21"/>
                <w:szCs w:val="21"/>
              </w:rPr>
              <w:t>65</w:t>
            </w:r>
          </w:p>
        </w:tc>
      </w:tr>
      <w:tr w14:paraId="333E6C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2D245288">
            <w:pPr>
              <w:pStyle w:val="58"/>
              <w:spacing w:line="240" w:lineRule="auto"/>
              <w:ind w:firstLine="0" w:firstLineChars="0"/>
              <w:jc w:val="center"/>
              <w:rPr>
                <w:sz w:val="21"/>
                <w:szCs w:val="21"/>
              </w:rPr>
            </w:pPr>
            <w:r>
              <w:rPr>
                <w:sz w:val="21"/>
                <w:szCs w:val="21"/>
              </w:rPr>
              <w:t>3</w:t>
            </w:r>
          </w:p>
        </w:tc>
        <w:tc>
          <w:tcPr>
            <w:tcW w:w="1965" w:type="pct"/>
            <w:vAlign w:val="center"/>
          </w:tcPr>
          <w:p w14:paraId="657EF309">
            <w:pPr>
              <w:pStyle w:val="58"/>
              <w:spacing w:line="240" w:lineRule="auto"/>
              <w:ind w:firstLine="0" w:firstLineChars="0"/>
              <w:jc w:val="center"/>
              <w:rPr>
                <w:sz w:val="21"/>
                <w:szCs w:val="21"/>
              </w:rPr>
            </w:pPr>
            <w:r>
              <w:rPr>
                <w:rFonts w:hint="eastAsia"/>
                <w:sz w:val="21"/>
                <w:szCs w:val="21"/>
              </w:rPr>
              <w:t>铬（六价）</w:t>
            </w:r>
          </w:p>
        </w:tc>
        <w:tc>
          <w:tcPr>
            <w:tcW w:w="1137" w:type="pct"/>
            <w:vAlign w:val="center"/>
          </w:tcPr>
          <w:p w14:paraId="523E92FC">
            <w:pPr>
              <w:pStyle w:val="58"/>
              <w:spacing w:line="240" w:lineRule="auto"/>
              <w:ind w:firstLine="0" w:firstLineChars="0"/>
              <w:jc w:val="center"/>
              <w:rPr>
                <w:sz w:val="21"/>
                <w:szCs w:val="21"/>
              </w:rPr>
            </w:pPr>
            <w:r>
              <w:rPr>
                <w:sz w:val="21"/>
                <w:szCs w:val="21"/>
              </w:rPr>
              <w:t>18540-29-9</w:t>
            </w:r>
          </w:p>
        </w:tc>
        <w:tc>
          <w:tcPr>
            <w:tcW w:w="1407" w:type="pct"/>
            <w:vAlign w:val="center"/>
          </w:tcPr>
          <w:p w14:paraId="4599AAE8">
            <w:pPr>
              <w:spacing w:line="240" w:lineRule="auto"/>
              <w:ind w:firstLine="0" w:firstLineChars="0"/>
              <w:jc w:val="center"/>
              <w:rPr>
                <w:sz w:val="21"/>
                <w:szCs w:val="21"/>
              </w:rPr>
            </w:pPr>
            <w:r>
              <w:rPr>
                <w:sz w:val="21"/>
                <w:szCs w:val="21"/>
              </w:rPr>
              <w:t>5.7</w:t>
            </w:r>
          </w:p>
        </w:tc>
      </w:tr>
      <w:tr w14:paraId="315C61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7CD78176">
            <w:pPr>
              <w:pStyle w:val="58"/>
              <w:spacing w:line="240" w:lineRule="auto"/>
              <w:ind w:firstLine="0" w:firstLineChars="0"/>
              <w:jc w:val="center"/>
              <w:rPr>
                <w:sz w:val="21"/>
                <w:szCs w:val="21"/>
              </w:rPr>
            </w:pPr>
            <w:r>
              <w:rPr>
                <w:sz w:val="21"/>
                <w:szCs w:val="21"/>
              </w:rPr>
              <w:t>4</w:t>
            </w:r>
          </w:p>
        </w:tc>
        <w:tc>
          <w:tcPr>
            <w:tcW w:w="1965" w:type="pct"/>
            <w:vAlign w:val="center"/>
          </w:tcPr>
          <w:p w14:paraId="728E9210">
            <w:pPr>
              <w:pStyle w:val="58"/>
              <w:spacing w:line="240" w:lineRule="auto"/>
              <w:ind w:firstLine="0" w:firstLineChars="0"/>
              <w:jc w:val="center"/>
              <w:rPr>
                <w:sz w:val="21"/>
                <w:szCs w:val="21"/>
              </w:rPr>
            </w:pPr>
            <w:r>
              <w:rPr>
                <w:rFonts w:hint="eastAsia"/>
                <w:sz w:val="21"/>
                <w:szCs w:val="21"/>
              </w:rPr>
              <w:t>铜</w:t>
            </w:r>
          </w:p>
        </w:tc>
        <w:tc>
          <w:tcPr>
            <w:tcW w:w="1137" w:type="pct"/>
            <w:vAlign w:val="center"/>
          </w:tcPr>
          <w:p w14:paraId="628655F0">
            <w:pPr>
              <w:pStyle w:val="58"/>
              <w:spacing w:line="240" w:lineRule="auto"/>
              <w:ind w:firstLine="0" w:firstLineChars="0"/>
              <w:jc w:val="center"/>
              <w:rPr>
                <w:sz w:val="21"/>
                <w:szCs w:val="21"/>
              </w:rPr>
            </w:pPr>
            <w:r>
              <w:rPr>
                <w:sz w:val="21"/>
                <w:szCs w:val="21"/>
              </w:rPr>
              <w:t>7440-50-8</w:t>
            </w:r>
          </w:p>
        </w:tc>
        <w:tc>
          <w:tcPr>
            <w:tcW w:w="1407" w:type="pct"/>
            <w:vAlign w:val="center"/>
          </w:tcPr>
          <w:p w14:paraId="569BC834">
            <w:pPr>
              <w:spacing w:line="240" w:lineRule="auto"/>
              <w:ind w:firstLine="0" w:firstLineChars="0"/>
              <w:jc w:val="center"/>
              <w:rPr>
                <w:sz w:val="21"/>
                <w:szCs w:val="21"/>
              </w:rPr>
            </w:pPr>
            <w:r>
              <w:rPr>
                <w:sz w:val="21"/>
                <w:szCs w:val="21"/>
              </w:rPr>
              <w:t>18000</w:t>
            </w:r>
          </w:p>
        </w:tc>
      </w:tr>
      <w:tr w14:paraId="034E48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4025EF02">
            <w:pPr>
              <w:pStyle w:val="58"/>
              <w:spacing w:line="240" w:lineRule="auto"/>
              <w:ind w:firstLine="0" w:firstLineChars="0"/>
              <w:jc w:val="center"/>
              <w:rPr>
                <w:sz w:val="21"/>
                <w:szCs w:val="21"/>
              </w:rPr>
            </w:pPr>
            <w:r>
              <w:rPr>
                <w:sz w:val="21"/>
                <w:szCs w:val="21"/>
              </w:rPr>
              <w:t>5</w:t>
            </w:r>
          </w:p>
        </w:tc>
        <w:tc>
          <w:tcPr>
            <w:tcW w:w="1965" w:type="pct"/>
            <w:vAlign w:val="center"/>
          </w:tcPr>
          <w:p w14:paraId="0A4EE9C2">
            <w:pPr>
              <w:pStyle w:val="58"/>
              <w:spacing w:line="240" w:lineRule="auto"/>
              <w:ind w:firstLine="0" w:firstLineChars="0"/>
              <w:jc w:val="center"/>
              <w:rPr>
                <w:sz w:val="21"/>
                <w:szCs w:val="21"/>
              </w:rPr>
            </w:pPr>
            <w:r>
              <w:rPr>
                <w:rFonts w:hint="eastAsia"/>
                <w:sz w:val="21"/>
                <w:szCs w:val="21"/>
              </w:rPr>
              <w:t>铅</w:t>
            </w:r>
          </w:p>
        </w:tc>
        <w:tc>
          <w:tcPr>
            <w:tcW w:w="1137" w:type="pct"/>
            <w:vAlign w:val="center"/>
          </w:tcPr>
          <w:p w14:paraId="106A7CA3">
            <w:pPr>
              <w:pStyle w:val="58"/>
              <w:spacing w:line="240" w:lineRule="auto"/>
              <w:ind w:firstLine="0" w:firstLineChars="0"/>
              <w:jc w:val="center"/>
              <w:rPr>
                <w:sz w:val="21"/>
                <w:szCs w:val="21"/>
              </w:rPr>
            </w:pPr>
            <w:r>
              <w:rPr>
                <w:sz w:val="21"/>
                <w:szCs w:val="21"/>
              </w:rPr>
              <w:t>7439-92-1</w:t>
            </w:r>
          </w:p>
        </w:tc>
        <w:tc>
          <w:tcPr>
            <w:tcW w:w="1407" w:type="pct"/>
            <w:vAlign w:val="center"/>
          </w:tcPr>
          <w:p w14:paraId="603C45CA">
            <w:pPr>
              <w:spacing w:line="240" w:lineRule="auto"/>
              <w:ind w:firstLine="0" w:firstLineChars="0"/>
              <w:jc w:val="center"/>
              <w:rPr>
                <w:sz w:val="21"/>
                <w:szCs w:val="21"/>
              </w:rPr>
            </w:pPr>
            <w:r>
              <w:rPr>
                <w:sz w:val="21"/>
                <w:szCs w:val="21"/>
              </w:rPr>
              <w:t>800</w:t>
            </w:r>
          </w:p>
        </w:tc>
      </w:tr>
      <w:tr w14:paraId="0890A5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6D45E237">
            <w:pPr>
              <w:pStyle w:val="58"/>
              <w:spacing w:line="240" w:lineRule="auto"/>
              <w:ind w:firstLine="0" w:firstLineChars="0"/>
              <w:jc w:val="center"/>
              <w:rPr>
                <w:sz w:val="21"/>
                <w:szCs w:val="21"/>
              </w:rPr>
            </w:pPr>
            <w:r>
              <w:rPr>
                <w:sz w:val="21"/>
                <w:szCs w:val="21"/>
              </w:rPr>
              <w:t>6</w:t>
            </w:r>
          </w:p>
        </w:tc>
        <w:tc>
          <w:tcPr>
            <w:tcW w:w="1965" w:type="pct"/>
            <w:vAlign w:val="center"/>
          </w:tcPr>
          <w:p w14:paraId="2D0456FD">
            <w:pPr>
              <w:pStyle w:val="58"/>
              <w:spacing w:line="240" w:lineRule="auto"/>
              <w:ind w:firstLine="0" w:firstLineChars="0"/>
              <w:jc w:val="center"/>
              <w:rPr>
                <w:sz w:val="21"/>
                <w:szCs w:val="21"/>
              </w:rPr>
            </w:pPr>
            <w:r>
              <w:rPr>
                <w:rFonts w:hint="eastAsia"/>
                <w:sz w:val="21"/>
                <w:szCs w:val="21"/>
              </w:rPr>
              <w:t>汞</w:t>
            </w:r>
          </w:p>
        </w:tc>
        <w:tc>
          <w:tcPr>
            <w:tcW w:w="1137" w:type="pct"/>
            <w:vAlign w:val="center"/>
          </w:tcPr>
          <w:p w14:paraId="1A89EDD2">
            <w:pPr>
              <w:pStyle w:val="58"/>
              <w:spacing w:line="240" w:lineRule="auto"/>
              <w:ind w:firstLine="0" w:firstLineChars="0"/>
              <w:jc w:val="center"/>
              <w:rPr>
                <w:sz w:val="21"/>
                <w:szCs w:val="21"/>
              </w:rPr>
            </w:pPr>
            <w:r>
              <w:rPr>
                <w:sz w:val="21"/>
                <w:szCs w:val="21"/>
              </w:rPr>
              <w:t>7439-97-6</w:t>
            </w:r>
          </w:p>
        </w:tc>
        <w:tc>
          <w:tcPr>
            <w:tcW w:w="1407" w:type="pct"/>
            <w:vAlign w:val="center"/>
          </w:tcPr>
          <w:p w14:paraId="387556D3">
            <w:pPr>
              <w:spacing w:line="240" w:lineRule="auto"/>
              <w:ind w:firstLine="0" w:firstLineChars="0"/>
              <w:jc w:val="center"/>
              <w:rPr>
                <w:sz w:val="21"/>
                <w:szCs w:val="21"/>
              </w:rPr>
            </w:pPr>
            <w:r>
              <w:rPr>
                <w:sz w:val="21"/>
                <w:szCs w:val="21"/>
              </w:rPr>
              <w:t>38</w:t>
            </w:r>
          </w:p>
        </w:tc>
      </w:tr>
      <w:tr w14:paraId="3F82E4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3031EE6A">
            <w:pPr>
              <w:pStyle w:val="58"/>
              <w:spacing w:line="240" w:lineRule="auto"/>
              <w:ind w:firstLine="0" w:firstLineChars="0"/>
              <w:jc w:val="center"/>
              <w:rPr>
                <w:sz w:val="21"/>
                <w:szCs w:val="21"/>
              </w:rPr>
            </w:pPr>
            <w:r>
              <w:rPr>
                <w:sz w:val="21"/>
                <w:szCs w:val="21"/>
              </w:rPr>
              <w:t>7</w:t>
            </w:r>
          </w:p>
        </w:tc>
        <w:tc>
          <w:tcPr>
            <w:tcW w:w="1965" w:type="pct"/>
            <w:vAlign w:val="center"/>
          </w:tcPr>
          <w:p w14:paraId="0694344C">
            <w:pPr>
              <w:pStyle w:val="58"/>
              <w:spacing w:line="240" w:lineRule="auto"/>
              <w:ind w:firstLine="0" w:firstLineChars="0"/>
              <w:jc w:val="center"/>
              <w:rPr>
                <w:sz w:val="21"/>
                <w:szCs w:val="21"/>
              </w:rPr>
            </w:pPr>
            <w:r>
              <w:rPr>
                <w:rFonts w:hint="eastAsia"/>
                <w:sz w:val="21"/>
                <w:szCs w:val="21"/>
              </w:rPr>
              <w:t>镍</w:t>
            </w:r>
          </w:p>
        </w:tc>
        <w:tc>
          <w:tcPr>
            <w:tcW w:w="1137" w:type="pct"/>
            <w:vAlign w:val="center"/>
          </w:tcPr>
          <w:p w14:paraId="7EA70EA3">
            <w:pPr>
              <w:pStyle w:val="58"/>
              <w:spacing w:line="240" w:lineRule="auto"/>
              <w:ind w:firstLine="0" w:firstLineChars="0"/>
              <w:jc w:val="center"/>
              <w:rPr>
                <w:sz w:val="21"/>
                <w:szCs w:val="21"/>
              </w:rPr>
            </w:pPr>
            <w:r>
              <w:rPr>
                <w:sz w:val="21"/>
                <w:szCs w:val="21"/>
              </w:rPr>
              <w:t>7440-02-0</w:t>
            </w:r>
          </w:p>
        </w:tc>
        <w:tc>
          <w:tcPr>
            <w:tcW w:w="1407" w:type="pct"/>
            <w:vAlign w:val="center"/>
          </w:tcPr>
          <w:p w14:paraId="69E98AE8">
            <w:pPr>
              <w:spacing w:line="240" w:lineRule="auto"/>
              <w:ind w:firstLine="0" w:firstLineChars="0"/>
              <w:jc w:val="center"/>
              <w:rPr>
                <w:sz w:val="21"/>
                <w:szCs w:val="21"/>
              </w:rPr>
            </w:pPr>
            <w:r>
              <w:rPr>
                <w:sz w:val="21"/>
                <w:szCs w:val="21"/>
              </w:rPr>
              <w:t>900</w:t>
            </w:r>
          </w:p>
        </w:tc>
      </w:tr>
      <w:tr w14:paraId="63AF22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4"/>
            <w:vAlign w:val="center"/>
          </w:tcPr>
          <w:p w14:paraId="1B8BF7D3">
            <w:pPr>
              <w:pStyle w:val="58"/>
              <w:spacing w:line="240" w:lineRule="auto"/>
              <w:ind w:firstLine="0" w:firstLineChars="0"/>
              <w:jc w:val="center"/>
              <w:rPr>
                <w:sz w:val="21"/>
                <w:szCs w:val="21"/>
              </w:rPr>
            </w:pPr>
            <w:r>
              <w:rPr>
                <w:rFonts w:hint="eastAsia"/>
                <w:sz w:val="21"/>
                <w:szCs w:val="21"/>
              </w:rPr>
              <w:t>挥发性有机物（单位：</w:t>
            </w:r>
            <w:r>
              <w:rPr>
                <w:sz w:val="21"/>
                <w:szCs w:val="21"/>
              </w:rPr>
              <w:t>mg/kg</w:t>
            </w:r>
            <w:r>
              <w:rPr>
                <w:rFonts w:hint="eastAsia"/>
                <w:sz w:val="21"/>
                <w:szCs w:val="21"/>
              </w:rPr>
              <w:t>）</w:t>
            </w:r>
          </w:p>
        </w:tc>
      </w:tr>
      <w:tr w14:paraId="055523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50D91728">
            <w:pPr>
              <w:pStyle w:val="58"/>
              <w:spacing w:line="240" w:lineRule="auto"/>
              <w:ind w:firstLine="0" w:firstLineChars="0"/>
              <w:jc w:val="center"/>
              <w:rPr>
                <w:sz w:val="21"/>
                <w:szCs w:val="21"/>
              </w:rPr>
            </w:pPr>
            <w:r>
              <w:rPr>
                <w:sz w:val="21"/>
                <w:szCs w:val="21"/>
              </w:rPr>
              <w:t>8</w:t>
            </w:r>
          </w:p>
        </w:tc>
        <w:tc>
          <w:tcPr>
            <w:tcW w:w="1965" w:type="pct"/>
            <w:vAlign w:val="center"/>
          </w:tcPr>
          <w:p w14:paraId="335A2D14">
            <w:pPr>
              <w:pStyle w:val="58"/>
              <w:spacing w:line="240" w:lineRule="auto"/>
              <w:ind w:firstLine="0" w:firstLineChars="0"/>
              <w:jc w:val="center"/>
              <w:rPr>
                <w:sz w:val="21"/>
                <w:szCs w:val="21"/>
              </w:rPr>
            </w:pPr>
            <w:r>
              <w:rPr>
                <w:rFonts w:hint="eastAsia"/>
                <w:sz w:val="21"/>
                <w:szCs w:val="21"/>
              </w:rPr>
              <w:t>四氯化碳</w:t>
            </w:r>
          </w:p>
        </w:tc>
        <w:tc>
          <w:tcPr>
            <w:tcW w:w="1137" w:type="pct"/>
            <w:vAlign w:val="center"/>
          </w:tcPr>
          <w:p w14:paraId="2580200D">
            <w:pPr>
              <w:pStyle w:val="58"/>
              <w:spacing w:line="240" w:lineRule="auto"/>
              <w:ind w:firstLine="0" w:firstLineChars="0"/>
              <w:jc w:val="center"/>
              <w:rPr>
                <w:sz w:val="21"/>
                <w:szCs w:val="21"/>
              </w:rPr>
            </w:pPr>
            <w:r>
              <w:rPr>
                <w:sz w:val="21"/>
                <w:szCs w:val="21"/>
              </w:rPr>
              <w:t>56-23-5</w:t>
            </w:r>
          </w:p>
        </w:tc>
        <w:tc>
          <w:tcPr>
            <w:tcW w:w="1407" w:type="pct"/>
            <w:vAlign w:val="center"/>
          </w:tcPr>
          <w:p w14:paraId="3F5A46A6">
            <w:pPr>
              <w:spacing w:line="240" w:lineRule="auto"/>
              <w:ind w:firstLine="0" w:firstLineChars="0"/>
              <w:jc w:val="center"/>
              <w:rPr>
                <w:sz w:val="21"/>
                <w:szCs w:val="21"/>
              </w:rPr>
            </w:pPr>
            <w:r>
              <w:rPr>
                <w:sz w:val="21"/>
                <w:szCs w:val="21"/>
              </w:rPr>
              <w:t>2.8</w:t>
            </w:r>
          </w:p>
        </w:tc>
      </w:tr>
      <w:tr w14:paraId="33ABB4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2E3CCD43">
            <w:pPr>
              <w:pStyle w:val="58"/>
              <w:spacing w:line="240" w:lineRule="auto"/>
              <w:ind w:firstLine="0" w:firstLineChars="0"/>
              <w:jc w:val="center"/>
              <w:rPr>
                <w:sz w:val="21"/>
                <w:szCs w:val="21"/>
              </w:rPr>
            </w:pPr>
            <w:r>
              <w:rPr>
                <w:sz w:val="21"/>
                <w:szCs w:val="21"/>
              </w:rPr>
              <w:t>9</w:t>
            </w:r>
          </w:p>
        </w:tc>
        <w:tc>
          <w:tcPr>
            <w:tcW w:w="1965" w:type="pct"/>
            <w:vAlign w:val="center"/>
          </w:tcPr>
          <w:p w14:paraId="6D9B53CF">
            <w:pPr>
              <w:pStyle w:val="58"/>
              <w:spacing w:line="240" w:lineRule="auto"/>
              <w:ind w:firstLine="0" w:firstLineChars="0"/>
              <w:jc w:val="center"/>
              <w:rPr>
                <w:sz w:val="21"/>
                <w:szCs w:val="21"/>
              </w:rPr>
            </w:pPr>
            <w:r>
              <w:rPr>
                <w:rFonts w:hint="eastAsia"/>
                <w:sz w:val="21"/>
                <w:szCs w:val="21"/>
              </w:rPr>
              <w:t>氯仿</w:t>
            </w:r>
          </w:p>
        </w:tc>
        <w:tc>
          <w:tcPr>
            <w:tcW w:w="1137" w:type="pct"/>
            <w:vAlign w:val="center"/>
          </w:tcPr>
          <w:p w14:paraId="7AEB2F8C">
            <w:pPr>
              <w:pStyle w:val="58"/>
              <w:spacing w:line="240" w:lineRule="auto"/>
              <w:ind w:firstLine="0" w:firstLineChars="0"/>
              <w:jc w:val="center"/>
              <w:rPr>
                <w:sz w:val="21"/>
                <w:szCs w:val="21"/>
              </w:rPr>
            </w:pPr>
            <w:r>
              <w:rPr>
                <w:sz w:val="21"/>
                <w:szCs w:val="21"/>
              </w:rPr>
              <w:t>67-66-3</w:t>
            </w:r>
          </w:p>
        </w:tc>
        <w:tc>
          <w:tcPr>
            <w:tcW w:w="1407" w:type="pct"/>
            <w:vAlign w:val="center"/>
          </w:tcPr>
          <w:p w14:paraId="2B8BF7BC">
            <w:pPr>
              <w:spacing w:line="240" w:lineRule="auto"/>
              <w:ind w:firstLine="0" w:firstLineChars="0"/>
              <w:jc w:val="center"/>
              <w:rPr>
                <w:sz w:val="21"/>
                <w:szCs w:val="21"/>
              </w:rPr>
            </w:pPr>
            <w:r>
              <w:rPr>
                <w:sz w:val="21"/>
                <w:szCs w:val="21"/>
              </w:rPr>
              <w:t>0.9</w:t>
            </w:r>
          </w:p>
        </w:tc>
      </w:tr>
      <w:tr w14:paraId="487BFC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5D2903E3">
            <w:pPr>
              <w:pStyle w:val="58"/>
              <w:spacing w:line="240" w:lineRule="auto"/>
              <w:ind w:firstLine="0" w:firstLineChars="0"/>
              <w:jc w:val="center"/>
              <w:rPr>
                <w:sz w:val="21"/>
                <w:szCs w:val="21"/>
              </w:rPr>
            </w:pPr>
            <w:r>
              <w:rPr>
                <w:sz w:val="21"/>
                <w:szCs w:val="21"/>
              </w:rPr>
              <w:t>10</w:t>
            </w:r>
          </w:p>
        </w:tc>
        <w:tc>
          <w:tcPr>
            <w:tcW w:w="1965" w:type="pct"/>
            <w:vAlign w:val="center"/>
          </w:tcPr>
          <w:p w14:paraId="09870F62">
            <w:pPr>
              <w:pStyle w:val="58"/>
              <w:spacing w:line="240" w:lineRule="auto"/>
              <w:ind w:firstLine="0" w:firstLineChars="0"/>
              <w:jc w:val="center"/>
              <w:rPr>
                <w:sz w:val="21"/>
                <w:szCs w:val="21"/>
              </w:rPr>
            </w:pPr>
            <w:r>
              <w:rPr>
                <w:rFonts w:hint="eastAsia"/>
                <w:sz w:val="21"/>
                <w:szCs w:val="21"/>
              </w:rPr>
              <w:t>氯甲烷</w:t>
            </w:r>
          </w:p>
        </w:tc>
        <w:tc>
          <w:tcPr>
            <w:tcW w:w="1137" w:type="pct"/>
            <w:vAlign w:val="center"/>
          </w:tcPr>
          <w:p w14:paraId="1D65D601">
            <w:pPr>
              <w:pStyle w:val="58"/>
              <w:spacing w:line="240" w:lineRule="auto"/>
              <w:ind w:firstLine="0" w:firstLineChars="0"/>
              <w:jc w:val="center"/>
              <w:rPr>
                <w:sz w:val="21"/>
                <w:szCs w:val="21"/>
              </w:rPr>
            </w:pPr>
            <w:r>
              <w:rPr>
                <w:sz w:val="21"/>
                <w:szCs w:val="21"/>
              </w:rPr>
              <w:t>74-87-3</w:t>
            </w:r>
          </w:p>
        </w:tc>
        <w:tc>
          <w:tcPr>
            <w:tcW w:w="1407" w:type="pct"/>
            <w:vAlign w:val="center"/>
          </w:tcPr>
          <w:p w14:paraId="66CFAF11">
            <w:pPr>
              <w:spacing w:line="240" w:lineRule="auto"/>
              <w:ind w:firstLine="0" w:firstLineChars="0"/>
              <w:jc w:val="center"/>
              <w:rPr>
                <w:sz w:val="21"/>
                <w:szCs w:val="21"/>
              </w:rPr>
            </w:pPr>
            <w:r>
              <w:rPr>
                <w:sz w:val="21"/>
                <w:szCs w:val="21"/>
              </w:rPr>
              <w:t>37</w:t>
            </w:r>
          </w:p>
        </w:tc>
      </w:tr>
      <w:tr w14:paraId="234B3C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5799B9C9">
            <w:pPr>
              <w:pStyle w:val="58"/>
              <w:spacing w:line="240" w:lineRule="auto"/>
              <w:ind w:firstLine="0" w:firstLineChars="0"/>
              <w:jc w:val="center"/>
              <w:rPr>
                <w:sz w:val="21"/>
                <w:szCs w:val="21"/>
              </w:rPr>
            </w:pPr>
            <w:r>
              <w:rPr>
                <w:sz w:val="21"/>
                <w:szCs w:val="21"/>
              </w:rPr>
              <w:t>11</w:t>
            </w:r>
          </w:p>
        </w:tc>
        <w:tc>
          <w:tcPr>
            <w:tcW w:w="1965" w:type="pct"/>
            <w:vAlign w:val="center"/>
          </w:tcPr>
          <w:p w14:paraId="3F7949A8">
            <w:pPr>
              <w:pStyle w:val="58"/>
              <w:spacing w:line="240" w:lineRule="auto"/>
              <w:ind w:firstLine="0" w:firstLineChars="0"/>
              <w:jc w:val="center"/>
              <w:rPr>
                <w:sz w:val="21"/>
                <w:szCs w:val="21"/>
              </w:rPr>
            </w:pPr>
            <w:r>
              <w:rPr>
                <w:sz w:val="21"/>
                <w:szCs w:val="21"/>
              </w:rPr>
              <w:t>1,1-</w:t>
            </w:r>
            <w:r>
              <w:rPr>
                <w:rFonts w:hint="eastAsia"/>
                <w:sz w:val="21"/>
                <w:szCs w:val="21"/>
              </w:rPr>
              <w:t>二氯乙烷</w:t>
            </w:r>
          </w:p>
        </w:tc>
        <w:tc>
          <w:tcPr>
            <w:tcW w:w="1137" w:type="pct"/>
            <w:vAlign w:val="center"/>
          </w:tcPr>
          <w:p w14:paraId="2B0B929E">
            <w:pPr>
              <w:pStyle w:val="58"/>
              <w:spacing w:line="240" w:lineRule="auto"/>
              <w:ind w:firstLine="0" w:firstLineChars="0"/>
              <w:jc w:val="center"/>
              <w:rPr>
                <w:sz w:val="21"/>
                <w:szCs w:val="21"/>
              </w:rPr>
            </w:pPr>
            <w:r>
              <w:rPr>
                <w:sz w:val="21"/>
                <w:szCs w:val="21"/>
              </w:rPr>
              <w:t>75-34-3</w:t>
            </w:r>
          </w:p>
        </w:tc>
        <w:tc>
          <w:tcPr>
            <w:tcW w:w="1407" w:type="pct"/>
            <w:vAlign w:val="center"/>
          </w:tcPr>
          <w:p w14:paraId="7604700B">
            <w:pPr>
              <w:spacing w:line="240" w:lineRule="auto"/>
              <w:ind w:firstLine="0" w:firstLineChars="0"/>
              <w:jc w:val="center"/>
              <w:rPr>
                <w:sz w:val="21"/>
                <w:szCs w:val="21"/>
              </w:rPr>
            </w:pPr>
            <w:r>
              <w:rPr>
                <w:sz w:val="21"/>
                <w:szCs w:val="21"/>
              </w:rPr>
              <w:t>9</w:t>
            </w:r>
          </w:p>
        </w:tc>
      </w:tr>
      <w:tr w14:paraId="02B01A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184E6148">
            <w:pPr>
              <w:pStyle w:val="58"/>
              <w:spacing w:line="240" w:lineRule="auto"/>
              <w:ind w:firstLine="0" w:firstLineChars="0"/>
              <w:jc w:val="center"/>
              <w:rPr>
                <w:sz w:val="21"/>
                <w:szCs w:val="21"/>
              </w:rPr>
            </w:pPr>
            <w:r>
              <w:rPr>
                <w:sz w:val="21"/>
                <w:szCs w:val="21"/>
              </w:rPr>
              <w:t>12</w:t>
            </w:r>
          </w:p>
        </w:tc>
        <w:tc>
          <w:tcPr>
            <w:tcW w:w="1965" w:type="pct"/>
            <w:vAlign w:val="center"/>
          </w:tcPr>
          <w:p w14:paraId="11F6CFD7">
            <w:pPr>
              <w:pStyle w:val="58"/>
              <w:spacing w:line="240" w:lineRule="auto"/>
              <w:ind w:firstLine="0" w:firstLineChars="0"/>
              <w:jc w:val="center"/>
              <w:rPr>
                <w:sz w:val="21"/>
                <w:szCs w:val="21"/>
              </w:rPr>
            </w:pPr>
            <w:r>
              <w:rPr>
                <w:sz w:val="21"/>
                <w:szCs w:val="21"/>
              </w:rPr>
              <w:t>1,2-</w:t>
            </w:r>
            <w:r>
              <w:rPr>
                <w:rFonts w:hint="eastAsia"/>
                <w:sz w:val="21"/>
                <w:szCs w:val="21"/>
              </w:rPr>
              <w:t>二氯乙烷</w:t>
            </w:r>
          </w:p>
        </w:tc>
        <w:tc>
          <w:tcPr>
            <w:tcW w:w="1137" w:type="pct"/>
            <w:vAlign w:val="center"/>
          </w:tcPr>
          <w:p w14:paraId="449025ED">
            <w:pPr>
              <w:pStyle w:val="58"/>
              <w:spacing w:line="240" w:lineRule="auto"/>
              <w:ind w:firstLine="0" w:firstLineChars="0"/>
              <w:jc w:val="center"/>
              <w:rPr>
                <w:sz w:val="21"/>
                <w:szCs w:val="21"/>
              </w:rPr>
            </w:pPr>
            <w:r>
              <w:rPr>
                <w:sz w:val="21"/>
                <w:szCs w:val="21"/>
              </w:rPr>
              <w:t>107-06--2</w:t>
            </w:r>
          </w:p>
        </w:tc>
        <w:tc>
          <w:tcPr>
            <w:tcW w:w="1407" w:type="pct"/>
            <w:vAlign w:val="center"/>
          </w:tcPr>
          <w:p w14:paraId="690BBF20">
            <w:pPr>
              <w:spacing w:line="240" w:lineRule="auto"/>
              <w:ind w:firstLine="0" w:firstLineChars="0"/>
              <w:jc w:val="center"/>
              <w:rPr>
                <w:sz w:val="21"/>
                <w:szCs w:val="21"/>
              </w:rPr>
            </w:pPr>
            <w:r>
              <w:rPr>
                <w:sz w:val="21"/>
                <w:szCs w:val="21"/>
              </w:rPr>
              <w:t>5</w:t>
            </w:r>
          </w:p>
        </w:tc>
      </w:tr>
      <w:tr w14:paraId="1523D9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38E7F062">
            <w:pPr>
              <w:pStyle w:val="58"/>
              <w:spacing w:line="240" w:lineRule="auto"/>
              <w:ind w:firstLine="0" w:firstLineChars="0"/>
              <w:jc w:val="center"/>
              <w:rPr>
                <w:sz w:val="21"/>
                <w:szCs w:val="21"/>
              </w:rPr>
            </w:pPr>
            <w:r>
              <w:rPr>
                <w:sz w:val="21"/>
                <w:szCs w:val="21"/>
              </w:rPr>
              <w:t>13</w:t>
            </w:r>
          </w:p>
        </w:tc>
        <w:tc>
          <w:tcPr>
            <w:tcW w:w="1965" w:type="pct"/>
            <w:vAlign w:val="center"/>
          </w:tcPr>
          <w:p w14:paraId="34FDAB82">
            <w:pPr>
              <w:pStyle w:val="58"/>
              <w:spacing w:line="240" w:lineRule="auto"/>
              <w:ind w:firstLine="0" w:firstLineChars="0"/>
              <w:jc w:val="center"/>
              <w:rPr>
                <w:sz w:val="21"/>
                <w:szCs w:val="21"/>
              </w:rPr>
            </w:pPr>
            <w:r>
              <w:rPr>
                <w:sz w:val="21"/>
                <w:szCs w:val="21"/>
              </w:rPr>
              <w:t>1,1-</w:t>
            </w:r>
            <w:r>
              <w:rPr>
                <w:rFonts w:hint="eastAsia"/>
                <w:sz w:val="21"/>
                <w:szCs w:val="21"/>
              </w:rPr>
              <w:t>二氯乙烯</w:t>
            </w:r>
          </w:p>
        </w:tc>
        <w:tc>
          <w:tcPr>
            <w:tcW w:w="1137" w:type="pct"/>
            <w:vAlign w:val="center"/>
          </w:tcPr>
          <w:p w14:paraId="02A964C9">
            <w:pPr>
              <w:pStyle w:val="58"/>
              <w:spacing w:line="240" w:lineRule="auto"/>
              <w:ind w:firstLine="0" w:firstLineChars="0"/>
              <w:jc w:val="center"/>
              <w:rPr>
                <w:sz w:val="21"/>
                <w:szCs w:val="21"/>
              </w:rPr>
            </w:pPr>
            <w:r>
              <w:rPr>
                <w:sz w:val="21"/>
                <w:szCs w:val="21"/>
              </w:rPr>
              <w:t>75-35-4</w:t>
            </w:r>
          </w:p>
        </w:tc>
        <w:tc>
          <w:tcPr>
            <w:tcW w:w="1407" w:type="pct"/>
            <w:vAlign w:val="center"/>
          </w:tcPr>
          <w:p w14:paraId="378C1C3B">
            <w:pPr>
              <w:spacing w:line="240" w:lineRule="auto"/>
              <w:ind w:firstLine="0" w:firstLineChars="0"/>
              <w:jc w:val="center"/>
              <w:rPr>
                <w:sz w:val="21"/>
                <w:szCs w:val="21"/>
              </w:rPr>
            </w:pPr>
            <w:r>
              <w:rPr>
                <w:sz w:val="21"/>
                <w:szCs w:val="21"/>
              </w:rPr>
              <w:t>66</w:t>
            </w:r>
          </w:p>
        </w:tc>
      </w:tr>
      <w:tr w14:paraId="408C6B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1B5CF593">
            <w:pPr>
              <w:pStyle w:val="58"/>
              <w:spacing w:line="240" w:lineRule="auto"/>
              <w:ind w:firstLine="0" w:firstLineChars="0"/>
              <w:jc w:val="center"/>
              <w:rPr>
                <w:sz w:val="21"/>
                <w:szCs w:val="21"/>
              </w:rPr>
            </w:pPr>
            <w:r>
              <w:rPr>
                <w:sz w:val="21"/>
                <w:szCs w:val="21"/>
              </w:rPr>
              <w:t>14</w:t>
            </w:r>
          </w:p>
        </w:tc>
        <w:tc>
          <w:tcPr>
            <w:tcW w:w="1965" w:type="pct"/>
            <w:vAlign w:val="center"/>
          </w:tcPr>
          <w:p w14:paraId="5845C099">
            <w:pPr>
              <w:pStyle w:val="58"/>
              <w:spacing w:line="240" w:lineRule="auto"/>
              <w:ind w:firstLine="0" w:firstLineChars="0"/>
              <w:jc w:val="center"/>
              <w:rPr>
                <w:sz w:val="21"/>
                <w:szCs w:val="21"/>
              </w:rPr>
            </w:pPr>
            <w:r>
              <w:rPr>
                <w:rFonts w:hint="eastAsia"/>
                <w:sz w:val="21"/>
                <w:szCs w:val="21"/>
              </w:rPr>
              <w:t>顺</w:t>
            </w:r>
            <w:r>
              <w:rPr>
                <w:sz w:val="21"/>
                <w:szCs w:val="21"/>
              </w:rPr>
              <w:t>-1,2-</w:t>
            </w:r>
            <w:r>
              <w:rPr>
                <w:rFonts w:hint="eastAsia"/>
                <w:sz w:val="21"/>
                <w:szCs w:val="21"/>
              </w:rPr>
              <w:t>二氯乙烯</w:t>
            </w:r>
          </w:p>
        </w:tc>
        <w:tc>
          <w:tcPr>
            <w:tcW w:w="1137" w:type="pct"/>
            <w:vAlign w:val="center"/>
          </w:tcPr>
          <w:p w14:paraId="06FA9044">
            <w:pPr>
              <w:pStyle w:val="58"/>
              <w:spacing w:line="240" w:lineRule="auto"/>
              <w:ind w:firstLine="0" w:firstLineChars="0"/>
              <w:jc w:val="center"/>
              <w:rPr>
                <w:sz w:val="21"/>
                <w:szCs w:val="21"/>
              </w:rPr>
            </w:pPr>
            <w:r>
              <w:rPr>
                <w:sz w:val="21"/>
                <w:szCs w:val="21"/>
              </w:rPr>
              <w:t>156-59-2</w:t>
            </w:r>
          </w:p>
        </w:tc>
        <w:tc>
          <w:tcPr>
            <w:tcW w:w="1407" w:type="pct"/>
            <w:vAlign w:val="center"/>
          </w:tcPr>
          <w:p w14:paraId="557D3CA5">
            <w:pPr>
              <w:spacing w:line="240" w:lineRule="auto"/>
              <w:ind w:firstLine="0" w:firstLineChars="0"/>
              <w:jc w:val="center"/>
              <w:rPr>
                <w:sz w:val="21"/>
                <w:szCs w:val="21"/>
              </w:rPr>
            </w:pPr>
            <w:r>
              <w:rPr>
                <w:sz w:val="21"/>
                <w:szCs w:val="21"/>
              </w:rPr>
              <w:t>596</w:t>
            </w:r>
          </w:p>
        </w:tc>
      </w:tr>
      <w:tr w14:paraId="578152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660F38A2">
            <w:pPr>
              <w:pStyle w:val="58"/>
              <w:spacing w:line="240" w:lineRule="auto"/>
              <w:ind w:firstLine="0" w:firstLineChars="0"/>
              <w:jc w:val="center"/>
              <w:rPr>
                <w:sz w:val="21"/>
                <w:szCs w:val="21"/>
              </w:rPr>
            </w:pPr>
            <w:r>
              <w:rPr>
                <w:sz w:val="21"/>
                <w:szCs w:val="21"/>
              </w:rPr>
              <w:t>15</w:t>
            </w:r>
          </w:p>
        </w:tc>
        <w:tc>
          <w:tcPr>
            <w:tcW w:w="1965" w:type="pct"/>
            <w:vAlign w:val="center"/>
          </w:tcPr>
          <w:p w14:paraId="70FC9769">
            <w:pPr>
              <w:pStyle w:val="58"/>
              <w:spacing w:line="240" w:lineRule="auto"/>
              <w:ind w:firstLine="0" w:firstLineChars="0"/>
              <w:jc w:val="center"/>
              <w:rPr>
                <w:sz w:val="21"/>
                <w:szCs w:val="21"/>
              </w:rPr>
            </w:pPr>
            <w:r>
              <w:rPr>
                <w:rFonts w:hint="eastAsia"/>
                <w:sz w:val="21"/>
                <w:szCs w:val="21"/>
              </w:rPr>
              <w:t>反</w:t>
            </w:r>
            <w:r>
              <w:rPr>
                <w:sz w:val="21"/>
                <w:szCs w:val="21"/>
              </w:rPr>
              <w:t>-1,2-</w:t>
            </w:r>
            <w:r>
              <w:rPr>
                <w:rFonts w:hint="eastAsia"/>
                <w:sz w:val="21"/>
                <w:szCs w:val="21"/>
              </w:rPr>
              <w:t>二氯乙烯</w:t>
            </w:r>
          </w:p>
        </w:tc>
        <w:tc>
          <w:tcPr>
            <w:tcW w:w="1137" w:type="pct"/>
            <w:vAlign w:val="center"/>
          </w:tcPr>
          <w:p w14:paraId="25497AF3">
            <w:pPr>
              <w:pStyle w:val="58"/>
              <w:spacing w:line="240" w:lineRule="auto"/>
              <w:ind w:firstLine="0" w:firstLineChars="0"/>
              <w:jc w:val="center"/>
              <w:rPr>
                <w:sz w:val="21"/>
                <w:szCs w:val="21"/>
              </w:rPr>
            </w:pPr>
            <w:r>
              <w:rPr>
                <w:sz w:val="21"/>
                <w:szCs w:val="21"/>
              </w:rPr>
              <w:t>156-60-5</w:t>
            </w:r>
          </w:p>
        </w:tc>
        <w:tc>
          <w:tcPr>
            <w:tcW w:w="1407" w:type="pct"/>
            <w:vAlign w:val="center"/>
          </w:tcPr>
          <w:p w14:paraId="0EFE9406">
            <w:pPr>
              <w:spacing w:line="240" w:lineRule="auto"/>
              <w:ind w:firstLine="0" w:firstLineChars="0"/>
              <w:jc w:val="center"/>
              <w:rPr>
                <w:sz w:val="21"/>
                <w:szCs w:val="21"/>
              </w:rPr>
            </w:pPr>
            <w:r>
              <w:rPr>
                <w:sz w:val="21"/>
                <w:szCs w:val="21"/>
              </w:rPr>
              <w:t>54</w:t>
            </w:r>
          </w:p>
        </w:tc>
      </w:tr>
      <w:tr w14:paraId="6BF90C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173AFB7E">
            <w:pPr>
              <w:pStyle w:val="58"/>
              <w:spacing w:line="240" w:lineRule="auto"/>
              <w:ind w:firstLine="0" w:firstLineChars="0"/>
              <w:jc w:val="center"/>
              <w:rPr>
                <w:sz w:val="21"/>
                <w:szCs w:val="21"/>
              </w:rPr>
            </w:pPr>
            <w:r>
              <w:rPr>
                <w:sz w:val="21"/>
                <w:szCs w:val="21"/>
              </w:rPr>
              <w:t>16</w:t>
            </w:r>
          </w:p>
        </w:tc>
        <w:tc>
          <w:tcPr>
            <w:tcW w:w="1965" w:type="pct"/>
            <w:vAlign w:val="center"/>
          </w:tcPr>
          <w:p w14:paraId="4CCED482">
            <w:pPr>
              <w:pStyle w:val="58"/>
              <w:spacing w:line="240" w:lineRule="auto"/>
              <w:ind w:firstLine="0" w:firstLineChars="0"/>
              <w:jc w:val="center"/>
              <w:rPr>
                <w:sz w:val="21"/>
                <w:szCs w:val="21"/>
              </w:rPr>
            </w:pPr>
            <w:r>
              <w:rPr>
                <w:rFonts w:hint="eastAsia"/>
                <w:sz w:val="21"/>
                <w:szCs w:val="21"/>
              </w:rPr>
              <w:t>二氯甲烷</w:t>
            </w:r>
          </w:p>
        </w:tc>
        <w:tc>
          <w:tcPr>
            <w:tcW w:w="1137" w:type="pct"/>
            <w:vAlign w:val="center"/>
          </w:tcPr>
          <w:p w14:paraId="35BB60DC">
            <w:pPr>
              <w:pStyle w:val="58"/>
              <w:spacing w:line="240" w:lineRule="auto"/>
              <w:ind w:firstLine="0" w:firstLineChars="0"/>
              <w:jc w:val="center"/>
              <w:rPr>
                <w:sz w:val="21"/>
                <w:szCs w:val="21"/>
              </w:rPr>
            </w:pPr>
            <w:r>
              <w:rPr>
                <w:sz w:val="21"/>
                <w:szCs w:val="21"/>
              </w:rPr>
              <w:t>75-09-2</w:t>
            </w:r>
          </w:p>
        </w:tc>
        <w:tc>
          <w:tcPr>
            <w:tcW w:w="1407" w:type="pct"/>
            <w:vAlign w:val="center"/>
          </w:tcPr>
          <w:p w14:paraId="707FA565">
            <w:pPr>
              <w:spacing w:line="240" w:lineRule="auto"/>
              <w:ind w:firstLine="0" w:firstLineChars="0"/>
              <w:jc w:val="center"/>
              <w:rPr>
                <w:sz w:val="21"/>
                <w:szCs w:val="21"/>
              </w:rPr>
            </w:pPr>
            <w:r>
              <w:rPr>
                <w:sz w:val="21"/>
                <w:szCs w:val="21"/>
              </w:rPr>
              <w:t>616</w:t>
            </w:r>
          </w:p>
        </w:tc>
      </w:tr>
      <w:tr w14:paraId="5C9622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4C6ED618">
            <w:pPr>
              <w:pStyle w:val="58"/>
              <w:spacing w:line="240" w:lineRule="auto"/>
              <w:ind w:firstLine="0" w:firstLineChars="0"/>
              <w:jc w:val="center"/>
              <w:rPr>
                <w:sz w:val="21"/>
                <w:szCs w:val="21"/>
              </w:rPr>
            </w:pPr>
            <w:r>
              <w:rPr>
                <w:sz w:val="21"/>
                <w:szCs w:val="21"/>
              </w:rPr>
              <w:t>17</w:t>
            </w:r>
          </w:p>
        </w:tc>
        <w:tc>
          <w:tcPr>
            <w:tcW w:w="1965" w:type="pct"/>
            <w:vAlign w:val="center"/>
          </w:tcPr>
          <w:p w14:paraId="53183AE6">
            <w:pPr>
              <w:pStyle w:val="58"/>
              <w:spacing w:line="240" w:lineRule="auto"/>
              <w:ind w:firstLine="0" w:firstLineChars="0"/>
              <w:jc w:val="center"/>
              <w:rPr>
                <w:sz w:val="21"/>
                <w:szCs w:val="21"/>
              </w:rPr>
            </w:pPr>
            <w:r>
              <w:rPr>
                <w:sz w:val="21"/>
                <w:szCs w:val="21"/>
              </w:rPr>
              <w:t>1,2-</w:t>
            </w:r>
            <w:r>
              <w:rPr>
                <w:rFonts w:hint="eastAsia"/>
                <w:sz w:val="21"/>
                <w:szCs w:val="21"/>
              </w:rPr>
              <w:t>二氯丙烷</w:t>
            </w:r>
          </w:p>
        </w:tc>
        <w:tc>
          <w:tcPr>
            <w:tcW w:w="1137" w:type="pct"/>
            <w:vAlign w:val="center"/>
          </w:tcPr>
          <w:p w14:paraId="63985DC6">
            <w:pPr>
              <w:pStyle w:val="58"/>
              <w:spacing w:line="240" w:lineRule="auto"/>
              <w:ind w:firstLine="0" w:firstLineChars="0"/>
              <w:jc w:val="center"/>
              <w:rPr>
                <w:sz w:val="21"/>
                <w:szCs w:val="21"/>
              </w:rPr>
            </w:pPr>
            <w:r>
              <w:rPr>
                <w:sz w:val="21"/>
                <w:szCs w:val="21"/>
              </w:rPr>
              <w:t>78-87-5</w:t>
            </w:r>
          </w:p>
        </w:tc>
        <w:tc>
          <w:tcPr>
            <w:tcW w:w="1407" w:type="pct"/>
            <w:vAlign w:val="center"/>
          </w:tcPr>
          <w:p w14:paraId="67525510">
            <w:pPr>
              <w:spacing w:line="240" w:lineRule="auto"/>
              <w:ind w:firstLine="0" w:firstLineChars="0"/>
              <w:jc w:val="center"/>
              <w:rPr>
                <w:sz w:val="21"/>
                <w:szCs w:val="21"/>
              </w:rPr>
            </w:pPr>
            <w:r>
              <w:rPr>
                <w:sz w:val="21"/>
                <w:szCs w:val="21"/>
              </w:rPr>
              <w:t>5</w:t>
            </w:r>
          </w:p>
        </w:tc>
      </w:tr>
      <w:tr w14:paraId="6E04D6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vAlign w:val="center"/>
          </w:tcPr>
          <w:p w14:paraId="06B1955E">
            <w:pPr>
              <w:pStyle w:val="58"/>
              <w:spacing w:line="240" w:lineRule="auto"/>
              <w:ind w:firstLine="0" w:firstLineChars="0"/>
              <w:jc w:val="center"/>
              <w:rPr>
                <w:sz w:val="21"/>
                <w:szCs w:val="21"/>
              </w:rPr>
            </w:pPr>
            <w:r>
              <w:rPr>
                <w:sz w:val="21"/>
                <w:szCs w:val="21"/>
              </w:rPr>
              <w:t>18</w:t>
            </w:r>
          </w:p>
        </w:tc>
        <w:tc>
          <w:tcPr>
            <w:tcW w:w="1965" w:type="pct"/>
            <w:vAlign w:val="center"/>
          </w:tcPr>
          <w:p w14:paraId="65BBFE7A">
            <w:pPr>
              <w:pStyle w:val="58"/>
              <w:spacing w:line="240" w:lineRule="auto"/>
              <w:ind w:firstLine="0" w:firstLineChars="0"/>
              <w:jc w:val="center"/>
              <w:rPr>
                <w:sz w:val="21"/>
                <w:szCs w:val="21"/>
              </w:rPr>
            </w:pPr>
            <w:r>
              <w:rPr>
                <w:sz w:val="21"/>
                <w:szCs w:val="21"/>
              </w:rPr>
              <w:t>1,1,1,2-</w:t>
            </w:r>
            <w:r>
              <w:rPr>
                <w:rFonts w:hint="eastAsia"/>
                <w:sz w:val="21"/>
                <w:szCs w:val="21"/>
              </w:rPr>
              <w:t>四氯乙烷</w:t>
            </w:r>
          </w:p>
        </w:tc>
        <w:tc>
          <w:tcPr>
            <w:tcW w:w="1137" w:type="pct"/>
            <w:vAlign w:val="center"/>
          </w:tcPr>
          <w:p w14:paraId="781E8B86">
            <w:pPr>
              <w:pStyle w:val="58"/>
              <w:spacing w:line="240" w:lineRule="auto"/>
              <w:ind w:firstLine="0" w:firstLineChars="0"/>
              <w:jc w:val="center"/>
              <w:rPr>
                <w:sz w:val="21"/>
                <w:szCs w:val="21"/>
              </w:rPr>
            </w:pPr>
            <w:r>
              <w:rPr>
                <w:sz w:val="21"/>
                <w:szCs w:val="21"/>
              </w:rPr>
              <w:t>630-20--6</w:t>
            </w:r>
          </w:p>
        </w:tc>
        <w:tc>
          <w:tcPr>
            <w:tcW w:w="1407" w:type="pct"/>
            <w:vAlign w:val="center"/>
          </w:tcPr>
          <w:p w14:paraId="46DB8186">
            <w:pPr>
              <w:spacing w:line="240" w:lineRule="auto"/>
              <w:ind w:firstLine="0" w:firstLineChars="0"/>
              <w:jc w:val="center"/>
              <w:rPr>
                <w:sz w:val="21"/>
                <w:szCs w:val="21"/>
              </w:rPr>
            </w:pPr>
            <w:r>
              <w:rPr>
                <w:sz w:val="21"/>
                <w:szCs w:val="21"/>
              </w:rPr>
              <w:t>10</w:t>
            </w:r>
          </w:p>
        </w:tc>
      </w:tr>
      <w:tr w14:paraId="386519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4AA9EBD9">
            <w:pPr>
              <w:pStyle w:val="58"/>
              <w:spacing w:line="240" w:lineRule="auto"/>
              <w:ind w:firstLine="0" w:firstLineChars="0"/>
              <w:jc w:val="center"/>
              <w:rPr>
                <w:sz w:val="21"/>
                <w:szCs w:val="21"/>
              </w:rPr>
            </w:pPr>
            <w:r>
              <w:rPr>
                <w:sz w:val="21"/>
                <w:szCs w:val="21"/>
              </w:rPr>
              <w:t>19</w:t>
            </w:r>
          </w:p>
        </w:tc>
        <w:tc>
          <w:tcPr>
            <w:tcW w:w="1965" w:type="pct"/>
            <w:vAlign w:val="center"/>
          </w:tcPr>
          <w:p w14:paraId="73C9C144">
            <w:pPr>
              <w:pStyle w:val="58"/>
              <w:spacing w:line="240" w:lineRule="auto"/>
              <w:ind w:firstLine="0" w:firstLineChars="0"/>
              <w:jc w:val="center"/>
              <w:rPr>
                <w:sz w:val="21"/>
                <w:szCs w:val="21"/>
              </w:rPr>
            </w:pPr>
            <w:r>
              <w:rPr>
                <w:sz w:val="21"/>
                <w:szCs w:val="21"/>
              </w:rPr>
              <w:t>1,1,2,2-</w:t>
            </w:r>
            <w:r>
              <w:rPr>
                <w:rFonts w:hint="eastAsia"/>
                <w:sz w:val="21"/>
                <w:szCs w:val="21"/>
              </w:rPr>
              <w:t>四氯乙烷</w:t>
            </w:r>
          </w:p>
        </w:tc>
        <w:tc>
          <w:tcPr>
            <w:tcW w:w="1137" w:type="pct"/>
            <w:vAlign w:val="center"/>
          </w:tcPr>
          <w:p w14:paraId="1E083AF3">
            <w:pPr>
              <w:pStyle w:val="58"/>
              <w:spacing w:line="240" w:lineRule="auto"/>
              <w:ind w:firstLine="0" w:firstLineChars="0"/>
              <w:jc w:val="center"/>
              <w:rPr>
                <w:sz w:val="21"/>
                <w:szCs w:val="21"/>
              </w:rPr>
            </w:pPr>
            <w:r>
              <w:rPr>
                <w:sz w:val="21"/>
                <w:szCs w:val="21"/>
              </w:rPr>
              <w:t>79-34-5</w:t>
            </w:r>
          </w:p>
        </w:tc>
        <w:tc>
          <w:tcPr>
            <w:tcW w:w="1407" w:type="pct"/>
            <w:vAlign w:val="center"/>
          </w:tcPr>
          <w:p w14:paraId="3CCA4FD3">
            <w:pPr>
              <w:spacing w:line="240" w:lineRule="auto"/>
              <w:ind w:firstLine="0" w:firstLineChars="0"/>
              <w:jc w:val="center"/>
              <w:rPr>
                <w:sz w:val="21"/>
                <w:szCs w:val="21"/>
              </w:rPr>
            </w:pPr>
            <w:r>
              <w:rPr>
                <w:sz w:val="21"/>
                <w:szCs w:val="21"/>
              </w:rPr>
              <w:t>6.8</w:t>
            </w:r>
          </w:p>
        </w:tc>
      </w:tr>
      <w:tr w14:paraId="4454C4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198D919E">
            <w:pPr>
              <w:pStyle w:val="58"/>
              <w:spacing w:line="240" w:lineRule="auto"/>
              <w:ind w:firstLine="0" w:firstLineChars="0"/>
              <w:jc w:val="center"/>
              <w:rPr>
                <w:sz w:val="21"/>
                <w:szCs w:val="21"/>
              </w:rPr>
            </w:pPr>
            <w:r>
              <w:rPr>
                <w:sz w:val="21"/>
                <w:szCs w:val="21"/>
              </w:rPr>
              <w:t>20</w:t>
            </w:r>
          </w:p>
        </w:tc>
        <w:tc>
          <w:tcPr>
            <w:tcW w:w="1965" w:type="pct"/>
            <w:vAlign w:val="center"/>
          </w:tcPr>
          <w:p w14:paraId="67180927">
            <w:pPr>
              <w:pStyle w:val="58"/>
              <w:spacing w:line="240" w:lineRule="auto"/>
              <w:ind w:firstLine="0" w:firstLineChars="0"/>
              <w:jc w:val="center"/>
              <w:rPr>
                <w:sz w:val="21"/>
                <w:szCs w:val="21"/>
              </w:rPr>
            </w:pPr>
            <w:r>
              <w:rPr>
                <w:rFonts w:hint="eastAsia"/>
                <w:sz w:val="21"/>
                <w:szCs w:val="21"/>
              </w:rPr>
              <w:t>四氯乙烯</w:t>
            </w:r>
          </w:p>
        </w:tc>
        <w:tc>
          <w:tcPr>
            <w:tcW w:w="1137" w:type="pct"/>
            <w:vAlign w:val="center"/>
          </w:tcPr>
          <w:p w14:paraId="20240432">
            <w:pPr>
              <w:pStyle w:val="58"/>
              <w:spacing w:line="240" w:lineRule="auto"/>
              <w:ind w:firstLine="0" w:firstLineChars="0"/>
              <w:jc w:val="center"/>
              <w:rPr>
                <w:sz w:val="21"/>
                <w:szCs w:val="21"/>
              </w:rPr>
            </w:pPr>
            <w:r>
              <w:rPr>
                <w:sz w:val="21"/>
                <w:szCs w:val="21"/>
              </w:rPr>
              <w:t>127-18-4</w:t>
            </w:r>
          </w:p>
        </w:tc>
        <w:tc>
          <w:tcPr>
            <w:tcW w:w="1407" w:type="pct"/>
            <w:vAlign w:val="center"/>
          </w:tcPr>
          <w:p w14:paraId="20C1C2A4">
            <w:pPr>
              <w:spacing w:line="240" w:lineRule="auto"/>
              <w:ind w:firstLine="0" w:firstLineChars="0"/>
              <w:jc w:val="center"/>
              <w:rPr>
                <w:sz w:val="21"/>
                <w:szCs w:val="21"/>
              </w:rPr>
            </w:pPr>
            <w:r>
              <w:rPr>
                <w:sz w:val="21"/>
                <w:szCs w:val="21"/>
              </w:rPr>
              <w:t>53</w:t>
            </w:r>
          </w:p>
        </w:tc>
      </w:tr>
      <w:tr w14:paraId="075949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02F7C255">
            <w:pPr>
              <w:pStyle w:val="58"/>
              <w:spacing w:line="240" w:lineRule="auto"/>
              <w:ind w:firstLine="0" w:firstLineChars="0"/>
              <w:jc w:val="center"/>
              <w:rPr>
                <w:sz w:val="21"/>
                <w:szCs w:val="21"/>
              </w:rPr>
            </w:pPr>
            <w:r>
              <w:rPr>
                <w:sz w:val="21"/>
                <w:szCs w:val="21"/>
              </w:rPr>
              <w:t>21</w:t>
            </w:r>
          </w:p>
        </w:tc>
        <w:tc>
          <w:tcPr>
            <w:tcW w:w="1965" w:type="pct"/>
            <w:vAlign w:val="center"/>
          </w:tcPr>
          <w:p w14:paraId="75E6D645">
            <w:pPr>
              <w:pStyle w:val="58"/>
              <w:spacing w:line="240" w:lineRule="auto"/>
              <w:ind w:firstLine="0" w:firstLineChars="0"/>
              <w:jc w:val="center"/>
              <w:rPr>
                <w:sz w:val="21"/>
                <w:szCs w:val="21"/>
              </w:rPr>
            </w:pPr>
            <w:r>
              <w:rPr>
                <w:sz w:val="21"/>
                <w:szCs w:val="21"/>
              </w:rPr>
              <w:t>1,1,1-</w:t>
            </w:r>
            <w:r>
              <w:rPr>
                <w:rFonts w:hint="eastAsia"/>
                <w:sz w:val="21"/>
                <w:szCs w:val="21"/>
              </w:rPr>
              <w:t>三氯乙烷</w:t>
            </w:r>
          </w:p>
        </w:tc>
        <w:tc>
          <w:tcPr>
            <w:tcW w:w="1137" w:type="pct"/>
            <w:vAlign w:val="center"/>
          </w:tcPr>
          <w:p w14:paraId="33B71965">
            <w:pPr>
              <w:pStyle w:val="58"/>
              <w:spacing w:line="240" w:lineRule="auto"/>
              <w:ind w:firstLine="0" w:firstLineChars="0"/>
              <w:jc w:val="center"/>
              <w:rPr>
                <w:sz w:val="21"/>
                <w:szCs w:val="21"/>
              </w:rPr>
            </w:pPr>
            <w:r>
              <w:rPr>
                <w:sz w:val="21"/>
                <w:szCs w:val="21"/>
              </w:rPr>
              <w:t>71-55-6</w:t>
            </w:r>
          </w:p>
        </w:tc>
        <w:tc>
          <w:tcPr>
            <w:tcW w:w="1407" w:type="pct"/>
            <w:vAlign w:val="center"/>
          </w:tcPr>
          <w:p w14:paraId="1255F9B5">
            <w:pPr>
              <w:spacing w:line="240" w:lineRule="auto"/>
              <w:ind w:firstLine="0" w:firstLineChars="0"/>
              <w:jc w:val="center"/>
              <w:rPr>
                <w:sz w:val="21"/>
                <w:szCs w:val="21"/>
              </w:rPr>
            </w:pPr>
            <w:r>
              <w:rPr>
                <w:sz w:val="21"/>
                <w:szCs w:val="21"/>
              </w:rPr>
              <w:t>840</w:t>
            </w:r>
          </w:p>
        </w:tc>
      </w:tr>
      <w:tr w14:paraId="7C5A8D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075A2F6E">
            <w:pPr>
              <w:pStyle w:val="58"/>
              <w:spacing w:line="240" w:lineRule="auto"/>
              <w:ind w:firstLine="0" w:firstLineChars="0"/>
              <w:jc w:val="center"/>
              <w:rPr>
                <w:sz w:val="21"/>
                <w:szCs w:val="21"/>
              </w:rPr>
            </w:pPr>
            <w:r>
              <w:rPr>
                <w:sz w:val="21"/>
                <w:szCs w:val="21"/>
              </w:rPr>
              <w:t>22</w:t>
            </w:r>
          </w:p>
        </w:tc>
        <w:tc>
          <w:tcPr>
            <w:tcW w:w="1965" w:type="pct"/>
            <w:vAlign w:val="center"/>
          </w:tcPr>
          <w:p w14:paraId="29DA32C7">
            <w:pPr>
              <w:pStyle w:val="58"/>
              <w:spacing w:line="240" w:lineRule="auto"/>
              <w:ind w:firstLine="0" w:firstLineChars="0"/>
              <w:jc w:val="center"/>
              <w:rPr>
                <w:sz w:val="21"/>
                <w:szCs w:val="21"/>
              </w:rPr>
            </w:pPr>
            <w:r>
              <w:rPr>
                <w:sz w:val="21"/>
                <w:szCs w:val="21"/>
              </w:rPr>
              <w:t>1,1,2-</w:t>
            </w:r>
            <w:r>
              <w:rPr>
                <w:rFonts w:hint="eastAsia"/>
                <w:sz w:val="21"/>
                <w:szCs w:val="21"/>
              </w:rPr>
              <w:t>三氯乙烷</w:t>
            </w:r>
          </w:p>
        </w:tc>
        <w:tc>
          <w:tcPr>
            <w:tcW w:w="1137" w:type="pct"/>
            <w:vAlign w:val="center"/>
          </w:tcPr>
          <w:p w14:paraId="32DACF64">
            <w:pPr>
              <w:pStyle w:val="58"/>
              <w:spacing w:line="240" w:lineRule="auto"/>
              <w:ind w:firstLine="0" w:firstLineChars="0"/>
              <w:jc w:val="center"/>
              <w:rPr>
                <w:sz w:val="21"/>
                <w:szCs w:val="21"/>
              </w:rPr>
            </w:pPr>
            <w:r>
              <w:rPr>
                <w:sz w:val="21"/>
                <w:szCs w:val="21"/>
              </w:rPr>
              <w:t>79-00-5</w:t>
            </w:r>
          </w:p>
        </w:tc>
        <w:tc>
          <w:tcPr>
            <w:tcW w:w="1407" w:type="pct"/>
            <w:vAlign w:val="center"/>
          </w:tcPr>
          <w:p w14:paraId="0F52F3AB">
            <w:pPr>
              <w:spacing w:line="240" w:lineRule="auto"/>
              <w:ind w:firstLine="0" w:firstLineChars="0"/>
              <w:jc w:val="center"/>
              <w:rPr>
                <w:sz w:val="21"/>
                <w:szCs w:val="21"/>
              </w:rPr>
            </w:pPr>
            <w:r>
              <w:rPr>
                <w:sz w:val="21"/>
                <w:szCs w:val="21"/>
              </w:rPr>
              <w:t>2.8</w:t>
            </w:r>
          </w:p>
        </w:tc>
      </w:tr>
      <w:tr w14:paraId="340E11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38EFC804">
            <w:pPr>
              <w:pStyle w:val="58"/>
              <w:spacing w:line="240" w:lineRule="auto"/>
              <w:ind w:firstLine="0" w:firstLineChars="0"/>
              <w:jc w:val="center"/>
              <w:rPr>
                <w:sz w:val="21"/>
                <w:szCs w:val="21"/>
              </w:rPr>
            </w:pPr>
            <w:r>
              <w:rPr>
                <w:sz w:val="21"/>
                <w:szCs w:val="21"/>
              </w:rPr>
              <w:t>23</w:t>
            </w:r>
          </w:p>
        </w:tc>
        <w:tc>
          <w:tcPr>
            <w:tcW w:w="1965" w:type="pct"/>
            <w:vAlign w:val="center"/>
          </w:tcPr>
          <w:p w14:paraId="61D91765">
            <w:pPr>
              <w:pStyle w:val="58"/>
              <w:spacing w:line="240" w:lineRule="auto"/>
              <w:ind w:firstLine="0" w:firstLineChars="0"/>
              <w:jc w:val="center"/>
              <w:rPr>
                <w:sz w:val="21"/>
                <w:szCs w:val="21"/>
              </w:rPr>
            </w:pPr>
            <w:r>
              <w:rPr>
                <w:rFonts w:hint="eastAsia"/>
                <w:sz w:val="21"/>
                <w:szCs w:val="21"/>
              </w:rPr>
              <w:t>三氯乙烯</w:t>
            </w:r>
          </w:p>
        </w:tc>
        <w:tc>
          <w:tcPr>
            <w:tcW w:w="1137" w:type="pct"/>
            <w:vAlign w:val="center"/>
          </w:tcPr>
          <w:p w14:paraId="606364A4">
            <w:pPr>
              <w:pStyle w:val="58"/>
              <w:spacing w:line="240" w:lineRule="auto"/>
              <w:ind w:firstLine="0" w:firstLineChars="0"/>
              <w:jc w:val="center"/>
              <w:rPr>
                <w:sz w:val="21"/>
                <w:szCs w:val="21"/>
              </w:rPr>
            </w:pPr>
            <w:r>
              <w:rPr>
                <w:sz w:val="21"/>
                <w:szCs w:val="21"/>
              </w:rPr>
              <w:t>79-01-6</w:t>
            </w:r>
          </w:p>
        </w:tc>
        <w:tc>
          <w:tcPr>
            <w:tcW w:w="1407" w:type="pct"/>
            <w:vAlign w:val="center"/>
          </w:tcPr>
          <w:p w14:paraId="6018D772">
            <w:pPr>
              <w:spacing w:line="240" w:lineRule="auto"/>
              <w:ind w:firstLine="0" w:firstLineChars="0"/>
              <w:jc w:val="center"/>
              <w:rPr>
                <w:sz w:val="21"/>
                <w:szCs w:val="21"/>
              </w:rPr>
            </w:pPr>
            <w:r>
              <w:rPr>
                <w:sz w:val="21"/>
                <w:szCs w:val="21"/>
              </w:rPr>
              <w:t>2.8</w:t>
            </w:r>
          </w:p>
        </w:tc>
      </w:tr>
      <w:tr w14:paraId="45D089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1AC304BE">
            <w:pPr>
              <w:pStyle w:val="58"/>
              <w:spacing w:line="240" w:lineRule="auto"/>
              <w:ind w:firstLine="0" w:firstLineChars="0"/>
              <w:jc w:val="center"/>
              <w:rPr>
                <w:sz w:val="21"/>
                <w:szCs w:val="21"/>
              </w:rPr>
            </w:pPr>
            <w:r>
              <w:rPr>
                <w:sz w:val="21"/>
                <w:szCs w:val="21"/>
              </w:rPr>
              <w:t>24</w:t>
            </w:r>
          </w:p>
        </w:tc>
        <w:tc>
          <w:tcPr>
            <w:tcW w:w="1965" w:type="pct"/>
            <w:vAlign w:val="center"/>
          </w:tcPr>
          <w:p w14:paraId="4699B64E">
            <w:pPr>
              <w:pStyle w:val="58"/>
              <w:spacing w:line="240" w:lineRule="auto"/>
              <w:ind w:firstLine="0" w:firstLineChars="0"/>
              <w:jc w:val="center"/>
              <w:rPr>
                <w:sz w:val="21"/>
                <w:szCs w:val="21"/>
              </w:rPr>
            </w:pPr>
            <w:r>
              <w:rPr>
                <w:sz w:val="21"/>
                <w:szCs w:val="21"/>
              </w:rPr>
              <w:t>1,2,3-</w:t>
            </w:r>
            <w:r>
              <w:rPr>
                <w:rFonts w:hint="eastAsia"/>
                <w:sz w:val="21"/>
                <w:szCs w:val="21"/>
              </w:rPr>
              <w:t>三氯丙烷</w:t>
            </w:r>
          </w:p>
        </w:tc>
        <w:tc>
          <w:tcPr>
            <w:tcW w:w="1137" w:type="pct"/>
            <w:vAlign w:val="center"/>
          </w:tcPr>
          <w:p w14:paraId="11F39A8B">
            <w:pPr>
              <w:pStyle w:val="58"/>
              <w:spacing w:line="240" w:lineRule="auto"/>
              <w:ind w:firstLine="0" w:firstLineChars="0"/>
              <w:jc w:val="center"/>
              <w:rPr>
                <w:sz w:val="21"/>
                <w:szCs w:val="21"/>
              </w:rPr>
            </w:pPr>
            <w:r>
              <w:rPr>
                <w:sz w:val="21"/>
                <w:szCs w:val="21"/>
              </w:rPr>
              <w:t>96-18-4</w:t>
            </w:r>
          </w:p>
        </w:tc>
        <w:tc>
          <w:tcPr>
            <w:tcW w:w="1407" w:type="pct"/>
            <w:vAlign w:val="center"/>
          </w:tcPr>
          <w:p w14:paraId="497C6F8E">
            <w:pPr>
              <w:spacing w:line="240" w:lineRule="auto"/>
              <w:ind w:firstLine="0" w:firstLineChars="0"/>
              <w:jc w:val="center"/>
              <w:rPr>
                <w:sz w:val="21"/>
                <w:szCs w:val="21"/>
              </w:rPr>
            </w:pPr>
            <w:r>
              <w:rPr>
                <w:sz w:val="21"/>
                <w:szCs w:val="21"/>
              </w:rPr>
              <w:t>0.5</w:t>
            </w:r>
          </w:p>
        </w:tc>
      </w:tr>
      <w:tr w14:paraId="607735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6C28A793">
            <w:pPr>
              <w:pStyle w:val="58"/>
              <w:spacing w:line="240" w:lineRule="auto"/>
              <w:ind w:firstLine="0" w:firstLineChars="0"/>
              <w:jc w:val="center"/>
              <w:rPr>
                <w:sz w:val="21"/>
                <w:szCs w:val="21"/>
              </w:rPr>
            </w:pPr>
            <w:r>
              <w:rPr>
                <w:sz w:val="21"/>
                <w:szCs w:val="21"/>
              </w:rPr>
              <w:t>25</w:t>
            </w:r>
          </w:p>
        </w:tc>
        <w:tc>
          <w:tcPr>
            <w:tcW w:w="1965" w:type="pct"/>
            <w:vAlign w:val="center"/>
          </w:tcPr>
          <w:p w14:paraId="6EB19947">
            <w:pPr>
              <w:pStyle w:val="58"/>
              <w:spacing w:line="240" w:lineRule="auto"/>
              <w:ind w:firstLine="0" w:firstLineChars="0"/>
              <w:jc w:val="center"/>
              <w:rPr>
                <w:sz w:val="21"/>
                <w:szCs w:val="21"/>
              </w:rPr>
            </w:pPr>
            <w:r>
              <w:rPr>
                <w:rFonts w:hint="eastAsia"/>
                <w:sz w:val="21"/>
                <w:szCs w:val="21"/>
              </w:rPr>
              <w:t>氯乙烯</w:t>
            </w:r>
          </w:p>
        </w:tc>
        <w:tc>
          <w:tcPr>
            <w:tcW w:w="1137" w:type="pct"/>
            <w:vAlign w:val="center"/>
          </w:tcPr>
          <w:p w14:paraId="2E5221C5">
            <w:pPr>
              <w:pStyle w:val="58"/>
              <w:spacing w:line="240" w:lineRule="auto"/>
              <w:ind w:firstLine="0" w:firstLineChars="0"/>
              <w:jc w:val="center"/>
              <w:rPr>
                <w:sz w:val="21"/>
                <w:szCs w:val="21"/>
              </w:rPr>
            </w:pPr>
            <w:r>
              <w:rPr>
                <w:sz w:val="21"/>
                <w:szCs w:val="21"/>
              </w:rPr>
              <w:t>75-01-4</w:t>
            </w:r>
          </w:p>
        </w:tc>
        <w:tc>
          <w:tcPr>
            <w:tcW w:w="1407" w:type="pct"/>
            <w:vAlign w:val="center"/>
          </w:tcPr>
          <w:p w14:paraId="1FE6487A">
            <w:pPr>
              <w:spacing w:line="240" w:lineRule="auto"/>
              <w:ind w:firstLine="0" w:firstLineChars="0"/>
              <w:jc w:val="center"/>
              <w:rPr>
                <w:sz w:val="21"/>
                <w:szCs w:val="21"/>
              </w:rPr>
            </w:pPr>
            <w:r>
              <w:rPr>
                <w:sz w:val="21"/>
                <w:szCs w:val="21"/>
              </w:rPr>
              <w:t>0.43</w:t>
            </w:r>
          </w:p>
        </w:tc>
      </w:tr>
      <w:tr w14:paraId="72DEE5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5859DB9D">
            <w:pPr>
              <w:pStyle w:val="58"/>
              <w:spacing w:line="240" w:lineRule="auto"/>
              <w:ind w:firstLine="0" w:firstLineChars="0"/>
              <w:jc w:val="center"/>
              <w:rPr>
                <w:sz w:val="21"/>
                <w:szCs w:val="21"/>
              </w:rPr>
            </w:pPr>
            <w:r>
              <w:rPr>
                <w:sz w:val="21"/>
                <w:szCs w:val="21"/>
              </w:rPr>
              <w:t>26</w:t>
            </w:r>
          </w:p>
        </w:tc>
        <w:tc>
          <w:tcPr>
            <w:tcW w:w="1965" w:type="pct"/>
            <w:vAlign w:val="center"/>
          </w:tcPr>
          <w:p w14:paraId="0A4AF3B3">
            <w:pPr>
              <w:pStyle w:val="58"/>
              <w:spacing w:line="240" w:lineRule="auto"/>
              <w:ind w:firstLine="0" w:firstLineChars="0"/>
              <w:jc w:val="center"/>
              <w:rPr>
                <w:sz w:val="21"/>
                <w:szCs w:val="21"/>
              </w:rPr>
            </w:pPr>
            <w:r>
              <w:rPr>
                <w:rFonts w:hint="eastAsia"/>
                <w:sz w:val="21"/>
                <w:szCs w:val="21"/>
              </w:rPr>
              <w:t>苯</w:t>
            </w:r>
          </w:p>
        </w:tc>
        <w:tc>
          <w:tcPr>
            <w:tcW w:w="1137" w:type="pct"/>
            <w:vAlign w:val="center"/>
          </w:tcPr>
          <w:p w14:paraId="7873CF73">
            <w:pPr>
              <w:pStyle w:val="58"/>
              <w:spacing w:line="240" w:lineRule="auto"/>
              <w:ind w:firstLine="0" w:firstLineChars="0"/>
              <w:jc w:val="center"/>
              <w:rPr>
                <w:sz w:val="21"/>
                <w:szCs w:val="21"/>
              </w:rPr>
            </w:pPr>
            <w:r>
              <w:rPr>
                <w:sz w:val="21"/>
                <w:szCs w:val="21"/>
              </w:rPr>
              <w:t>71-43-2</w:t>
            </w:r>
          </w:p>
        </w:tc>
        <w:tc>
          <w:tcPr>
            <w:tcW w:w="1407" w:type="pct"/>
            <w:vAlign w:val="center"/>
          </w:tcPr>
          <w:p w14:paraId="0DEA5C2D">
            <w:pPr>
              <w:spacing w:line="240" w:lineRule="auto"/>
              <w:ind w:firstLine="0" w:firstLineChars="0"/>
              <w:jc w:val="center"/>
              <w:rPr>
                <w:sz w:val="21"/>
                <w:szCs w:val="21"/>
              </w:rPr>
            </w:pPr>
            <w:r>
              <w:rPr>
                <w:sz w:val="21"/>
                <w:szCs w:val="21"/>
              </w:rPr>
              <w:t>4</w:t>
            </w:r>
          </w:p>
        </w:tc>
      </w:tr>
      <w:tr w14:paraId="75D172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6C102C64">
            <w:pPr>
              <w:pStyle w:val="58"/>
              <w:spacing w:line="240" w:lineRule="auto"/>
              <w:ind w:firstLine="0" w:firstLineChars="0"/>
              <w:jc w:val="center"/>
              <w:rPr>
                <w:sz w:val="21"/>
                <w:szCs w:val="21"/>
              </w:rPr>
            </w:pPr>
            <w:r>
              <w:rPr>
                <w:sz w:val="21"/>
                <w:szCs w:val="21"/>
              </w:rPr>
              <w:t>27</w:t>
            </w:r>
          </w:p>
        </w:tc>
        <w:tc>
          <w:tcPr>
            <w:tcW w:w="1965" w:type="pct"/>
            <w:vAlign w:val="center"/>
          </w:tcPr>
          <w:p w14:paraId="4383DBC2">
            <w:pPr>
              <w:pStyle w:val="58"/>
              <w:spacing w:line="240" w:lineRule="auto"/>
              <w:ind w:firstLine="0" w:firstLineChars="0"/>
              <w:jc w:val="center"/>
              <w:rPr>
                <w:sz w:val="21"/>
                <w:szCs w:val="21"/>
              </w:rPr>
            </w:pPr>
            <w:r>
              <w:rPr>
                <w:rFonts w:hint="eastAsia"/>
                <w:sz w:val="21"/>
                <w:szCs w:val="21"/>
              </w:rPr>
              <w:t>氯苯</w:t>
            </w:r>
          </w:p>
        </w:tc>
        <w:tc>
          <w:tcPr>
            <w:tcW w:w="1137" w:type="pct"/>
            <w:vAlign w:val="center"/>
          </w:tcPr>
          <w:p w14:paraId="34927CD1">
            <w:pPr>
              <w:pStyle w:val="58"/>
              <w:spacing w:line="240" w:lineRule="auto"/>
              <w:ind w:firstLine="0" w:firstLineChars="0"/>
              <w:jc w:val="center"/>
              <w:rPr>
                <w:sz w:val="21"/>
                <w:szCs w:val="21"/>
              </w:rPr>
            </w:pPr>
            <w:r>
              <w:rPr>
                <w:sz w:val="21"/>
                <w:szCs w:val="21"/>
              </w:rPr>
              <w:t>108-90-7</w:t>
            </w:r>
          </w:p>
        </w:tc>
        <w:tc>
          <w:tcPr>
            <w:tcW w:w="1407" w:type="pct"/>
            <w:vAlign w:val="center"/>
          </w:tcPr>
          <w:p w14:paraId="72CB2182">
            <w:pPr>
              <w:spacing w:line="240" w:lineRule="auto"/>
              <w:ind w:firstLine="0" w:firstLineChars="0"/>
              <w:jc w:val="center"/>
              <w:rPr>
                <w:sz w:val="21"/>
                <w:szCs w:val="21"/>
              </w:rPr>
            </w:pPr>
            <w:r>
              <w:rPr>
                <w:sz w:val="21"/>
                <w:szCs w:val="21"/>
              </w:rPr>
              <w:t>270</w:t>
            </w:r>
          </w:p>
        </w:tc>
      </w:tr>
      <w:tr w14:paraId="54EF5D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7F1A304F">
            <w:pPr>
              <w:pStyle w:val="58"/>
              <w:spacing w:line="240" w:lineRule="auto"/>
              <w:ind w:firstLine="0" w:firstLineChars="0"/>
              <w:jc w:val="center"/>
              <w:rPr>
                <w:sz w:val="21"/>
                <w:szCs w:val="21"/>
              </w:rPr>
            </w:pPr>
            <w:r>
              <w:rPr>
                <w:sz w:val="21"/>
                <w:szCs w:val="21"/>
              </w:rPr>
              <w:t>28</w:t>
            </w:r>
          </w:p>
        </w:tc>
        <w:tc>
          <w:tcPr>
            <w:tcW w:w="1965" w:type="pct"/>
            <w:vAlign w:val="center"/>
          </w:tcPr>
          <w:p w14:paraId="2ABC4627">
            <w:pPr>
              <w:pStyle w:val="58"/>
              <w:spacing w:line="240" w:lineRule="auto"/>
              <w:ind w:firstLine="0" w:firstLineChars="0"/>
              <w:jc w:val="center"/>
              <w:rPr>
                <w:sz w:val="21"/>
                <w:szCs w:val="21"/>
              </w:rPr>
            </w:pPr>
            <w:r>
              <w:rPr>
                <w:sz w:val="21"/>
                <w:szCs w:val="21"/>
              </w:rPr>
              <w:t>1,2-</w:t>
            </w:r>
            <w:r>
              <w:rPr>
                <w:rFonts w:hint="eastAsia"/>
                <w:sz w:val="21"/>
                <w:szCs w:val="21"/>
              </w:rPr>
              <w:t>二氯苯</w:t>
            </w:r>
          </w:p>
        </w:tc>
        <w:tc>
          <w:tcPr>
            <w:tcW w:w="1137" w:type="pct"/>
            <w:vAlign w:val="center"/>
          </w:tcPr>
          <w:p w14:paraId="13DC1EF6">
            <w:pPr>
              <w:pStyle w:val="58"/>
              <w:spacing w:line="240" w:lineRule="auto"/>
              <w:ind w:firstLine="0" w:firstLineChars="0"/>
              <w:jc w:val="center"/>
              <w:rPr>
                <w:sz w:val="21"/>
                <w:szCs w:val="21"/>
              </w:rPr>
            </w:pPr>
            <w:r>
              <w:rPr>
                <w:sz w:val="21"/>
                <w:szCs w:val="21"/>
              </w:rPr>
              <w:t>95-50-1</w:t>
            </w:r>
          </w:p>
        </w:tc>
        <w:tc>
          <w:tcPr>
            <w:tcW w:w="1407" w:type="pct"/>
            <w:vAlign w:val="center"/>
          </w:tcPr>
          <w:p w14:paraId="7E9C8035">
            <w:pPr>
              <w:spacing w:line="240" w:lineRule="auto"/>
              <w:ind w:firstLine="0" w:firstLineChars="0"/>
              <w:jc w:val="center"/>
              <w:rPr>
                <w:sz w:val="21"/>
                <w:szCs w:val="21"/>
              </w:rPr>
            </w:pPr>
            <w:r>
              <w:rPr>
                <w:sz w:val="21"/>
                <w:szCs w:val="21"/>
              </w:rPr>
              <w:t>560</w:t>
            </w:r>
          </w:p>
        </w:tc>
      </w:tr>
      <w:tr w14:paraId="0431A1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7DF508DF">
            <w:pPr>
              <w:pStyle w:val="58"/>
              <w:spacing w:line="240" w:lineRule="auto"/>
              <w:ind w:firstLine="0" w:firstLineChars="0"/>
              <w:jc w:val="center"/>
              <w:rPr>
                <w:sz w:val="21"/>
                <w:szCs w:val="21"/>
              </w:rPr>
            </w:pPr>
            <w:r>
              <w:rPr>
                <w:sz w:val="21"/>
                <w:szCs w:val="21"/>
              </w:rPr>
              <w:t>29</w:t>
            </w:r>
          </w:p>
        </w:tc>
        <w:tc>
          <w:tcPr>
            <w:tcW w:w="1965" w:type="pct"/>
            <w:vAlign w:val="center"/>
          </w:tcPr>
          <w:p w14:paraId="3C625709">
            <w:pPr>
              <w:pStyle w:val="58"/>
              <w:spacing w:line="240" w:lineRule="auto"/>
              <w:ind w:firstLine="0" w:firstLineChars="0"/>
              <w:jc w:val="center"/>
              <w:rPr>
                <w:sz w:val="21"/>
                <w:szCs w:val="21"/>
              </w:rPr>
            </w:pPr>
            <w:r>
              <w:rPr>
                <w:sz w:val="21"/>
                <w:szCs w:val="21"/>
              </w:rPr>
              <w:t>1,4-</w:t>
            </w:r>
            <w:r>
              <w:rPr>
                <w:rFonts w:hint="eastAsia"/>
                <w:sz w:val="21"/>
                <w:szCs w:val="21"/>
              </w:rPr>
              <w:t>二氯苯</w:t>
            </w:r>
          </w:p>
        </w:tc>
        <w:tc>
          <w:tcPr>
            <w:tcW w:w="1137" w:type="pct"/>
            <w:vAlign w:val="center"/>
          </w:tcPr>
          <w:p w14:paraId="23B1D035">
            <w:pPr>
              <w:pStyle w:val="58"/>
              <w:spacing w:line="240" w:lineRule="auto"/>
              <w:ind w:firstLine="0" w:firstLineChars="0"/>
              <w:jc w:val="center"/>
              <w:rPr>
                <w:sz w:val="21"/>
                <w:szCs w:val="21"/>
              </w:rPr>
            </w:pPr>
            <w:r>
              <w:rPr>
                <w:sz w:val="21"/>
                <w:szCs w:val="21"/>
              </w:rPr>
              <w:t>106-46-7</w:t>
            </w:r>
          </w:p>
        </w:tc>
        <w:tc>
          <w:tcPr>
            <w:tcW w:w="1407" w:type="pct"/>
            <w:vAlign w:val="center"/>
          </w:tcPr>
          <w:p w14:paraId="778D5638">
            <w:pPr>
              <w:spacing w:line="240" w:lineRule="auto"/>
              <w:ind w:firstLine="0" w:firstLineChars="0"/>
              <w:jc w:val="center"/>
              <w:rPr>
                <w:sz w:val="21"/>
                <w:szCs w:val="21"/>
              </w:rPr>
            </w:pPr>
            <w:r>
              <w:rPr>
                <w:sz w:val="21"/>
                <w:szCs w:val="21"/>
              </w:rPr>
              <w:t>20</w:t>
            </w:r>
          </w:p>
        </w:tc>
      </w:tr>
      <w:tr w14:paraId="6C7B5A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7F18E7E5">
            <w:pPr>
              <w:pStyle w:val="58"/>
              <w:spacing w:line="240" w:lineRule="auto"/>
              <w:ind w:firstLine="0" w:firstLineChars="0"/>
              <w:jc w:val="center"/>
              <w:rPr>
                <w:sz w:val="21"/>
                <w:szCs w:val="21"/>
              </w:rPr>
            </w:pPr>
            <w:r>
              <w:rPr>
                <w:sz w:val="21"/>
                <w:szCs w:val="21"/>
              </w:rPr>
              <w:t>30</w:t>
            </w:r>
          </w:p>
        </w:tc>
        <w:tc>
          <w:tcPr>
            <w:tcW w:w="1965" w:type="pct"/>
            <w:vAlign w:val="center"/>
          </w:tcPr>
          <w:p w14:paraId="798545C2">
            <w:pPr>
              <w:pStyle w:val="58"/>
              <w:spacing w:line="240" w:lineRule="auto"/>
              <w:ind w:firstLine="0" w:firstLineChars="0"/>
              <w:jc w:val="center"/>
              <w:rPr>
                <w:sz w:val="21"/>
                <w:szCs w:val="21"/>
              </w:rPr>
            </w:pPr>
            <w:r>
              <w:rPr>
                <w:rFonts w:hint="eastAsia"/>
                <w:sz w:val="21"/>
                <w:szCs w:val="21"/>
              </w:rPr>
              <w:t>乙苯</w:t>
            </w:r>
          </w:p>
        </w:tc>
        <w:tc>
          <w:tcPr>
            <w:tcW w:w="1137" w:type="pct"/>
            <w:vAlign w:val="center"/>
          </w:tcPr>
          <w:p w14:paraId="08D21034">
            <w:pPr>
              <w:pStyle w:val="58"/>
              <w:spacing w:line="240" w:lineRule="auto"/>
              <w:ind w:firstLine="0" w:firstLineChars="0"/>
              <w:jc w:val="center"/>
              <w:rPr>
                <w:sz w:val="21"/>
                <w:szCs w:val="21"/>
              </w:rPr>
            </w:pPr>
            <w:r>
              <w:rPr>
                <w:sz w:val="21"/>
                <w:szCs w:val="21"/>
              </w:rPr>
              <w:t>100-41-4</w:t>
            </w:r>
          </w:p>
        </w:tc>
        <w:tc>
          <w:tcPr>
            <w:tcW w:w="1407" w:type="pct"/>
            <w:vAlign w:val="center"/>
          </w:tcPr>
          <w:p w14:paraId="7DC43D94">
            <w:pPr>
              <w:spacing w:line="240" w:lineRule="auto"/>
              <w:ind w:firstLine="0" w:firstLineChars="0"/>
              <w:jc w:val="center"/>
              <w:rPr>
                <w:sz w:val="21"/>
                <w:szCs w:val="21"/>
              </w:rPr>
            </w:pPr>
            <w:r>
              <w:rPr>
                <w:sz w:val="21"/>
                <w:szCs w:val="21"/>
              </w:rPr>
              <w:t>28</w:t>
            </w:r>
          </w:p>
        </w:tc>
      </w:tr>
      <w:tr w14:paraId="70E6EB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5356D352">
            <w:pPr>
              <w:pStyle w:val="58"/>
              <w:spacing w:line="240" w:lineRule="auto"/>
              <w:ind w:firstLine="0" w:firstLineChars="0"/>
              <w:jc w:val="center"/>
              <w:rPr>
                <w:sz w:val="21"/>
                <w:szCs w:val="21"/>
              </w:rPr>
            </w:pPr>
            <w:r>
              <w:rPr>
                <w:sz w:val="21"/>
                <w:szCs w:val="21"/>
              </w:rPr>
              <w:t>31</w:t>
            </w:r>
          </w:p>
        </w:tc>
        <w:tc>
          <w:tcPr>
            <w:tcW w:w="1965" w:type="pct"/>
            <w:vAlign w:val="center"/>
          </w:tcPr>
          <w:p w14:paraId="44F5C5D5">
            <w:pPr>
              <w:pStyle w:val="58"/>
              <w:spacing w:line="240" w:lineRule="auto"/>
              <w:ind w:firstLine="0" w:firstLineChars="0"/>
              <w:jc w:val="center"/>
              <w:rPr>
                <w:sz w:val="21"/>
                <w:szCs w:val="21"/>
              </w:rPr>
            </w:pPr>
            <w:r>
              <w:rPr>
                <w:rFonts w:hint="eastAsia"/>
                <w:sz w:val="21"/>
                <w:szCs w:val="21"/>
              </w:rPr>
              <w:t>苯乙烯</w:t>
            </w:r>
          </w:p>
        </w:tc>
        <w:tc>
          <w:tcPr>
            <w:tcW w:w="1137" w:type="pct"/>
            <w:vAlign w:val="center"/>
          </w:tcPr>
          <w:p w14:paraId="23B35C70">
            <w:pPr>
              <w:pStyle w:val="58"/>
              <w:spacing w:line="240" w:lineRule="auto"/>
              <w:ind w:firstLine="0" w:firstLineChars="0"/>
              <w:jc w:val="center"/>
              <w:rPr>
                <w:sz w:val="21"/>
                <w:szCs w:val="21"/>
              </w:rPr>
            </w:pPr>
            <w:r>
              <w:rPr>
                <w:sz w:val="21"/>
                <w:szCs w:val="21"/>
              </w:rPr>
              <w:t>100-42-5</w:t>
            </w:r>
          </w:p>
        </w:tc>
        <w:tc>
          <w:tcPr>
            <w:tcW w:w="1407" w:type="pct"/>
            <w:vAlign w:val="center"/>
          </w:tcPr>
          <w:p w14:paraId="32EE0948">
            <w:pPr>
              <w:spacing w:line="240" w:lineRule="auto"/>
              <w:ind w:firstLine="0" w:firstLineChars="0"/>
              <w:jc w:val="center"/>
              <w:rPr>
                <w:sz w:val="21"/>
                <w:szCs w:val="21"/>
              </w:rPr>
            </w:pPr>
            <w:r>
              <w:rPr>
                <w:sz w:val="21"/>
                <w:szCs w:val="21"/>
              </w:rPr>
              <w:t>1290</w:t>
            </w:r>
          </w:p>
        </w:tc>
      </w:tr>
      <w:tr w14:paraId="0CA2E8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65EFAB86">
            <w:pPr>
              <w:pStyle w:val="58"/>
              <w:spacing w:line="240" w:lineRule="auto"/>
              <w:ind w:firstLine="0" w:firstLineChars="0"/>
              <w:jc w:val="center"/>
              <w:rPr>
                <w:sz w:val="21"/>
                <w:szCs w:val="21"/>
              </w:rPr>
            </w:pPr>
            <w:r>
              <w:rPr>
                <w:sz w:val="21"/>
                <w:szCs w:val="21"/>
              </w:rPr>
              <w:t>32</w:t>
            </w:r>
          </w:p>
        </w:tc>
        <w:tc>
          <w:tcPr>
            <w:tcW w:w="1965" w:type="pct"/>
            <w:vAlign w:val="center"/>
          </w:tcPr>
          <w:p w14:paraId="36940E1E">
            <w:pPr>
              <w:pStyle w:val="58"/>
              <w:spacing w:line="240" w:lineRule="auto"/>
              <w:ind w:firstLine="0" w:firstLineChars="0"/>
              <w:jc w:val="center"/>
              <w:rPr>
                <w:sz w:val="21"/>
                <w:szCs w:val="21"/>
              </w:rPr>
            </w:pPr>
            <w:r>
              <w:rPr>
                <w:rFonts w:hint="eastAsia"/>
                <w:sz w:val="21"/>
                <w:szCs w:val="21"/>
              </w:rPr>
              <w:t>甲苯</w:t>
            </w:r>
          </w:p>
        </w:tc>
        <w:tc>
          <w:tcPr>
            <w:tcW w:w="1137" w:type="pct"/>
            <w:vAlign w:val="center"/>
          </w:tcPr>
          <w:p w14:paraId="68EE77F4">
            <w:pPr>
              <w:pStyle w:val="58"/>
              <w:spacing w:line="240" w:lineRule="auto"/>
              <w:ind w:firstLine="0" w:firstLineChars="0"/>
              <w:jc w:val="center"/>
              <w:rPr>
                <w:sz w:val="21"/>
                <w:szCs w:val="21"/>
              </w:rPr>
            </w:pPr>
            <w:r>
              <w:rPr>
                <w:sz w:val="21"/>
                <w:szCs w:val="21"/>
              </w:rPr>
              <w:t>108-88-3</w:t>
            </w:r>
          </w:p>
        </w:tc>
        <w:tc>
          <w:tcPr>
            <w:tcW w:w="1407" w:type="pct"/>
            <w:vAlign w:val="center"/>
          </w:tcPr>
          <w:p w14:paraId="1F7CAA6D">
            <w:pPr>
              <w:spacing w:line="240" w:lineRule="auto"/>
              <w:ind w:firstLine="0" w:firstLineChars="0"/>
              <w:jc w:val="center"/>
              <w:rPr>
                <w:sz w:val="21"/>
                <w:szCs w:val="21"/>
              </w:rPr>
            </w:pPr>
            <w:r>
              <w:rPr>
                <w:sz w:val="21"/>
                <w:szCs w:val="21"/>
              </w:rPr>
              <w:t>1200</w:t>
            </w:r>
          </w:p>
        </w:tc>
      </w:tr>
      <w:tr w14:paraId="3DB3AB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60CA963B">
            <w:pPr>
              <w:pStyle w:val="58"/>
              <w:spacing w:line="240" w:lineRule="auto"/>
              <w:ind w:firstLine="0" w:firstLineChars="0"/>
              <w:jc w:val="center"/>
              <w:rPr>
                <w:sz w:val="21"/>
                <w:szCs w:val="21"/>
              </w:rPr>
            </w:pPr>
            <w:r>
              <w:rPr>
                <w:sz w:val="21"/>
                <w:szCs w:val="21"/>
              </w:rPr>
              <w:t>33</w:t>
            </w:r>
          </w:p>
        </w:tc>
        <w:tc>
          <w:tcPr>
            <w:tcW w:w="1965" w:type="pct"/>
            <w:vAlign w:val="center"/>
          </w:tcPr>
          <w:p w14:paraId="56F23C62">
            <w:pPr>
              <w:pStyle w:val="58"/>
              <w:spacing w:line="240" w:lineRule="auto"/>
              <w:ind w:firstLine="0" w:firstLineChars="0"/>
              <w:jc w:val="center"/>
              <w:rPr>
                <w:sz w:val="21"/>
                <w:szCs w:val="21"/>
              </w:rPr>
            </w:pPr>
            <w:r>
              <w:rPr>
                <w:rFonts w:hint="eastAsia"/>
                <w:sz w:val="21"/>
                <w:szCs w:val="21"/>
              </w:rPr>
              <w:t>间二甲苯</w:t>
            </w:r>
            <w:r>
              <w:rPr>
                <w:sz w:val="21"/>
                <w:szCs w:val="21"/>
              </w:rPr>
              <w:t>+</w:t>
            </w:r>
            <w:r>
              <w:rPr>
                <w:rFonts w:hint="eastAsia"/>
                <w:sz w:val="21"/>
                <w:szCs w:val="21"/>
              </w:rPr>
              <w:t>对二甲苯</w:t>
            </w:r>
          </w:p>
        </w:tc>
        <w:tc>
          <w:tcPr>
            <w:tcW w:w="1137" w:type="pct"/>
            <w:vAlign w:val="center"/>
          </w:tcPr>
          <w:p w14:paraId="26036B79">
            <w:pPr>
              <w:pStyle w:val="58"/>
              <w:spacing w:line="240" w:lineRule="auto"/>
              <w:ind w:firstLine="0" w:firstLineChars="0"/>
              <w:rPr>
                <w:sz w:val="21"/>
                <w:szCs w:val="21"/>
              </w:rPr>
            </w:pPr>
            <w:r>
              <w:rPr>
                <w:sz w:val="21"/>
                <w:szCs w:val="21"/>
              </w:rPr>
              <w:t>108-38-3</w:t>
            </w:r>
            <w:r>
              <w:rPr>
                <w:rFonts w:hint="eastAsia"/>
                <w:sz w:val="21"/>
                <w:szCs w:val="21"/>
              </w:rPr>
              <w:t>，</w:t>
            </w:r>
            <w:r>
              <w:rPr>
                <w:sz w:val="21"/>
                <w:szCs w:val="21"/>
              </w:rPr>
              <w:t>106-42-3</w:t>
            </w:r>
          </w:p>
        </w:tc>
        <w:tc>
          <w:tcPr>
            <w:tcW w:w="1407" w:type="pct"/>
            <w:vAlign w:val="center"/>
          </w:tcPr>
          <w:p w14:paraId="6C3EBBB3">
            <w:pPr>
              <w:spacing w:line="240" w:lineRule="auto"/>
              <w:ind w:firstLine="0" w:firstLineChars="0"/>
              <w:jc w:val="center"/>
              <w:rPr>
                <w:sz w:val="21"/>
                <w:szCs w:val="21"/>
              </w:rPr>
            </w:pPr>
            <w:r>
              <w:rPr>
                <w:sz w:val="21"/>
                <w:szCs w:val="21"/>
              </w:rPr>
              <w:t>570</w:t>
            </w:r>
          </w:p>
        </w:tc>
      </w:tr>
      <w:tr w14:paraId="0BB57D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30C54A7F">
            <w:pPr>
              <w:pStyle w:val="58"/>
              <w:spacing w:line="240" w:lineRule="auto"/>
              <w:ind w:firstLine="0" w:firstLineChars="0"/>
              <w:jc w:val="center"/>
              <w:rPr>
                <w:sz w:val="21"/>
                <w:szCs w:val="21"/>
              </w:rPr>
            </w:pPr>
            <w:r>
              <w:rPr>
                <w:sz w:val="21"/>
                <w:szCs w:val="21"/>
              </w:rPr>
              <w:t>34</w:t>
            </w:r>
          </w:p>
        </w:tc>
        <w:tc>
          <w:tcPr>
            <w:tcW w:w="1965" w:type="pct"/>
            <w:vAlign w:val="center"/>
          </w:tcPr>
          <w:p w14:paraId="1BC7BD4F">
            <w:pPr>
              <w:pStyle w:val="58"/>
              <w:spacing w:line="240" w:lineRule="auto"/>
              <w:ind w:firstLine="0" w:firstLineChars="0"/>
              <w:jc w:val="center"/>
              <w:rPr>
                <w:sz w:val="21"/>
                <w:szCs w:val="21"/>
              </w:rPr>
            </w:pPr>
            <w:r>
              <w:rPr>
                <w:rFonts w:hint="eastAsia"/>
                <w:sz w:val="21"/>
                <w:szCs w:val="21"/>
              </w:rPr>
              <w:t>邻二甲苯</w:t>
            </w:r>
          </w:p>
        </w:tc>
        <w:tc>
          <w:tcPr>
            <w:tcW w:w="1137" w:type="pct"/>
            <w:vAlign w:val="center"/>
          </w:tcPr>
          <w:p w14:paraId="58B64B00">
            <w:pPr>
              <w:pStyle w:val="58"/>
              <w:spacing w:line="240" w:lineRule="auto"/>
              <w:ind w:firstLine="0" w:firstLineChars="0"/>
              <w:jc w:val="center"/>
              <w:rPr>
                <w:sz w:val="21"/>
                <w:szCs w:val="21"/>
              </w:rPr>
            </w:pPr>
            <w:r>
              <w:rPr>
                <w:sz w:val="21"/>
                <w:szCs w:val="21"/>
              </w:rPr>
              <w:t>95-47-6</w:t>
            </w:r>
          </w:p>
        </w:tc>
        <w:tc>
          <w:tcPr>
            <w:tcW w:w="1407" w:type="pct"/>
            <w:vAlign w:val="center"/>
          </w:tcPr>
          <w:p w14:paraId="64682DE4">
            <w:pPr>
              <w:spacing w:line="240" w:lineRule="auto"/>
              <w:ind w:firstLine="0" w:firstLineChars="0"/>
              <w:jc w:val="center"/>
              <w:rPr>
                <w:sz w:val="21"/>
                <w:szCs w:val="21"/>
              </w:rPr>
            </w:pPr>
            <w:r>
              <w:rPr>
                <w:sz w:val="21"/>
                <w:szCs w:val="21"/>
              </w:rPr>
              <w:t>640</w:t>
            </w:r>
          </w:p>
        </w:tc>
      </w:tr>
      <w:tr w14:paraId="4B96B8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5000" w:type="pct"/>
            <w:gridSpan w:val="4"/>
            <w:vAlign w:val="center"/>
          </w:tcPr>
          <w:p w14:paraId="4C9A03F5">
            <w:pPr>
              <w:pStyle w:val="58"/>
              <w:spacing w:line="240" w:lineRule="auto"/>
              <w:ind w:firstLine="0" w:firstLineChars="0"/>
              <w:jc w:val="center"/>
              <w:rPr>
                <w:sz w:val="21"/>
                <w:szCs w:val="21"/>
              </w:rPr>
            </w:pPr>
            <w:r>
              <w:rPr>
                <w:rFonts w:hint="eastAsia"/>
                <w:sz w:val="21"/>
                <w:szCs w:val="21"/>
              </w:rPr>
              <w:t>半挥发性有机物（单位：</w:t>
            </w:r>
            <w:r>
              <w:rPr>
                <w:sz w:val="21"/>
                <w:szCs w:val="21"/>
              </w:rPr>
              <w:t>mg/kg</w:t>
            </w:r>
            <w:r>
              <w:rPr>
                <w:rFonts w:hint="eastAsia"/>
                <w:sz w:val="21"/>
                <w:szCs w:val="21"/>
              </w:rPr>
              <w:t>）</w:t>
            </w:r>
          </w:p>
        </w:tc>
      </w:tr>
      <w:tr w14:paraId="407572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703B7DE9">
            <w:pPr>
              <w:pStyle w:val="58"/>
              <w:spacing w:line="240" w:lineRule="auto"/>
              <w:ind w:firstLine="0" w:firstLineChars="0"/>
              <w:jc w:val="center"/>
              <w:rPr>
                <w:sz w:val="21"/>
                <w:szCs w:val="21"/>
              </w:rPr>
            </w:pPr>
            <w:r>
              <w:rPr>
                <w:sz w:val="21"/>
                <w:szCs w:val="21"/>
              </w:rPr>
              <w:t>35</w:t>
            </w:r>
          </w:p>
        </w:tc>
        <w:tc>
          <w:tcPr>
            <w:tcW w:w="1965" w:type="pct"/>
            <w:vAlign w:val="center"/>
          </w:tcPr>
          <w:p w14:paraId="355A48C2">
            <w:pPr>
              <w:pStyle w:val="58"/>
              <w:spacing w:line="240" w:lineRule="auto"/>
              <w:ind w:firstLine="0" w:firstLineChars="0"/>
              <w:jc w:val="center"/>
              <w:rPr>
                <w:sz w:val="21"/>
                <w:szCs w:val="21"/>
              </w:rPr>
            </w:pPr>
            <w:r>
              <w:rPr>
                <w:rFonts w:hint="eastAsia"/>
                <w:sz w:val="21"/>
                <w:szCs w:val="21"/>
              </w:rPr>
              <w:t>硝基苯</w:t>
            </w:r>
          </w:p>
        </w:tc>
        <w:tc>
          <w:tcPr>
            <w:tcW w:w="1137" w:type="pct"/>
            <w:vAlign w:val="center"/>
          </w:tcPr>
          <w:p w14:paraId="63A610B8">
            <w:pPr>
              <w:pStyle w:val="58"/>
              <w:spacing w:line="240" w:lineRule="auto"/>
              <w:ind w:firstLine="0" w:firstLineChars="0"/>
              <w:jc w:val="center"/>
              <w:rPr>
                <w:sz w:val="21"/>
                <w:szCs w:val="21"/>
              </w:rPr>
            </w:pPr>
            <w:r>
              <w:rPr>
                <w:sz w:val="21"/>
                <w:szCs w:val="21"/>
              </w:rPr>
              <w:t>98-95-3</w:t>
            </w:r>
          </w:p>
        </w:tc>
        <w:tc>
          <w:tcPr>
            <w:tcW w:w="1407" w:type="pct"/>
            <w:vAlign w:val="center"/>
          </w:tcPr>
          <w:p w14:paraId="74DC3F4D">
            <w:pPr>
              <w:spacing w:line="240" w:lineRule="auto"/>
              <w:ind w:firstLine="0" w:firstLineChars="0"/>
              <w:jc w:val="center"/>
              <w:rPr>
                <w:sz w:val="21"/>
                <w:szCs w:val="21"/>
              </w:rPr>
            </w:pPr>
            <w:r>
              <w:rPr>
                <w:sz w:val="21"/>
                <w:szCs w:val="21"/>
              </w:rPr>
              <w:t>76</w:t>
            </w:r>
          </w:p>
        </w:tc>
      </w:tr>
      <w:tr w14:paraId="5C0542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74BEDF85">
            <w:pPr>
              <w:pStyle w:val="58"/>
              <w:spacing w:line="240" w:lineRule="auto"/>
              <w:ind w:firstLine="0" w:firstLineChars="0"/>
              <w:jc w:val="center"/>
              <w:rPr>
                <w:sz w:val="21"/>
                <w:szCs w:val="21"/>
              </w:rPr>
            </w:pPr>
            <w:r>
              <w:rPr>
                <w:sz w:val="21"/>
                <w:szCs w:val="21"/>
              </w:rPr>
              <w:t>36</w:t>
            </w:r>
          </w:p>
        </w:tc>
        <w:tc>
          <w:tcPr>
            <w:tcW w:w="1965" w:type="pct"/>
            <w:vAlign w:val="center"/>
          </w:tcPr>
          <w:p w14:paraId="5991F9FC">
            <w:pPr>
              <w:pStyle w:val="58"/>
              <w:spacing w:line="240" w:lineRule="auto"/>
              <w:ind w:firstLine="0" w:firstLineChars="0"/>
              <w:jc w:val="center"/>
              <w:rPr>
                <w:sz w:val="21"/>
                <w:szCs w:val="21"/>
              </w:rPr>
            </w:pPr>
            <w:r>
              <w:rPr>
                <w:rFonts w:hint="eastAsia"/>
                <w:sz w:val="21"/>
                <w:szCs w:val="21"/>
              </w:rPr>
              <w:t>苯胺</w:t>
            </w:r>
          </w:p>
        </w:tc>
        <w:tc>
          <w:tcPr>
            <w:tcW w:w="1137" w:type="pct"/>
            <w:vAlign w:val="center"/>
          </w:tcPr>
          <w:p w14:paraId="50301E60">
            <w:pPr>
              <w:pStyle w:val="58"/>
              <w:spacing w:line="240" w:lineRule="auto"/>
              <w:ind w:firstLine="0" w:firstLineChars="0"/>
              <w:jc w:val="center"/>
              <w:rPr>
                <w:sz w:val="21"/>
                <w:szCs w:val="21"/>
              </w:rPr>
            </w:pPr>
            <w:r>
              <w:rPr>
                <w:sz w:val="21"/>
                <w:szCs w:val="21"/>
              </w:rPr>
              <w:t>62-53-3</w:t>
            </w:r>
          </w:p>
        </w:tc>
        <w:tc>
          <w:tcPr>
            <w:tcW w:w="1407" w:type="pct"/>
            <w:vAlign w:val="center"/>
          </w:tcPr>
          <w:p w14:paraId="610A1CF1">
            <w:pPr>
              <w:spacing w:line="240" w:lineRule="auto"/>
              <w:ind w:firstLine="0" w:firstLineChars="0"/>
              <w:jc w:val="center"/>
              <w:rPr>
                <w:sz w:val="21"/>
                <w:szCs w:val="21"/>
              </w:rPr>
            </w:pPr>
            <w:r>
              <w:rPr>
                <w:sz w:val="21"/>
                <w:szCs w:val="21"/>
              </w:rPr>
              <w:t>260</w:t>
            </w:r>
          </w:p>
        </w:tc>
      </w:tr>
      <w:tr w14:paraId="39DA50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50C60FFA">
            <w:pPr>
              <w:pStyle w:val="58"/>
              <w:spacing w:line="240" w:lineRule="auto"/>
              <w:ind w:firstLine="0" w:firstLineChars="0"/>
              <w:jc w:val="center"/>
              <w:rPr>
                <w:sz w:val="21"/>
                <w:szCs w:val="21"/>
              </w:rPr>
            </w:pPr>
            <w:r>
              <w:rPr>
                <w:sz w:val="21"/>
                <w:szCs w:val="21"/>
              </w:rPr>
              <w:t>37</w:t>
            </w:r>
          </w:p>
        </w:tc>
        <w:tc>
          <w:tcPr>
            <w:tcW w:w="1965" w:type="pct"/>
            <w:vAlign w:val="center"/>
          </w:tcPr>
          <w:p w14:paraId="595FC18F">
            <w:pPr>
              <w:pStyle w:val="58"/>
              <w:spacing w:line="240" w:lineRule="auto"/>
              <w:ind w:firstLine="0" w:firstLineChars="0"/>
              <w:jc w:val="center"/>
              <w:rPr>
                <w:sz w:val="21"/>
                <w:szCs w:val="21"/>
              </w:rPr>
            </w:pPr>
            <w:r>
              <w:rPr>
                <w:sz w:val="21"/>
                <w:szCs w:val="21"/>
              </w:rPr>
              <w:t>2-</w:t>
            </w:r>
            <w:r>
              <w:rPr>
                <w:rFonts w:hint="eastAsia"/>
                <w:sz w:val="21"/>
                <w:szCs w:val="21"/>
              </w:rPr>
              <w:t>氯酚</w:t>
            </w:r>
          </w:p>
        </w:tc>
        <w:tc>
          <w:tcPr>
            <w:tcW w:w="1137" w:type="pct"/>
            <w:vAlign w:val="center"/>
          </w:tcPr>
          <w:p w14:paraId="49917FB0">
            <w:pPr>
              <w:pStyle w:val="58"/>
              <w:spacing w:line="240" w:lineRule="auto"/>
              <w:ind w:firstLine="0" w:firstLineChars="0"/>
              <w:jc w:val="center"/>
              <w:rPr>
                <w:sz w:val="21"/>
                <w:szCs w:val="21"/>
              </w:rPr>
            </w:pPr>
            <w:r>
              <w:rPr>
                <w:sz w:val="21"/>
                <w:szCs w:val="21"/>
              </w:rPr>
              <w:t>95-57-8</w:t>
            </w:r>
          </w:p>
        </w:tc>
        <w:tc>
          <w:tcPr>
            <w:tcW w:w="1407" w:type="pct"/>
            <w:vAlign w:val="center"/>
          </w:tcPr>
          <w:p w14:paraId="6DDC5CA0">
            <w:pPr>
              <w:spacing w:line="240" w:lineRule="auto"/>
              <w:ind w:firstLine="0" w:firstLineChars="0"/>
              <w:jc w:val="center"/>
              <w:rPr>
                <w:sz w:val="21"/>
                <w:szCs w:val="21"/>
              </w:rPr>
            </w:pPr>
            <w:r>
              <w:rPr>
                <w:sz w:val="21"/>
                <w:szCs w:val="21"/>
              </w:rPr>
              <w:t>2256</w:t>
            </w:r>
          </w:p>
        </w:tc>
      </w:tr>
      <w:tr w14:paraId="42F347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07447C58">
            <w:pPr>
              <w:pStyle w:val="58"/>
              <w:spacing w:line="240" w:lineRule="auto"/>
              <w:ind w:firstLine="0" w:firstLineChars="0"/>
              <w:jc w:val="center"/>
              <w:rPr>
                <w:sz w:val="21"/>
                <w:szCs w:val="21"/>
              </w:rPr>
            </w:pPr>
            <w:r>
              <w:rPr>
                <w:sz w:val="21"/>
                <w:szCs w:val="21"/>
              </w:rPr>
              <w:t>38</w:t>
            </w:r>
          </w:p>
        </w:tc>
        <w:tc>
          <w:tcPr>
            <w:tcW w:w="1965" w:type="pct"/>
            <w:vAlign w:val="center"/>
          </w:tcPr>
          <w:p w14:paraId="6962E314">
            <w:pPr>
              <w:pStyle w:val="58"/>
              <w:spacing w:line="240" w:lineRule="auto"/>
              <w:ind w:firstLine="0" w:firstLineChars="0"/>
              <w:jc w:val="center"/>
              <w:rPr>
                <w:sz w:val="21"/>
                <w:szCs w:val="21"/>
              </w:rPr>
            </w:pPr>
            <w:r>
              <w:rPr>
                <w:rFonts w:hint="eastAsia"/>
                <w:sz w:val="21"/>
                <w:szCs w:val="21"/>
              </w:rPr>
              <w:t>苯并</w:t>
            </w:r>
            <w:r>
              <w:rPr>
                <w:sz w:val="21"/>
                <w:szCs w:val="21"/>
              </w:rPr>
              <w:t>[a]</w:t>
            </w:r>
            <w:r>
              <w:rPr>
                <w:rFonts w:hint="eastAsia"/>
                <w:sz w:val="21"/>
                <w:szCs w:val="21"/>
              </w:rPr>
              <w:t>蒽</w:t>
            </w:r>
          </w:p>
        </w:tc>
        <w:tc>
          <w:tcPr>
            <w:tcW w:w="1137" w:type="pct"/>
            <w:vAlign w:val="center"/>
          </w:tcPr>
          <w:p w14:paraId="11AE6F6E">
            <w:pPr>
              <w:pStyle w:val="58"/>
              <w:spacing w:line="240" w:lineRule="auto"/>
              <w:ind w:firstLine="0" w:firstLineChars="0"/>
              <w:jc w:val="center"/>
              <w:rPr>
                <w:sz w:val="21"/>
                <w:szCs w:val="21"/>
              </w:rPr>
            </w:pPr>
            <w:r>
              <w:rPr>
                <w:sz w:val="21"/>
                <w:szCs w:val="21"/>
              </w:rPr>
              <w:t>56-55-3</w:t>
            </w:r>
          </w:p>
        </w:tc>
        <w:tc>
          <w:tcPr>
            <w:tcW w:w="1407" w:type="pct"/>
            <w:vAlign w:val="center"/>
          </w:tcPr>
          <w:p w14:paraId="6BF5776B">
            <w:pPr>
              <w:spacing w:line="240" w:lineRule="auto"/>
              <w:ind w:firstLine="0" w:firstLineChars="0"/>
              <w:jc w:val="center"/>
              <w:rPr>
                <w:sz w:val="21"/>
                <w:szCs w:val="21"/>
              </w:rPr>
            </w:pPr>
            <w:r>
              <w:rPr>
                <w:sz w:val="21"/>
                <w:szCs w:val="21"/>
              </w:rPr>
              <w:t>15</w:t>
            </w:r>
          </w:p>
        </w:tc>
      </w:tr>
      <w:tr w14:paraId="0EAE45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0A05D8F6">
            <w:pPr>
              <w:pStyle w:val="58"/>
              <w:spacing w:line="240" w:lineRule="auto"/>
              <w:ind w:firstLine="0" w:firstLineChars="0"/>
              <w:jc w:val="center"/>
              <w:rPr>
                <w:sz w:val="21"/>
                <w:szCs w:val="21"/>
              </w:rPr>
            </w:pPr>
            <w:r>
              <w:rPr>
                <w:sz w:val="21"/>
                <w:szCs w:val="21"/>
              </w:rPr>
              <w:t>39</w:t>
            </w:r>
          </w:p>
        </w:tc>
        <w:tc>
          <w:tcPr>
            <w:tcW w:w="1965" w:type="pct"/>
            <w:vAlign w:val="center"/>
          </w:tcPr>
          <w:p w14:paraId="1D6119DB">
            <w:pPr>
              <w:pStyle w:val="58"/>
              <w:spacing w:line="240" w:lineRule="auto"/>
              <w:ind w:firstLine="0" w:firstLineChars="0"/>
              <w:jc w:val="center"/>
              <w:rPr>
                <w:sz w:val="21"/>
                <w:szCs w:val="21"/>
              </w:rPr>
            </w:pPr>
            <w:r>
              <w:rPr>
                <w:rFonts w:hint="eastAsia"/>
                <w:sz w:val="21"/>
                <w:szCs w:val="21"/>
              </w:rPr>
              <w:t>苯并</w:t>
            </w:r>
            <w:r>
              <w:rPr>
                <w:sz w:val="21"/>
                <w:szCs w:val="21"/>
              </w:rPr>
              <w:t>[a]</w:t>
            </w:r>
            <w:r>
              <w:rPr>
                <w:rFonts w:hint="eastAsia"/>
                <w:sz w:val="21"/>
                <w:szCs w:val="21"/>
              </w:rPr>
              <w:t>芘</w:t>
            </w:r>
          </w:p>
        </w:tc>
        <w:tc>
          <w:tcPr>
            <w:tcW w:w="1137" w:type="pct"/>
            <w:vAlign w:val="center"/>
          </w:tcPr>
          <w:p w14:paraId="31299AC9">
            <w:pPr>
              <w:pStyle w:val="58"/>
              <w:spacing w:line="240" w:lineRule="auto"/>
              <w:ind w:firstLine="0" w:firstLineChars="0"/>
              <w:jc w:val="center"/>
              <w:rPr>
                <w:sz w:val="21"/>
                <w:szCs w:val="21"/>
              </w:rPr>
            </w:pPr>
            <w:r>
              <w:rPr>
                <w:sz w:val="21"/>
                <w:szCs w:val="21"/>
              </w:rPr>
              <w:t>50-32-8</w:t>
            </w:r>
          </w:p>
        </w:tc>
        <w:tc>
          <w:tcPr>
            <w:tcW w:w="1407" w:type="pct"/>
            <w:vAlign w:val="center"/>
          </w:tcPr>
          <w:p w14:paraId="2423DBA6">
            <w:pPr>
              <w:spacing w:line="240" w:lineRule="auto"/>
              <w:ind w:firstLine="0" w:firstLineChars="0"/>
              <w:jc w:val="center"/>
              <w:rPr>
                <w:sz w:val="21"/>
                <w:szCs w:val="21"/>
              </w:rPr>
            </w:pPr>
            <w:r>
              <w:rPr>
                <w:sz w:val="21"/>
                <w:szCs w:val="21"/>
              </w:rPr>
              <w:t>1.5</w:t>
            </w:r>
          </w:p>
        </w:tc>
      </w:tr>
      <w:tr w14:paraId="1CFF58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4EBA67CE">
            <w:pPr>
              <w:pStyle w:val="58"/>
              <w:spacing w:line="240" w:lineRule="auto"/>
              <w:ind w:firstLine="0" w:firstLineChars="0"/>
              <w:jc w:val="center"/>
              <w:rPr>
                <w:sz w:val="21"/>
                <w:szCs w:val="21"/>
              </w:rPr>
            </w:pPr>
            <w:r>
              <w:rPr>
                <w:sz w:val="21"/>
                <w:szCs w:val="21"/>
              </w:rPr>
              <w:t>40</w:t>
            </w:r>
          </w:p>
        </w:tc>
        <w:tc>
          <w:tcPr>
            <w:tcW w:w="1965" w:type="pct"/>
            <w:vAlign w:val="center"/>
          </w:tcPr>
          <w:p w14:paraId="602D18BC">
            <w:pPr>
              <w:pStyle w:val="58"/>
              <w:spacing w:line="240" w:lineRule="auto"/>
              <w:ind w:firstLine="0" w:firstLineChars="0"/>
              <w:jc w:val="center"/>
              <w:rPr>
                <w:sz w:val="21"/>
                <w:szCs w:val="21"/>
              </w:rPr>
            </w:pPr>
            <w:r>
              <w:rPr>
                <w:rFonts w:hint="eastAsia"/>
                <w:sz w:val="21"/>
                <w:szCs w:val="21"/>
              </w:rPr>
              <w:t>苯并</w:t>
            </w:r>
            <w:r>
              <w:rPr>
                <w:sz w:val="21"/>
                <w:szCs w:val="21"/>
              </w:rPr>
              <w:t>[b]</w:t>
            </w:r>
            <w:r>
              <w:rPr>
                <w:rFonts w:hint="eastAsia"/>
                <w:sz w:val="21"/>
                <w:szCs w:val="21"/>
              </w:rPr>
              <w:t>荧蒽</w:t>
            </w:r>
          </w:p>
        </w:tc>
        <w:tc>
          <w:tcPr>
            <w:tcW w:w="1137" w:type="pct"/>
            <w:vAlign w:val="center"/>
          </w:tcPr>
          <w:p w14:paraId="3D1AC867">
            <w:pPr>
              <w:pStyle w:val="58"/>
              <w:spacing w:line="240" w:lineRule="auto"/>
              <w:ind w:firstLine="0" w:firstLineChars="0"/>
              <w:jc w:val="center"/>
              <w:rPr>
                <w:sz w:val="21"/>
                <w:szCs w:val="21"/>
              </w:rPr>
            </w:pPr>
            <w:r>
              <w:rPr>
                <w:sz w:val="21"/>
                <w:szCs w:val="21"/>
              </w:rPr>
              <w:t>205-99-2</w:t>
            </w:r>
          </w:p>
        </w:tc>
        <w:tc>
          <w:tcPr>
            <w:tcW w:w="1407" w:type="pct"/>
            <w:vAlign w:val="center"/>
          </w:tcPr>
          <w:p w14:paraId="4786E4AB">
            <w:pPr>
              <w:spacing w:line="240" w:lineRule="auto"/>
              <w:ind w:firstLine="0" w:firstLineChars="0"/>
              <w:jc w:val="center"/>
              <w:rPr>
                <w:sz w:val="21"/>
                <w:szCs w:val="21"/>
              </w:rPr>
            </w:pPr>
            <w:r>
              <w:rPr>
                <w:sz w:val="21"/>
                <w:szCs w:val="21"/>
              </w:rPr>
              <w:t>15</w:t>
            </w:r>
          </w:p>
        </w:tc>
      </w:tr>
      <w:tr w14:paraId="75B4FD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0AEE3611">
            <w:pPr>
              <w:pStyle w:val="58"/>
              <w:spacing w:line="240" w:lineRule="auto"/>
              <w:ind w:firstLine="0" w:firstLineChars="0"/>
              <w:jc w:val="center"/>
              <w:rPr>
                <w:sz w:val="21"/>
                <w:szCs w:val="21"/>
              </w:rPr>
            </w:pPr>
            <w:r>
              <w:rPr>
                <w:sz w:val="21"/>
                <w:szCs w:val="21"/>
              </w:rPr>
              <w:t>41</w:t>
            </w:r>
          </w:p>
        </w:tc>
        <w:tc>
          <w:tcPr>
            <w:tcW w:w="1965" w:type="pct"/>
            <w:vAlign w:val="center"/>
          </w:tcPr>
          <w:p w14:paraId="6F9CDFD2">
            <w:pPr>
              <w:pStyle w:val="58"/>
              <w:spacing w:line="240" w:lineRule="auto"/>
              <w:ind w:firstLine="0" w:firstLineChars="0"/>
              <w:jc w:val="center"/>
              <w:rPr>
                <w:sz w:val="21"/>
                <w:szCs w:val="21"/>
              </w:rPr>
            </w:pPr>
            <w:r>
              <w:rPr>
                <w:rFonts w:hint="eastAsia"/>
                <w:sz w:val="21"/>
                <w:szCs w:val="21"/>
              </w:rPr>
              <w:t>苯并</w:t>
            </w:r>
            <w:r>
              <w:rPr>
                <w:sz w:val="21"/>
                <w:szCs w:val="21"/>
              </w:rPr>
              <w:t>[k]</w:t>
            </w:r>
            <w:r>
              <w:rPr>
                <w:rFonts w:hint="eastAsia"/>
                <w:sz w:val="21"/>
                <w:szCs w:val="21"/>
              </w:rPr>
              <w:t>荧蒽</w:t>
            </w:r>
          </w:p>
        </w:tc>
        <w:tc>
          <w:tcPr>
            <w:tcW w:w="1137" w:type="pct"/>
            <w:vAlign w:val="center"/>
          </w:tcPr>
          <w:p w14:paraId="70437D96">
            <w:pPr>
              <w:pStyle w:val="58"/>
              <w:spacing w:line="240" w:lineRule="auto"/>
              <w:ind w:firstLine="0" w:firstLineChars="0"/>
              <w:jc w:val="center"/>
              <w:rPr>
                <w:sz w:val="21"/>
                <w:szCs w:val="21"/>
              </w:rPr>
            </w:pPr>
            <w:r>
              <w:rPr>
                <w:sz w:val="21"/>
                <w:szCs w:val="21"/>
              </w:rPr>
              <w:t>207-08-9</w:t>
            </w:r>
          </w:p>
        </w:tc>
        <w:tc>
          <w:tcPr>
            <w:tcW w:w="1407" w:type="pct"/>
            <w:vAlign w:val="center"/>
          </w:tcPr>
          <w:p w14:paraId="6835DEE6">
            <w:pPr>
              <w:spacing w:line="240" w:lineRule="auto"/>
              <w:ind w:firstLine="0" w:firstLineChars="0"/>
              <w:jc w:val="center"/>
              <w:rPr>
                <w:sz w:val="21"/>
                <w:szCs w:val="21"/>
              </w:rPr>
            </w:pPr>
            <w:r>
              <w:rPr>
                <w:sz w:val="21"/>
                <w:szCs w:val="21"/>
              </w:rPr>
              <w:t>151</w:t>
            </w:r>
          </w:p>
        </w:tc>
      </w:tr>
      <w:tr w14:paraId="4F5FBE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3B752480">
            <w:pPr>
              <w:pStyle w:val="58"/>
              <w:spacing w:line="240" w:lineRule="auto"/>
              <w:ind w:firstLine="0" w:firstLineChars="0"/>
              <w:jc w:val="center"/>
              <w:rPr>
                <w:sz w:val="21"/>
                <w:szCs w:val="21"/>
              </w:rPr>
            </w:pPr>
            <w:r>
              <w:rPr>
                <w:sz w:val="21"/>
                <w:szCs w:val="21"/>
              </w:rPr>
              <w:t>42</w:t>
            </w:r>
          </w:p>
        </w:tc>
        <w:tc>
          <w:tcPr>
            <w:tcW w:w="1965" w:type="pct"/>
            <w:vAlign w:val="center"/>
          </w:tcPr>
          <w:p w14:paraId="18061B25">
            <w:pPr>
              <w:pStyle w:val="58"/>
              <w:spacing w:line="240" w:lineRule="auto"/>
              <w:ind w:firstLine="0" w:firstLineChars="0"/>
              <w:jc w:val="center"/>
              <w:rPr>
                <w:sz w:val="21"/>
                <w:szCs w:val="21"/>
              </w:rPr>
            </w:pPr>
            <w:r>
              <w:rPr>
                <w:rFonts w:hint="eastAsia"/>
                <w:sz w:val="21"/>
                <w:szCs w:val="21"/>
              </w:rPr>
              <w:t>䓛</w:t>
            </w:r>
          </w:p>
        </w:tc>
        <w:tc>
          <w:tcPr>
            <w:tcW w:w="1137" w:type="pct"/>
            <w:vAlign w:val="center"/>
          </w:tcPr>
          <w:p w14:paraId="3D4C0959">
            <w:pPr>
              <w:pStyle w:val="58"/>
              <w:spacing w:line="240" w:lineRule="auto"/>
              <w:ind w:firstLine="0" w:firstLineChars="0"/>
              <w:jc w:val="center"/>
              <w:rPr>
                <w:sz w:val="21"/>
                <w:szCs w:val="21"/>
              </w:rPr>
            </w:pPr>
            <w:r>
              <w:rPr>
                <w:sz w:val="21"/>
                <w:szCs w:val="21"/>
              </w:rPr>
              <w:t>218-01-9</w:t>
            </w:r>
          </w:p>
        </w:tc>
        <w:tc>
          <w:tcPr>
            <w:tcW w:w="1407" w:type="pct"/>
            <w:vAlign w:val="center"/>
          </w:tcPr>
          <w:p w14:paraId="290F69EF">
            <w:pPr>
              <w:spacing w:line="240" w:lineRule="auto"/>
              <w:ind w:firstLine="0" w:firstLineChars="0"/>
              <w:jc w:val="center"/>
              <w:rPr>
                <w:sz w:val="21"/>
                <w:szCs w:val="21"/>
              </w:rPr>
            </w:pPr>
            <w:r>
              <w:rPr>
                <w:sz w:val="21"/>
                <w:szCs w:val="21"/>
              </w:rPr>
              <w:t>1293</w:t>
            </w:r>
          </w:p>
        </w:tc>
      </w:tr>
      <w:tr w14:paraId="0F3F82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270AFCD3">
            <w:pPr>
              <w:pStyle w:val="58"/>
              <w:spacing w:line="240" w:lineRule="auto"/>
              <w:ind w:firstLine="0" w:firstLineChars="0"/>
              <w:jc w:val="center"/>
              <w:rPr>
                <w:sz w:val="21"/>
                <w:szCs w:val="21"/>
              </w:rPr>
            </w:pPr>
            <w:r>
              <w:rPr>
                <w:sz w:val="21"/>
                <w:szCs w:val="21"/>
              </w:rPr>
              <w:t>43</w:t>
            </w:r>
          </w:p>
        </w:tc>
        <w:tc>
          <w:tcPr>
            <w:tcW w:w="1965" w:type="pct"/>
            <w:vAlign w:val="center"/>
          </w:tcPr>
          <w:p w14:paraId="6B91E70B">
            <w:pPr>
              <w:pStyle w:val="58"/>
              <w:spacing w:line="240" w:lineRule="auto"/>
              <w:ind w:firstLine="0" w:firstLineChars="0"/>
              <w:jc w:val="center"/>
              <w:rPr>
                <w:sz w:val="21"/>
                <w:szCs w:val="21"/>
              </w:rPr>
            </w:pPr>
            <w:r>
              <w:rPr>
                <w:rFonts w:hint="eastAsia"/>
                <w:sz w:val="21"/>
                <w:szCs w:val="21"/>
              </w:rPr>
              <w:t>二苯并</w:t>
            </w:r>
            <w:r>
              <w:rPr>
                <w:sz w:val="21"/>
                <w:szCs w:val="21"/>
              </w:rPr>
              <w:t>[a</w:t>
            </w:r>
            <w:r>
              <w:rPr>
                <w:rFonts w:hint="eastAsia"/>
                <w:sz w:val="21"/>
                <w:szCs w:val="21"/>
              </w:rPr>
              <w:t>，</w:t>
            </w:r>
            <w:r>
              <w:rPr>
                <w:sz w:val="21"/>
                <w:szCs w:val="21"/>
              </w:rPr>
              <w:t>h]</w:t>
            </w:r>
            <w:r>
              <w:rPr>
                <w:rFonts w:hint="eastAsia"/>
                <w:sz w:val="21"/>
                <w:szCs w:val="21"/>
              </w:rPr>
              <w:t>蒽</w:t>
            </w:r>
          </w:p>
        </w:tc>
        <w:tc>
          <w:tcPr>
            <w:tcW w:w="1137" w:type="pct"/>
            <w:vAlign w:val="center"/>
          </w:tcPr>
          <w:p w14:paraId="57597A45">
            <w:pPr>
              <w:pStyle w:val="58"/>
              <w:spacing w:line="240" w:lineRule="auto"/>
              <w:ind w:firstLine="0" w:firstLineChars="0"/>
              <w:jc w:val="center"/>
              <w:rPr>
                <w:sz w:val="21"/>
                <w:szCs w:val="21"/>
              </w:rPr>
            </w:pPr>
            <w:r>
              <w:rPr>
                <w:sz w:val="21"/>
                <w:szCs w:val="21"/>
              </w:rPr>
              <w:t>53-70-3</w:t>
            </w:r>
          </w:p>
        </w:tc>
        <w:tc>
          <w:tcPr>
            <w:tcW w:w="1407" w:type="pct"/>
            <w:vAlign w:val="center"/>
          </w:tcPr>
          <w:p w14:paraId="1EB48ADA">
            <w:pPr>
              <w:spacing w:line="240" w:lineRule="auto"/>
              <w:ind w:firstLine="0" w:firstLineChars="0"/>
              <w:jc w:val="center"/>
              <w:rPr>
                <w:sz w:val="21"/>
                <w:szCs w:val="21"/>
              </w:rPr>
            </w:pPr>
            <w:r>
              <w:rPr>
                <w:sz w:val="21"/>
                <w:szCs w:val="21"/>
              </w:rPr>
              <w:t>1.5</w:t>
            </w:r>
          </w:p>
        </w:tc>
      </w:tr>
      <w:tr w14:paraId="2EEFE1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12747572">
            <w:pPr>
              <w:pStyle w:val="58"/>
              <w:spacing w:line="240" w:lineRule="auto"/>
              <w:ind w:firstLine="0" w:firstLineChars="0"/>
              <w:jc w:val="center"/>
              <w:rPr>
                <w:sz w:val="21"/>
                <w:szCs w:val="21"/>
              </w:rPr>
            </w:pPr>
            <w:r>
              <w:rPr>
                <w:sz w:val="21"/>
                <w:szCs w:val="21"/>
              </w:rPr>
              <w:t>44</w:t>
            </w:r>
          </w:p>
        </w:tc>
        <w:tc>
          <w:tcPr>
            <w:tcW w:w="1965" w:type="pct"/>
            <w:vAlign w:val="center"/>
          </w:tcPr>
          <w:p w14:paraId="18CA3FA1">
            <w:pPr>
              <w:pStyle w:val="58"/>
              <w:spacing w:line="240" w:lineRule="auto"/>
              <w:ind w:firstLine="0" w:firstLineChars="0"/>
              <w:jc w:val="center"/>
              <w:rPr>
                <w:sz w:val="21"/>
                <w:szCs w:val="21"/>
              </w:rPr>
            </w:pPr>
            <w:r>
              <w:rPr>
                <w:rFonts w:hint="eastAsia"/>
                <w:sz w:val="21"/>
                <w:szCs w:val="21"/>
              </w:rPr>
              <w:t>茚并</w:t>
            </w:r>
            <w:r>
              <w:rPr>
                <w:sz w:val="21"/>
                <w:szCs w:val="21"/>
              </w:rPr>
              <w:t>[1,2,3-cd]</w:t>
            </w:r>
            <w:r>
              <w:rPr>
                <w:rFonts w:hint="eastAsia"/>
                <w:sz w:val="21"/>
                <w:szCs w:val="21"/>
              </w:rPr>
              <w:t>芘</w:t>
            </w:r>
          </w:p>
        </w:tc>
        <w:tc>
          <w:tcPr>
            <w:tcW w:w="1137" w:type="pct"/>
            <w:vAlign w:val="center"/>
          </w:tcPr>
          <w:p w14:paraId="21F7B338">
            <w:pPr>
              <w:pStyle w:val="58"/>
              <w:spacing w:line="240" w:lineRule="auto"/>
              <w:ind w:firstLine="0" w:firstLineChars="0"/>
              <w:jc w:val="center"/>
              <w:rPr>
                <w:sz w:val="21"/>
                <w:szCs w:val="21"/>
              </w:rPr>
            </w:pPr>
            <w:r>
              <w:rPr>
                <w:sz w:val="21"/>
                <w:szCs w:val="21"/>
              </w:rPr>
              <w:t>193-39-5</w:t>
            </w:r>
          </w:p>
        </w:tc>
        <w:tc>
          <w:tcPr>
            <w:tcW w:w="1407" w:type="pct"/>
            <w:vAlign w:val="center"/>
          </w:tcPr>
          <w:p w14:paraId="36A339DF">
            <w:pPr>
              <w:spacing w:line="240" w:lineRule="auto"/>
              <w:ind w:firstLine="0" w:firstLineChars="0"/>
              <w:jc w:val="center"/>
              <w:rPr>
                <w:sz w:val="21"/>
                <w:szCs w:val="21"/>
              </w:rPr>
            </w:pPr>
            <w:r>
              <w:rPr>
                <w:sz w:val="21"/>
                <w:szCs w:val="21"/>
              </w:rPr>
              <w:t>15</w:t>
            </w:r>
          </w:p>
        </w:tc>
      </w:tr>
      <w:tr w14:paraId="7628A2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91" w:type="pct"/>
            <w:vAlign w:val="center"/>
          </w:tcPr>
          <w:p w14:paraId="43A21C49">
            <w:pPr>
              <w:pStyle w:val="58"/>
              <w:spacing w:line="240" w:lineRule="auto"/>
              <w:ind w:firstLine="0" w:firstLineChars="0"/>
              <w:jc w:val="center"/>
              <w:rPr>
                <w:sz w:val="21"/>
                <w:szCs w:val="21"/>
              </w:rPr>
            </w:pPr>
            <w:r>
              <w:rPr>
                <w:sz w:val="21"/>
                <w:szCs w:val="21"/>
              </w:rPr>
              <w:t>45</w:t>
            </w:r>
          </w:p>
        </w:tc>
        <w:tc>
          <w:tcPr>
            <w:tcW w:w="1965" w:type="pct"/>
            <w:vAlign w:val="center"/>
          </w:tcPr>
          <w:p w14:paraId="3D23FEE7">
            <w:pPr>
              <w:pStyle w:val="58"/>
              <w:spacing w:line="240" w:lineRule="auto"/>
              <w:ind w:firstLine="0" w:firstLineChars="0"/>
              <w:jc w:val="center"/>
              <w:rPr>
                <w:sz w:val="21"/>
                <w:szCs w:val="21"/>
              </w:rPr>
            </w:pPr>
            <w:r>
              <w:rPr>
                <w:rFonts w:hint="eastAsia"/>
                <w:sz w:val="21"/>
                <w:szCs w:val="21"/>
              </w:rPr>
              <w:t>萘</w:t>
            </w:r>
          </w:p>
        </w:tc>
        <w:tc>
          <w:tcPr>
            <w:tcW w:w="1137" w:type="pct"/>
            <w:vAlign w:val="center"/>
          </w:tcPr>
          <w:p w14:paraId="28F6AA5A">
            <w:pPr>
              <w:pStyle w:val="58"/>
              <w:spacing w:line="240" w:lineRule="auto"/>
              <w:ind w:firstLine="0" w:firstLineChars="0"/>
              <w:jc w:val="center"/>
              <w:rPr>
                <w:sz w:val="21"/>
                <w:szCs w:val="21"/>
              </w:rPr>
            </w:pPr>
            <w:r>
              <w:rPr>
                <w:sz w:val="21"/>
                <w:szCs w:val="21"/>
              </w:rPr>
              <w:t>91-20-3</w:t>
            </w:r>
          </w:p>
        </w:tc>
        <w:tc>
          <w:tcPr>
            <w:tcW w:w="1407" w:type="pct"/>
            <w:vAlign w:val="center"/>
          </w:tcPr>
          <w:p w14:paraId="19F20EA5">
            <w:pPr>
              <w:spacing w:line="240" w:lineRule="auto"/>
              <w:ind w:firstLine="0" w:firstLineChars="0"/>
              <w:jc w:val="center"/>
              <w:rPr>
                <w:sz w:val="21"/>
                <w:szCs w:val="21"/>
              </w:rPr>
            </w:pPr>
            <w:r>
              <w:rPr>
                <w:sz w:val="21"/>
                <w:szCs w:val="21"/>
              </w:rPr>
              <w:t>70</w:t>
            </w:r>
          </w:p>
        </w:tc>
      </w:tr>
    </w:tbl>
    <w:p w14:paraId="7FBDB79C">
      <w:pPr>
        <w:pStyle w:val="4"/>
      </w:pPr>
      <w:r>
        <w:rPr>
          <w:rFonts w:hint="eastAsia"/>
        </w:rPr>
        <w:t>1.4.2</w:t>
      </w:r>
      <w:r>
        <w:t xml:space="preserve"> </w:t>
      </w:r>
      <w:r>
        <w:rPr>
          <w:rFonts w:hint="eastAsia"/>
        </w:rPr>
        <w:t>污染物排放标准</w:t>
      </w:r>
    </w:p>
    <w:p w14:paraId="40424E51">
      <w:pPr>
        <w:ind w:firstLine="482"/>
        <w:rPr>
          <w:b/>
          <w:bCs/>
        </w:rPr>
      </w:pPr>
      <w:r>
        <w:rPr>
          <w:rFonts w:hint="eastAsia"/>
          <w:b/>
          <w:bCs/>
        </w:rPr>
        <w:t>（1）废气</w:t>
      </w:r>
    </w:p>
    <w:p w14:paraId="6228BB0F">
      <w:pPr>
        <w:ind w:firstLine="480"/>
      </w:pPr>
      <w:r>
        <w:rPr>
          <w:rFonts w:hint="eastAsia"/>
        </w:rPr>
        <w:t>后评价阶段与环评及验收阶段相比，废气污染物排放执行标准发生了变化。环评及验收阶段颗粒物排放执行《铁矿采选工业污染物排放标准》（GB28661-2012）表5新建企业大气污染物排放浓度限值和表7现有和新建企业大气污染物无组织排放浓度限值，</w:t>
      </w:r>
      <w:r>
        <w:rPr>
          <w:rFonts w:cs="Times New Roman"/>
          <w:snapToGrid w:val="0"/>
          <w:kern w:val="0"/>
          <w:szCs w:val="24"/>
        </w:rPr>
        <w:t>锅炉烟气执行《锅炉大气污染物排放标准》(GB13271</w:t>
      </w:r>
      <w:r>
        <w:rPr>
          <w:rFonts w:hint="eastAsia" w:cs="Times New Roman"/>
          <w:snapToGrid w:val="0"/>
          <w:kern w:val="0"/>
          <w:szCs w:val="24"/>
        </w:rPr>
        <w:t>-</w:t>
      </w:r>
      <w:r>
        <w:rPr>
          <w:rFonts w:cs="Times New Roman"/>
          <w:snapToGrid w:val="0"/>
          <w:kern w:val="0"/>
          <w:szCs w:val="24"/>
        </w:rPr>
        <w:t>2001)中</w:t>
      </w:r>
      <w:r>
        <w:rPr>
          <w:rFonts w:hint="eastAsia" w:cs="Times New Roman"/>
          <w:snapToGrid w:val="0"/>
          <w:kern w:val="0"/>
          <w:szCs w:val="24"/>
        </w:rPr>
        <w:t>表3的燃气锅炉特别排放限值</w:t>
      </w:r>
      <w:r>
        <w:rPr>
          <w:rFonts w:hint="eastAsia"/>
        </w:rPr>
        <w:t>。</w:t>
      </w:r>
    </w:p>
    <w:p w14:paraId="3FFFA4AA">
      <w:pPr>
        <w:ind w:firstLine="480"/>
      </w:pPr>
      <w:r>
        <w:rPr>
          <w:rFonts w:hint="eastAsia"/>
          <w:lang w:val="zh-CN"/>
        </w:rPr>
        <w:t>根据《国务院关于印发打赢蓝天保卫战三年行动计划的通知》（国发［2018］22号）：“推进重点行业污染治理升级改造。重点区域二氧化硫、氮氧化物、颗粒物、挥发性有机物（VOC</w:t>
      </w:r>
      <w:r>
        <w:rPr>
          <w:rFonts w:hint="eastAsia"/>
          <w:vertAlign w:val="subscript"/>
          <w:lang w:val="zh-CN"/>
        </w:rPr>
        <w:t>s</w:t>
      </w:r>
      <w:r>
        <w:rPr>
          <w:rFonts w:hint="eastAsia"/>
          <w:lang w:val="zh-CN"/>
        </w:rPr>
        <w:t>）全面执行大气污染物特别排放限值”，以及《安徽省生态环境厅关于全面执行大气污染物特别排放限值的通知》（2019年12月24日），开发矿业位于霍邱县境内，属于重点区域范围。因此，</w:t>
      </w:r>
      <w:r>
        <w:rPr>
          <w:rFonts w:hint="eastAsia"/>
        </w:rPr>
        <w:t>后评价阶段颗粒物排放执行《铁矿采选工业污染物排放标准》（GB28661-2012）表6大气污染物特别排放限值和表7现有和新建企业大气污染物无组织排放浓度限值</w:t>
      </w:r>
      <w:r>
        <w:rPr>
          <w:rFonts w:hint="eastAsia" w:cs="Times New Roman"/>
          <w:snapToGrid w:val="0"/>
          <w:kern w:val="0"/>
          <w:szCs w:val="24"/>
        </w:rPr>
        <w:t>。</w:t>
      </w:r>
    </w:p>
    <w:p w14:paraId="7E30E124">
      <w:pPr>
        <w:pStyle w:val="18"/>
        <w:ind w:firstLine="482"/>
        <w:jc w:val="center"/>
        <w:rPr>
          <w:b/>
          <w:bCs/>
          <w:sz w:val="24"/>
          <w:szCs w:val="24"/>
        </w:rPr>
      </w:pPr>
      <w:r>
        <w:rPr>
          <w:rFonts w:hint="eastAsia"/>
          <w:b/>
          <w:bCs/>
          <w:sz w:val="24"/>
          <w:szCs w:val="24"/>
        </w:rPr>
        <w:t>表1.4-9</w:t>
      </w:r>
      <w:r>
        <w:rPr>
          <w:b/>
          <w:bCs/>
          <w:sz w:val="24"/>
          <w:szCs w:val="24"/>
        </w:rPr>
        <w:t xml:space="preserve"> </w:t>
      </w:r>
      <w:r>
        <w:rPr>
          <w:rFonts w:hint="eastAsia"/>
          <w:b/>
          <w:bCs/>
          <w:sz w:val="24"/>
          <w:szCs w:val="24"/>
        </w:rPr>
        <w:t>大气污染物排放标准</w:t>
      </w:r>
    </w:p>
    <w:tbl>
      <w:tblPr>
        <w:tblStyle w:val="33"/>
        <w:tblW w:w="526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5"/>
        <w:gridCol w:w="1040"/>
        <w:gridCol w:w="1261"/>
        <w:gridCol w:w="1646"/>
        <w:gridCol w:w="1255"/>
        <w:gridCol w:w="1356"/>
        <w:gridCol w:w="1559"/>
      </w:tblGrid>
      <w:tr w14:paraId="4E72EA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46" w:type="dxa"/>
            <w:vMerge w:val="restart"/>
            <w:vAlign w:val="center"/>
          </w:tcPr>
          <w:p w14:paraId="399FCE46">
            <w:pPr>
              <w:pStyle w:val="58"/>
              <w:spacing w:line="240" w:lineRule="auto"/>
              <w:ind w:firstLine="0" w:firstLineChars="0"/>
              <w:jc w:val="center"/>
              <w:rPr>
                <w:b/>
                <w:bCs/>
                <w:sz w:val="21"/>
                <w:szCs w:val="21"/>
              </w:rPr>
            </w:pPr>
            <w:r>
              <w:rPr>
                <w:rFonts w:hint="eastAsia"/>
                <w:b/>
                <w:bCs/>
                <w:sz w:val="21"/>
                <w:szCs w:val="21"/>
              </w:rPr>
              <w:t>排放形式</w:t>
            </w:r>
          </w:p>
        </w:tc>
        <w:tc>
          <w:tcPr>
            <w:tcW w:w="1016" w:type="dxa"/>
            <w:vMerge w:val="restart"/>
            <w:vAlign w:val="center"/>
          </w:tcPr>
          <w:p w14:paraId="42B91D9C">
            <w:pPr>
              <w:pStyle w:val="58"/>
              <w:spacing w:line="240" w:lineRule="auto"/>
              <w:ind w:firstLine="0" w:firstLineChars="0"/>
              <w:jc w:val="center"/>
              <w:rPr>
                <w:b/>
                <w:bCs/>
                <w:sz w:val="21"/>
                <w:szCs w:val="21"/>
              </w:rPr>
            </w:pPr>
            <w:r>
              <w:rPr>
                <w:rFonts w:hint="eastAsia"/>
                <w:b/>
                <w:bCs/>
                <w:sz w:val="21"/>
                <w:szCs w:val="21"/>
              </w:rPr>
              <w:t>污染物</w:t>
            </w:r>
          </w:p>
        </w:tc>
        <w:tc>
          <w:tcPr>
            <w:tcW w:w="1232" w:type="dxa"/>
            <w:vMerge w:val="restart"/>
            <w:vAlign w:val="center"/>
          </w:tcPr>
          <w:p w14:paraId="52B1BCC4">
            <w:pPr>
              <w:pStyle w:val="58"/>
              <w:spacing w:line="240" w:lineRule="auto"/>
              <w:ind w:firstLine="0" w:firstLineChars="0"/>
              <w:jc w:val="center"/>
              <w:rPr>
                <w:b/>
                <w:bCs/>
                <w:sz w:val="21"/>
                <w:szCs w:val="21"/>
              </w:rPr>
            </w:pPr>
            <w:r>
              <w:rPr>
                <w:rFonts w:hint="eastAsia"/>
                <w:b/>
                <w:bCs/>
                <w:sz w:val="21"/>
                <w:szCs w:val="21"/>
              </w:rPr>
              <w:t>生产工序或设施</w:t>
            </w:r>
          </w:p>
        </w:tc>
        <w:tc>
          <w:tcPr>
            <w:tcW w:w="1608" w:type="dxa"/>
            <w:vAlign w:val="center"/>
          </w:tcPr>
          <w:p w14:paraId="07A395E8">
            <w:pPr>
              <w:pStyle w:val="58"/>
              <w:spacing w:line="240" w:lineRule="auto"/>
              <w:ind w:firstLine="0" w:firstLineChars="0"/>
              <w:jc w:val="center"/>
              <w:rPr>
                <w:b/>
                <w:bCs/>
                <w:sz w:val="21"/>
                <w:szCs w:val="21"/>
              </w:rPr>
            </w:pPr>
            <w:r>
              <w:rPr>
                <w:rFonts w:hint="eastAsia"/>
                <w:b/>
                <w:bCs/>
                <w:sz w:val="21"/>
                <w:szCs w:val="21"/>
              </w:rPr>
              <w:t>环评及验收阶段</w:t>
            </w:r>
          </w:p>
        </w:tc>
        <w:tc>
          <w:tcPr>
            <w:tcW w:w="1226" w:type="dxa"/>
            <w:vAlign w:val="center"/>
          </w:tcPr>
          <w:p w14:paraId="29BA8B92">
            <w:pPr>
              <w:pStyle w:val="58"/>
              <w:spacing w:line="240" w:lineRule="auto"/>
              <w:ind w:firstLine="0" w:firstLineChars="0"/>
              <w:jc w:val="center"/>
              <w:rPr>
                <w:b/>
                <w:bCs/>
                <w:sz w:val="21"/>
                <w:szCs w:val="21"/>
              </w:rPr>
            </w:pPr>
            <w:r>
              <w:rPr>
                <w:rFonts w:hint="eastAsia"/>
                <w:b/>
                <w:bCs/>
                <w:sz w:val="21"/>
                <w:szCs w:val="21"/>
              </w:rPr>
              <w:t>后评价阶段</w:t>
            </w:r>
          </w:p>
        </w:tc>
        <w:tc>
          <w:tcPr>
            <w:tcW w:w="1325" w:type="dxa"/>
            <w:vMerge w:val="restart"/>
            <w:vAlign w:val="center"/>
          </w:tcPr>
          <w:p w14:paraId="187CF6AE">
            <w:pPr>
              <w:pStyle w:val="58"/>
              <w:spacing w:line="240" w:lineRule="auto"/>
              <w:ind w:firstLine="0" w:firstLineChars="0"/>
              <w:jc w:val="center"/>
              <w:rPr>
                <w:b/>
                <w:bCs/>
                <w:sz w:val="21"/>
                <w:szCs w:val="21"/>
              </w:rPr>
            </w:pPr>
            <w:r>
              <w:rPr>
                <w:rFonts w:hint="eastAsia"/>
                <w:b/>
                <w:bCs/>
                <w:sz w:val="21"/>
                <w:szCs w:val="21"/>
              </w:rPr>
              <w:t>污染物排放监控位置</w:t>
            </w:r>
          </w:p>
        </w:tc>
        <w:tc>
          <w:tcPr>
            <w:tcW w:w="1501" w:type="dxa"/>
            <w:vMerge w:val="restart"/>
            <w:vAlign w:val="center"/>
          </w:tcPr>
          <w:p w14:paraId="748932E8">
            <w:pPr>
              <w:pStyle w:val="58"/>
              <w:spacing w:line="240" w:lineRule="auto"/>
              <w:ind w:firstLine="0" w:firstLineChars="0"/>
              <w:jc w:val="center"/>
              <w:rPr>
                <w:b/>
                <w:bCs/>
                <w:sz w:val="21"/>
                <w:szCs w:val="21"/>
              </w:rPr>
            </w:pPr>
            <w:r>
              <w:rPr>
                <w:rFonts w:hint="eastAsia"/>
                <w:b/>
                <w:bCs/>
                <w:sz w:val="21"/>
                <w:szCs w:val="21"/>
              </w:rPr>
              <w:t>标准来源</w:t>
            </w:r>
          </w:p>
        </w:tc>
      </w:tr>
      <w:tr w14:paraId="00BC47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46" w:type="dxa"/>
            <w:vMerge w:val="continue"/>
            <w:vAlign w:val="center"/>
          </w:tcPr>
          <w:p w14:paraId="2998A3C7">
            <w:pPr>
              <w:pStyle w:val="58"/>
              <w:spacing w:line="240" w:lineRule="auto"/>
              <w:ind w:firstLine="0" w:firstLineChars="0"/>
              <w:jc w:val="center"/>
              <w:rPr>
                <w:b/>
                <w:bCs/>
                <w:sz w:val="21"/>
                <w:szCs w:val="21"/>
              </w:rPr>
            </w:pPr>
          </w:p>
        </w:tc>
        <w:tc>
          <w:tcPr>
            <w:tcW w:w="1016" w:type="dxa"/>
            <w:vMerge w:val="continue"/>
            <w:vAlign w:val="center"/>
          </w:tcPr>
          <w:p w14:paraId="5FCFE202">
            <w:pPr>
              <w:pStyle w:val="58"/>
              <w:spacing w:line="240" w:lineRule="auto"/>
              <w:ind w:firstLine="0" w:firstLineChars="0"/>
              <w:jc w:val="center"/>
              <w:rPr>
                <w:b/>
                <w:bCs/>
                <w:sz w:val="21"/>
                <w:szCs w:val="21"/>
              </w:rPr>
            </w:pPr>
          </w:p>
        </w:tc>
        <w:tc>
          <w:tcPr>
            <w:tcW w:w="1232" w:type="dxa"/>
            <w:vMerge w:val="continue"/>
            <w:vAlign w:val="center"/>
          </w:tcPr>
          <w:p w14:paraId="451E42F7">
            <w:pPr>
              <w:pStyle w:val="58"/>
              <w:spacing w:line="240" w:lineRule="auto"/>
              <w:ind w:firstLine="0" w:firstLineChars="0"/>
              <w:jc w:val="center"/>
              <w:rPr>
                <w:b/>
                <w:bCs/>
                <w:sz w:val="21"/>
                <w:szCs w:val="21"/>
              </w:rPr>
            </w:pPr>
          </w:p>
        </w:tc>
        <w:tc>
          <w:tcPr>
            <w:tcW w:w="1608" w:type="dxa"/>
            <w:vAlign w:val="center"/>
          </w:tcPr>
          <w:p w14:paraId="34FBC836">
            <w:pPr>
              <w:pStyle w:val="58"/>
              <w:spacing w:line="240" w:lineRule="auto"/>
              <w:ind w:firstLine="0" w:firstLineChars="0"/>
              <w:jc w:val="center"/>
              <w:rPr>
                <w:b/>
                <w:bCs/>
                <w:sz w:val="21"/>
                <w:szCs w:val="21"/>
              </w:rPr>
            </w:pPr>
            <w:r>
              <w:rPr>
                <w:rFonts w:hint="eastAsia"/>
                <w:b/>
                <w:bCs/>
                <w:sz w:val="21"/>
                <w:szCs w:val="21"/>
              </w:rPr>
              <w:t>标准值</w:t>
            </w:r>
          </w:p>
        </w:tc>
        <w:tc>
          <w:tcPr>
            <w:tcW w:w="1226" w:type="dxa"/>
            <w:vAlign w:val="center"/>
          </w:tcPr>
          <w:p w14:paraId="3A3C8839">
            <w:pPr>
              <w:pStyle w:val="58"/>
              <w:spacing w:line="240" w:lineRule="auto"/>
              <w:ind w:firstLine="0" w:firstLineChars="0"/>
              <w:jc w:val="center"/>
              <w:rPr>
                <w:b/>
                <w:bCs/>
                <w:sz w:val="21"/>
                <w:szCs w:val="21"/>
              </w:rPr>
            </w:pPr>
            <w:r>
              <w:rPr>
                <w:rFonts w:hint="eastAsia"/>
                <w:b/>
                <w:bCs/>
                <w:sz w:val="21"/>
                <w:szCs w:val="21"/>
              </w:rPr>
              <w:t>标准值</w:t>
            </w:r>
          </w:p>
        </w:tc>
        <w:tc>
          <w:tcPr>
            <w:tcW w:w="1325" w:type="dxa"/>
            <w:vMerge w:val="continue"/>
            <w:vAlign w:val="center"/>
          </w:tcPr>
          <w:p w14:paraId="43307982">
            <w:pPr>
              <w:pStyle w:val="58"/>
              <w:spacing w:line="240" w:lineRule="auto"/>
              <w:ind w:firstLine="0" w:firstLineChars="0"/>
              <w:jc w:val="center"/>
              <w:rPr>
                <w:b/>
                <w:bCs/>
                <w:sz w:val="21"/>
                <w:szCs w:val="21"/>
              </w:rPr>
            </w:pPr>
          </w:p>
        </w:tc>
        <w:tc>
          <w:tcPr>
            <w:tcW w:w="1501" w:type="dxa"/>
            <w:vMerge w:val="continue"/>
            <w:vAlign w:val="center"/>
          </w:tcPr>
          <w:p w14:paraId="3F42CCEC">
            <w:pPr>
              <w:pStyle w:val="58"/>
              <w:spacing w:line="240" w:lineRule="auto"/>
              <w:ind w:firstLine="0" w:firstLineChars="0"/>
              <w:jc w:val="center"/>
              <w:rPr>
                <w:b/>
                <w:bCs/>
                <w:sz w:val="21"/>
                <w:szCs w:val="21"/>
              </w:rPr>
            </w:pPr>
          </w:p>
        </w:tc>
      </w:tr>
      <w:tr w14:paraId="178D0D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521E9440">
            <w:pPr>
              <w:pStyle w:val="58"/>
              <w:spacing w:line="240" w:lineRule="auto"/>
              <w:ind w:firstLine="0" w:firstLineChars="0"/>
              <w:jc w:val="center"/>
              <w:rPr>
                <w:sz w:val="21"/>
                <w:szCs w:val="21"/>
              </w:rPr>
            </w:pPr>
            <w:r>
              <w:rPr>
                <w:rFonts w:hint="eastAsia"/>
                <w:sz w:val="21"/>
                <w:szCs w:val="21"/>
              </w:rPr>
              <w:t>有组织</w:t>
            </w:r>
          </w:p>
        </w:tc>
        <w:tc>
          <w:tcPr>
            <w:tcW w:w="1016" w:type="dxa"/>
            <w:vAlign w:val="center"/>
          </w:tcPr>
          <w:p w14:paraId="7A2A2B59">
            <w:pPr>
              <w:pStyle w:val="58"/>
              <w:spacing w:line="240" w:lineRule="auto"/>
              <w:ind w:firstLine="0" w:firstLineChars="0"/>
              <w:jc w:val="center"/>
              <w:rPr>
                <w:sz w:val="21"/>
                <w:szCs w:val="21"/>
              </w:rPr>
            </w:pPr>
            <w:r>
              <w:rPr>
                <w:rFonts w:hint="eastAsia"/>
                <w:sz w:val="21"/>
                <w:szCs w:val="21"/>
              </w:rPr>
              <w:t>颗粒物</w:t>
            </w:r>
          </w:p>
        </w:tc>
        <w:tc>
          <w:tcPr>
            <w:tcW w:w="1232" w:type="dxa"/>
            <w:vAlign w:val="center"/>
          </w:tcPr>
          <w:p w14:paraId="3ECDE14E">
            <w:pPr>
              <w:pStyle w:val="58"/>
              <w:spacing w:line="240" w:lineRule="auto"/>
              <w:ind w:firstLine="0" w:firstLineChars="0"/>
              <w:jc w:val="center"/>
              <w:rPr>
                <w:sz w:val="21"/>
                <w:szCs w:val="21"/>
              </w:rPr>
            </w:pPr>
            <w:r>
              <w:rPr>
                <w:rFonts w:hint="eastAsia"/>
                <w:sz w:val="21"/>
                <w:szCs w:val="21"/>
              </w:rPr>
              <w:t>选矿厂的矿石运输、转载、矿仓、破碎、筛分</w:t>
            </w:r>
          </w:p>
        </w:tc>
        <w:tc>
          <w:tcPr>
            <w:tcW w:w="1608" w:type="dxa"/>
            <w:vAlign w:val="center"/>
          </w:tcPr>
          <w:p w14:paraId="7B493D6E">
            <w:pPr>
              <w:pStyle w:val="58"/>
              <w:spacing w:line="240" w:lineRule="auto"/>
              <w:ind w:firstLine="0" w:firstLineChars="0"/>
              <w:jc w:val="center"/>
              <w:rPr>
                <w:sz w:val="21"/>
                <w:szCs w:val="21"/>
              </w:rPr>
            </w:pPr>
            <w:r>
              <w:rPr>
                <w:rFonts w:hint="eastAsia"/>
                <w:sz w:val="21"/>
                <w:szCs w:val="21"/>
              </w:rPr>
              <w:t>20 mg/m³</w:t>
            </w:r>
          </w:p>
        </w:tc>
        <w:tc>
          <w:tcPr>
            <w:tcW w:w="1226" w:type="dxa"/>
            <w:vAlign w:val="center"/>
          </w:tcPr>
          <w:p w14:paraId="43C6ABD5">
            <w:pPr>
              <w:pStyle w:val="58"/>
              <w:spacing w:line="240" w:lineRule="auto"/>
              <w:ind w:firstLine="0" w:firstLineChars="0"/>
              <w:jc w:val="center"/>
              <w:rPr>
                <w:sz w:val="21"/>
                <w:szCs w:val="21"/>
              </w:rPr>
            </w:pPr>
            <w:r>
              <w:rPr>
                <w:rFonts w:hint="eastAsia"/>
                <w:sz w:val="21"/>
                <w:szCs w:val="21"/>
              </w:rPr>
              <w:t>10 mg/m³</w:t>
            </w:r>
          </w:p>
        </w:tc>
        <w:tc>
          <w:tcPr>
            <w:tcW w:w="1325" w:type="dxa"/>
            <w:vAlign w:val="center"/>
          </w:tcPr>
          <w:p w14:paraId="15DE482F">
            <w:pPr>
              <w:pStyle w:val="58"/>
              <w:spacing w:line="240" w:lineRule="auto"/>
              <w:ind w:firstLine="0" w:firstLineChars="0"/>
              <w:jc w:val="center"/>
              <w:rPr>
                <w:sz w:val="21"/>
                <w:szCs w:val="21"/>
              </w:rPr>
            </w:pPr>
            <w:r>
              <w:rPr>
                <w:rFonts w:hint="eastAsia"/>
                <w:sz w:val="21"/>
                <w:szCs w:val="21"/>
              </w:rPr>
              <w:t>车间或生产设施排气筒</w:t>
            </w:r>
          </w:p>
        </w:tc>
        <w:tc>
          <w:tcPr>
            <w:tcW w:w="1501" w:type="dxa"/>
            <w:vMerge w:val="restart"/>
            <w:vAlign w:val="center"/>
          </w:tcPr>
          <w:p w14:paraId="37BAE26C">
            <w:pPr>
              <w:pStyle w:val="58"/>
              <w:spacing w:line="240" w:lineRule="auto"/>
              <w:ind w:firstLine="0" w:firstLineChars="0"/>
              <w:jc w:val="center"/>
              <w:rPr>
                <w:sz w:val="21"/>
                <w:szCs w:val="21"/>
              </w:rPr>
            </w:pPr>
            <w:r>
              <w:rPr>
                <w:rFonts w:hint="eastAsia"/>
                <w:sz w:val="21"/>
                <w:szCs w:val="21"/>
              </w:rPr>
              <w:t>《铁矿采选工业污染物排放标准》GB28661-2012</w:t>
            </w:r>
          </w:p>
        </w:tc>
      </w:tr>
      <w:tr w14:paraId="01E600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193D2778">
            <w:pPr>
              <w:pStyle w:val="58"/>
              <w:spacing w:line="240" w:lineRule="auto"/>
              <w:ind w:firstLine="0" w:firstLineChars="0"/>
              <w:jc w:val="center"/>
              <w:rPr>
                <w:sz w:val="21"/>
                <w:szCs w:val="21"/>
              </w:rPr>
            </w:pPr>
            <w:r>
              <w:rPr>
                <w:rFonts w:hint="eastAsia"/>
                <w:sz w:val="21"/>
                <w:szCs w:val="21"/>
              </w:rPr>
              <w:t>无组织</w:t>
            </w:r>
          </w:p>
        </w:tc>
        <w:tc>
          <w:tcPr>
            <w:tcW w:w="1016" w:type="dxa"/>
            <w:vAlign w:val="center"/>
          </w:tcPr>
          <w:p w14:paraId="5A1FEBD4">
            <w:pPr>
              <w:pStyle w:val="58"/>
              <w:spacing w:line="240" w:lineRule="auto"/>
              <w:ind w:firstLine="0" w:firstLineChars="0"/>
              <w:jc w:val="center"/>
              <w:rPr>
                <w:sz w:val="21"/>
                <w:szCs w:val="21"/>
              </w:rPr>
            </w:pPr>
            <w:r>
              <w:rPr>
                <w:rFonts w:hint="eastAsia"/>
                <w:sz w:val="21"/>
                <w:szCs w:val="21"/>
              </w:rPr>
              <w:t>颗粒物</w:t>
            </w:r>
          </w:p>
        </w:tc>
        <w:tc>
          <w:tcPr>
            <w:tcW w:w="1232" w:type="dxa"/>
            <w:vAlign w:val="center"/>
          </w:tcPr>
          <w:p w14:paraId="15A6F790">
            <w:pPr>
              <w:pStyle w:val="58"/>
              <w:spacing w:line="240" w:lineRule="auto"/>
              <w:ind w:firstLine="0" w:firstLineChars="0"/>
              <w:jc w:val="center"/>
              <w:rPr>
                <w:sz w:val="21"/>
                <w:szCs w:val="21"/>
              </w:rPr>
            </w:pPr>
            <w:r>
              <w:rPr>
                <w:rFonts w:hint="eastAsia"/>
                <w:sz w:val="21"/>
                <w:szCs w:val="21"/>
              </w:rPr>
              <w:t>选矿厂、尾矿库、废石场</w:t>
            </w:r>
          </w:p>
        </w:tc>
        <w:tc>
          <w:tcPr>
            <w:tcW w:w="1608" w:type="dxa"/>
            <w:vAlign w:val="center"/>
          </w:tcPr>
          <w:p w14:paraId="41741718">
            <w:pPr>
              <w:pStyle w:val="58"/>
              <w:spacing w:line="240" w:lineRule="auto"/>
              <w:ind w:firstLine="0" w:firstLineChars="0"/>
              <w:jc w:val="center"/>
              <w:rPr>
                <w:sz w:val="21"/>
                <w:szCs w:val="21"/>
              </w:rPr>
            </w:pPr>
            <w:r>
              <w:rPr>
                <w:rFonts w:hint="eastAsia"/>
                <w:sz w:val="21"/>
                <w:szCs w:val="21"/>
              </w:rPr>
              <w:t>1.0 mg/m³</w:t>
            </w:r>
          </w:p>
        </w:tc>
        <w:tc>
          <w:tcPr>
            <w:tcW w:w="1226" w:type="dxa"/>
            <w:vAlign w:val="center"/>
          </w:tcPr>
          <w:p w14:paraId="1DA6CE02">
            <w:pPr>
              <w:pStyle w:val="58"/>
              <w:spacing w:line="240" w:lineRule="auto"/>
              <w:ind w:firstLine="0" w:firstLineChars="0"/>
              <w:jc w:val="center"/>
              <w:rPr>
                <w:rFonts w:cs="Times New Roman"/>
                <w:sz w:val="21"/>
                <w:szCs w:val="21"/>
              </w:rPr>
            </w:pPr>
            <w:r>
              <w:rPr>
                <w:rFonts w:cs="Times New Roman"/>
                <w:sz w:val="21"/>
                <w:szCs w:val="21"/>
              </w:rPr>
              <w:t>1.0 mg/m³</w:t>
            </w:r>
          </w:p>
        </w:tc>
        <w:tc>
          <w:tcPr>
            <w:tcW w:w="1325" w:type="dxa"/>
            <w:vAlign w:val="center"/>
          </w:tcPr>
          <w:p w14:paraId="60164B09">
            <w:pPr>
              <w:pStyle w:val="58"/>
              <w:spacing w:line="240" w:lineRule="auto"/>
              <w:ind w:firstLine="0" w:firstLineChars="0"/>
              <w:jc w:val="center"/>
              <w:rPr>
                <w:sz w:val="21"/>
                <w:szCs w:val="21"/>
              </w:rPr>
            </w:pPr>
            <w:r>
              <w:rPr>
                <w:rFonts w:hint="eastAsia"/>
                <w:sz w:val="21"/>
                <w:szCs w:val="21"/>
              </w:rPr>
              <w:t>厂界</w:t>
            </w:r>
          </w:p>
        </w:tc>
        <w:tc>
          <w:tcPr>
            <w:tcW w:w="1501" w:type="dxa"/>
            <w:vMerge w:val="continue"/>
            <w:vAlign w:val="center"/>
          </w:tcPr>
          <w:p w14:paraId="2339F7D9">
            <w:pPr>
              <w:pStyle w:val="58"/>
              <w:spacing w:line="240" w:lineRule="auto"/>
              <w:ind w:firstLine="0" w:firstLineChars="0"/>
              <w:jc w:val="center"/>
              <w:rPr>
                <w:sz w:val="21"/>
                <w:szCs w:val="21"/>
              </w:rPr>
            </w:pPr>
          </w:p>
        </w:tc>
      </w:tr>
    </w:tbl>
    <w:p w14:paraId="3544D5B3">
      <w:pPr>
        <w:ind w:firstLine="482"/>
        <w:rPr>
          <w:b/>
          <w:bCs/>
        </w:rPr>
      </w:pPr>
      <w:r>
        <w:rPr>
          <w:rFonts w:hint="eastAsia"/>
          <w:b/>
          <w:bCs/>
        </w:rPr>
        <w:t>（2）废水</w:t>
      </w:r>
    </w:p>
    <w:p w14:paraId="6ABC7735">
      <w:pPr>
        <w:ind w:firstLine="480"/>
        <w:rPr>
          <w:lang w:val="zh-CN"/>
        </w:rPr>
      </w:pPr>
      <w:r>
        <w:rPr>
          <w:lang w:val="zh-CN"/>
        </w:rPr>
        <w:t>后评价阶段生产废水执行《铁矿采选工业污染物排放标准》  （GB28661-2012） 表 2 相关标准，生活污水排放执行《污水综合排放标准》  （GB8978-1996）表 4 一级 标准。生产废水与生活污水均处理后回用，不外排。</w:t>
      </w:r>
    </w:p>
    <w:p w14:paraId="017FB670">
      <w:pPr>
        <w:pStyle w:val="18"/>
        <w:ind w:firstLine="482"/>
        <w:jc w:val="center"/>
        <w:rPr>
          <w:b/>
          <w:bCs/>
          <w:sz w:val="24"/>
          <w:szCs w:val="24"/>
        </w:rPr>
      </w:pPr>
      <w:r>
        <w:rPr>
          <w:b/>
          <w:bCs/>
          <w:sz w:val="24"/>
          <w:szCs w:val="24"/>
        </w:rPr>
        <w:t>表1.</w:t>
      </w:r>
      <w:r>
        <w:rPr>
          <w:rFonts w:hint="eastAsia"/>
          <w:b/>
          <w:bCs/>
          <w:sz w:val="24"/>
          <w:szCs w:val="24"/>
        </w:rPr>
        <w:t>4</w:t>
      </w:r>
      <w:r>
        <w:rPr>
          <w:b/>
          <w:bCs/>
          <w:sz w:val="24"/>
          <w:szCs w:val="24"/>
        </w:rPr>
        <w:t>-</w:t>
      </w:r>
      <w:r>
        <w:rPr>
          <w:rFonts w:hint="eastAsia"/>
          <w:b/>
          <w:bCs/>
          <w:sz w:val="24"/>
          <w:szCs w:val="24"/>
        </w:rPr>
        <w:t>10</w:t>
      </w:r>
      <w:r>
        <w:rPr>
          <w:b/>
          <w:bCs/>
          <w:sz w:val="24"/>
          <w:szCs w:val="24"/>
        </w:rPr>
        <w:t xml:space="preserve">  </w:t>
      </w:r>
      <w:r>
        <w:rPr>
          <w:rFonts w:hint="eastAsia"/>
          <w:b/>
          <w:bCs/>
          <w:sz w:val="24"/>
          <w:szCs w:val="24"/>
        </w:rPr>
        <w:t>生产废</w:t>
      </w:r>
      <w:r>
        <w:rPr>
          <w:b/>
          <w:bCs/>
          <w:sz w:val="24"/>
          <w:szCs w:val="24"/>
        </w:rPr>
        <w:t>水污染物排放标准</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0"/>
        <w:gridCol w:w="1360"/>
        <w:gridCol w:w="1382"/>
        <w:gridCol w:w="1440"/>
        <w:gridCol w:w="1062"/>
        <w:gridCol w:w="1097"/>
        <w:gridCol w:w="1137"/>
      </w:tblGrid>
      <w:tr w14:paraId="4F0F9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restart"/>
            <w:tcBorders>
              <w:left w:val="nil"/>
            </w:tcBorders>
            <w:shd w:val="clear" w:color="auto" w:fill="auto"/>
            <w:vAlign w:val="center"/>
          </w:tcPr>
          <w:p w14:paraId="5C02EB98">
            <w:pPr>
              <w:pStyle w:val="58"/>
              <w:spacing w:line="240" w:lineRule="auto"/>
              <w:ind w:firstLine="0" w:firstLineChars="0"/>
              <w:jc w:val="center"/>
              <w:rPr>
                <w:b/>
                <w:bCs/>
                <w:sz w:val="21"/>
                <w:szCs w:val="21"/>
              </w:rPr>
            </w:pPr>
            <w:r>
              <w:rPr>
                <w:rFonts w:hint="eastAsia"/>
                <w:b/>
                <w:bCs/>
                <w:sz w:val="21"/>
                <w:szCs w:val="21"/>
              </w:rPr>
              <w:t>序号</w:t>
            </w:r>
          </w:p>
        </w:tc>
        <w:tc>
          <w:tcPr>
            <w:tcW w:w="1326" w:type="dxa"/>
            <w:vMerge w:val="restart"/>
            <w:shd w:val="clear" w:color="auto" w:fill="auto"/>
            <w:vAlign w:val="center"/>
          </w:tcPr>
          <w:p w14:paraId="7714FAE2">
            <w:pPr>
              <w:pStyle w:val="58"/>
              <w:spacing w:line="240" w:lineRule="auto"/>
              <w:ind w:firstLine="0" w:firstLineChars="0"/>
              <w:jc w:val="center"/>
              <w:rPr>
                <w:b/>
                <w:bCs/>
                <w:sz w:val="21"/>
                <w:szCs w:val="21"/>
              </w:rPr>
            </w:pPr>
            <w:r>
              <w:rPr>
                <w:rFonts w:hint="eastAsia"/>
                <w:b/>
                <w:bCs/>
                <w:sz w:val="21"/>
                <w:szCs w:val="21"/>
              </w:rPr>
              <w:t>污染物项目</w:t>
            </w:r>
          </w:p>
        </w:tc>
        <w:tc>
          <w:tcPr>
            <w:tcW w:w="2751" w:type="dxa"/>
            <w:gridSpan w:val="2"/>
            <w:shd w:val="clear" w:color="auto" w:fill="auto"/>
            <w:vAlign w:val="center"/>
          </w:tcPr>
          <w:p w14:paraId="7AE9BA0B">
            <w:pPr>
              <w:pStyle w:val="58"/>
              <w:spacing w:line="240" w:lineRule="auto"/>
              <w:ind w:firstLine="0" w:firstLineChars="0"/>
              <w:jc w:val="center"/>
              <w:rPr>
                <w:b/>
                <w:bCs/>
                <w:sz w:val="21"/>
                <w:szCs w:val="21"/>
              </w:rPr>
            </w:pPr>
            <w:r>
              <w:rPr>
                <w:rFonts w:hint="eastAsia"/>
                <w:b/>
                <w:bCs/>
                <w:sz w:val="21"/>
                <w:szCs w:val="21"/>
              </w:rPr>
              <w:t>排放标准限值</w:t>
            </w:r>
          </w:p>
        </w:tc>
        <w:tc>
          <w:tcPr>
            <w:tcW w:w="1035" w:type="dxa"/>
            <w:vMerge w:val="restart"/>
            <w:vAlign w:val="center"/>
          </w:tcPr>
          <w:p w14:paraId="73932144">
            <w:pPr>
              <w:pStyle w:val="58"/>
              <w:spacing w:line="240" w:lineRule="auto"/>
              <w:ind w:firstLine="0" w:firstLineChars="0"/>
              <w:jc w:val="center"/>
              <w:rPr>
                <w:b/>
                <w:bCs/>
                <w:sz w:val="21"/>
                <w:szCs w:val="21"/>
              </w:rPr>
            </w:pPr>
            <w:r>
              <w:rPr>
                <w:rFonts w:hint="eastAsia"/>
                <w:b/>
                <w:bCs/>
                <w:sz w:val="21"/>
                <w:szCs w:val="21"/>
              </w:rPr>
              <w:t>间接排放</w:t>
            </w:r>
          </w:p>
        </w:tc>
        <w:tc>
          <w:tcPr>
            <w:tcW w:w="1069" w:type="dxa"/>
            <w:vMerge w:val="restart"/>
            <w:vAlign w:val="center"/>
          </w:tcPr>
          <w:p w14:paraId="6E7035D8">
            <w:pPr>
              <w:pStyle w:val="58"/>
              <w:spacing w:line="240" w:lineRule="auto"/>
              <w:ind w:firstLine="0" w:firstLineChars="0"/>
              <w:jc w:val="center"/>
              <w:rPr>
                <w:b/>
                <w:bCs/>
                <w:sz w:val="21"/>
                <w:szCs w:val="21"/>
              </w:rPr>
            </w:pPr>
            <w:r>
              <w:rPr>
                <w:rFonts w:hint="eastAsia"/>
                <w:b/>
                <w:bCs/>
                <w:sz w:val="21"/>
                <w:szCs w:val="21"/>
              </w:rPr>
              <w:t>单位</w:t>
            </w:r>
          </w:p>
        </w:tc>
        <w:tc>
          <w:tcPr>
            <w:tcW w:w="1108" w:type="dxa"/>
            <w:vMerge w:val="restart"/>
            <w:tcBorders>
              <w:right w:val="nil"/>
            </w:tcBorders>
            <w:shd w:val="clear" w:color="auto" w:fill="auto"/>
            <w:vAlign w:val="center"/>
          </w:tcPr>
          <w:p w14:paraId="61CEA151">
            <w:pPr>
              <w:pStyle w:val="58"/>
              <w:spacing w:line="240" w:lineRule="auto"/>
              <w:ind w:firstLine="0" w:firstLineChars="0"/>
              <w:jc w:val="center"/>
              <w:rPr>
                <w:b/>
                <w:bCs/>
                <w:sz w:val="21"/>
                <w:szCs w:val="21"/>
              </w:rPr>
            </w:pPr>
            <w:r>
              <w:rPr>
                <w:rFonts w:hint="eastAsia"/>
                <w:b/>
                <w:bCs/>
                <w:sz w:val="21"/>
                <w:szCs w:val="21"/>
              </w:rPr>
              <w:t>污染物排放监控位置</w:t>
            </w:r>
          </w:p>
        </w:tc>
      </w:tr>
      <w:tr w14:paraId="3577C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continue"/>
            <w:tcBorders>
              <w:left w:val="nil"/>
            </w:tcBorders>
            <w:shd w:val="clear" w:color="auto" w:fill="auto"/>
            <w:vAlign w:val="center"/>
          </w:tcPr>
          <w:p w14:paraId="2455E063">
            <w:pPr>
              <w:pStyle w:val="58"/>
              <w:spacing w:line="240" w:lineRule="auto"/>
              <w:ind w:firstLine="0" w:firstLineChars="0"/>
              <w:jc w:val="center"/>
              <w:rPr>
                <w:b/>
                <w:bCs/>
                <w:sz w:val="21"/>
                <w:szCs w:val="21"/>
              </w:rPr>
            </w:pPr>
          </w:p>
        </w:tc>
        <w:tc>
          <w:tcPr>
            <w:tcW w:w="1326" w:type="dxa"/>
            <w:vMerge w:val="continue"/>
            <w:shd w:val="clear" w:color="auto" w:fill="auto"/>
            <w:vAlign w:val="center"/>
          </w:tcPr>
          <w:p w14:paraId="0D8E0850">
            <w:pPr>
              <w:pStyle w:val="58"/>
              <w:spacing w:line="240" w:lineRule="auto"/>
              <w:ind w:firstLine="0" w:firstLineChars="0"/>
              <w:jc w:val="center"/>
              <w:rPr>
                <w:b/>
                <w:bCs/>
                <w:sz w:val="21"/>
                <w:szCs w:val="21"/>
              </w:rPr>
            </w:pPr>
          </w:p>
        </w:tc>
        <w:tc>
          <w:tcPr>
            <w:tcW w:w="1347" w:type="dxa"/>
            <w:shd w:val="clear" w:color="auto" w:fill="auto"/>
            <w:vAlign w:val="center"/>
          </w:tcPr>
          <w:p w14:paraId="1CE1B071">
            <w:pPr>
              <w:pStyle w:val="58"/>
              <w:spacing w:line="240" w:lineRule="auto"/>
              <w:ind w:firstLine="0" w:firstLineChars="0"/>
              <w:jc w:val="center"/>
              <w:rPr>
                <w:b/>
                <w:bCs/>
                <w:sz w:val="21"/>
                <w:szCs w:val="21"/>
              </w:rPr>
            </w:pPr>
            <w:r>
              <w:rPr>
                <w:rFonts w:hint="eastAsia"/>
                <w:b/>
                <w:bCs/>
                <w:sz w:val="21"/>
                <w:szCs w:val="21"/>
              </w:rPr>
              <w:t>采矿废水</w:t>
            </w:r>
          </w:p>
        </w:tc>
        <w:tc>
          <w:tcPr>
            <w:tcW w:w="1404" w:type="dxa"/>
            <w:shd w:val="clear" w:color="auto" w:fill="auto"/>
            <w:vAlign w:val="center"/>
          </w:tcPr>
          <w:p w14:paraId="193AAE8D">
            <w:pPr>
              <w:pStyle w:val="58"/>
              <w:spacing w:line="240" w:lineRule="auto"/>
              <w:ind w:firstLine="0" w:firstLineChars="0"/>
              <w:jc w:val="center"/>
              <w:rPr>
                <w:b/>
                <w:bCs/>
                <w:sz w:val="21"/>
                <w:szCs w:val="21"/>
              </w:rPr>
            </w:pPr>
            <w:r>
              <w:rPr>
                <w:rFonts w:hint="eastAsia"/>
                <w:b/>
                <w:bCs/>
                <w:sz w:val="21"/>
                <w:szCs w:val="21"/>
              </w:rPr>
              <w:t>选矿废水</w:t>
            </w:r>
          </w:p>
        </w:tc>
        <w:tc>
          <w:tcPr>
            <w:tcW w:w="1035" w:type="dxa"/>
            <w:vMerge w:val="continue"/>
            <w:vAlign w:val="center"/>
          </w:tcPr>
          <w:p w14:paraId="7B472658">
            <w:pPr>
              <w:pStyle w:val="58"/>
              <w:spacing w:line="240" w:lineRule="auto"/>
              <w:ind w:firstLine="0" w:firstLineChars="0"/>
              <w:jc w:val="center"/>
              <w:rPr>
                <w:b/>
                <w:bCs/>
                <w:sz w:val="21"/>
                <w:szCs w:val="21"/>
              </w:rPr>
            </w:pPr>
          </w:p>
        </w:tc>
        <w:tc>
          <w:tcPr>
            <w:tcW w:w="1069" w:type="dxa"/>
            <w:vMerge w:val="continue"/>
            <w:vAlign w:val="center"/>
          </w:tcPr>
          <w:p w14:paraId="7396F6FA">
            <w:pPr>
              <w:pStyle w:val="58"/>
              <w:spacing w:line="240" w:lineRule="auto"/>
              <w:ind w:firstLine="0" w:firstLineChars="0"/>
              <w:jc w:val="center"/>
              <w:rPr>
                <w:b/>
                <w:bCs/>
                <w:sz w:val="21"/>
                <w:szCs w:val="21"/>
              </w:rPr>
            </w:pPr>
          </w:p>
        </w:tc>
        <w:tc>
          <w:tcPr>
            <w:tcW w:w="1108" w:type="dxa"/>
            <w:vMerge w:val="continue"/>
            <w:tcBorders>
              <w:right w:val="nil"/>
            </w:tcBorders>
            <w:shd w:val="clear" w:color="auto" w:fill="auto"/>
            <w:vAlign w:val="center"/>
          </w:tcPr>
          <w:p w14:paraId="018DBC27">
            <w:pPr>
              <w:pStyle w:val="58"/>
              <w:spacing w:line="240" w:lineRule="auto"/>
              <w:ind w:firstLine="0" w:firstLineChars="0"/>
              <w:jc w:val="center"/>
              <w:rPr>
                <w:b/>
                <w:bCs/>
                <w:sz w:val="21"/>
                <w:szCs w:val="21"/>
              </w:rPr>
            </w:pPr>
          </w:p>
        </w:tc>
      </w:tr>
      <w:tr w14:paraId="0F537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continue"/>
            <w:tcBorders>
              <w:left w:val="nil"/>
            </w:tcBorders>
            <w:shd w:val="clear" w:color="auto" w:fill="auto"/>
            <w:vAlign w:val="center"/>
          </w:tcPr>
          <w:p w14:paraId="4EA1C8C2">
            <w:pPr>
              <w:pStyle w:val="58"/>
              <w:spacing w:line="240" w:lineRule="auto"/>
              <w:ind w:firstLine="0" w:firstLineChars="0"/>
              <w:jc w:val="center"/>
              <w:rPr>
                <w:b/>
                <w:bCs/>
                <w:sz w:val="21"/>
                <w:szCs w:val="21"/>
              </w:rPr>
            </w:pPr>
          </w:p>
        </w:tc>
        <w:tc>
          <w:tcPr>
            <w:tcW w:w="1326" w:type="dxa"/>
            <w:vMerge w:val="continue"/>
            <w:shd w:val="clear" w:color="auto" w:fill="auto"/>
            <w:vAlign w:val="center"/>
          </w:tcPr>
          <w:p w14:paraId="2F9F86C1">
            <w:pPr>
              <w:pStyle w:val="58"/>
              <w:spacing w:line="240" w:lineRule="auto"/>
              <w:ind w:firstLine="0" w:firstLineChars="0"/>
              <w:jc w:val="center"/>
              <w:rPr>
                <w:b/>
                <w:bCs/>
                <w:sz w:val="21"/>
                <w:szCs w:val="21"/>
              </w:rPr>
            </w:pPr>
          </w:p>
        </w:tc>
        <w:tc>
          <w:tcPr>
            <w:tcW w:w="1347" w:type="dxa"/>
            <w:shd w:val="clear" w:color="auto" w:fill="auto"/>
            <w:vAlign w:val="center"/>
          </w:tcPr>
          <w:p w14:paraId="16017082">
            <w:pPr>
              <w:pStyle w:val="58"/>
              <w:spacing w:line="240" w:lineRule="auto"/>
              <w:ind w:firstLine="0" w:firstLineChars="0"/>
              <w:jc w:val="center"/>
              <w:rPr>
                <w:b/>
                <w:bCs/>
                <w:sz w:val="21"/>
                <w:szCs w:val="21"/>
              </w:rPr>
            </w:pPr>
            <w:r>
              <w:rPr>
                <w:rFonts w:hint="eastAsia"/>
                <w:b/>
                <w:bCs/>
                <w:sz w:val="21"/>
                <w:szCs w:val="21"/>
              </w:rPr>
              <w:t>非酸性废水</w:t>
            </w:r>
          </w:p>
        </w:tc>
        <w:tc>
          <w:tcPr>
            <w:tcW w:w="1404" w:type="dxa"/>
            <w:shd w:val="clear" w:color="auto" w:fill="auto"/>
            <w:vAlign w:val="center"/>
          </w:tcPr>
          <w:p w14:paraId="5045EF43">
            <w:pPr>
              <w:pStyle w:val="58"/>
              <w:spacing w:line="240" w:lineRule="auto"/>
              <w:ind w:firstLine="0" w:firstLineChars="0"/>
              <w:jc w:val="center"/>
              <w:rPr>
                <w:b/>
                <w:bCs/>
                <w:sz w:val="21"/>
                <w:szCs w:val="21"/>
              </w:rPr>
            </w:pPr>
            <w:r>
              <w:rPr>
                <w:rFonts w:hint="eastAsia"/>
                <w:b/>
                <w:bCs/>
                <w:sz w:val="21"/>
                <w:szCs w:val="21"/>
              </w:rPr>
              <w:t>磁选废水</w:t>
            </w:r>
          </w:p>
        </w:tc>
        <w:tc>
          <w:tcPr>
            <w:tcW w:w="1035" w:type="dxa"/>
            <w:vMerge w:val="continue"/>
            <w:vAlign w:val="center"/>
          </w:tcPr>
          <w:p w14:paraId="25F8B47C">
            <w:pPr>
              <w:pStyle w:val="58"/>
              <w:spacing w:line="240" w:lineRule="auto"/>
              <w:ind w:firstLine="0" w:firstLineChars="0"/>
              <w:jc w:val="center"/>
              <w:rPr>
                <w:b/>
                <w:bCs/>
                <w:sz w:val="21"/>
                <w:szCs w:val="21"/>
              </w:rPr>
            </w:pPr>
          </w:p>
        </w:tc>
        <w:tc>
          <w:tcPr>
            <w:tcW w:w="1069" w:type="dxa"/>
            <w:vMerge w:val="continue"/>
            <w:vAlign w:val="center"/>
          </w:tcPr>
          <w:p w14:paraId="5130B60A">
            <w:pPr>
              <w:pStyle w:val="58"/>
              <w:spacing w:line="240" w:lineRule="auto"/>
              <w:ind w:firstLine="0" w:firstLineChars="0"/>
              <w:jc w:val="center"/>
              <w:rPr>
                <w:b/>
                <w:bCs/>
                <w:sz w:val="21"/>
                <w:szCs w:val="21"/>
              </w:rPr>
            </w:pPr>
          </w:p>
        </w:tc>
        <w:tc>
          <w:tcPr>
            <w:tcW w:w="1108" w:type="dxa"/>
            <w:vMerge w:val="continue"/>
            <w:tcBorders>
              <w:right w:val="nil"/>
            </w:tcBorders>
            <w:shd w:val="clear" w:color="auto" w:fill="auto"/>
            <w:vAlign w:val="center"/>
          </w:tcPr>
          <w:p w14:paraId="54C471ED">
            <w:pPr>
              <w:pStyle w:val="58"/>
              <w:spacing w:line="240" w:lineRule="auto"/>
              <w:ind w:firstLine="0" w:firstLineChars="0"/>
              <w:jc w:val="center"/>
              <w:rPr>
                <w:b/>
                <w:bCs/>
                <w:sz w:val="21"/>
                <w:szCs w:val="21"/>
              </w:rPr>
            </w:pPr>
          </w:p>
        </w:tc>
      </w:tr>
      <w:tr w14:paraId="09666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103713F9">
            <w:pPr>
              <w:pStyle w:val="58"/>
              <w:spacing w:line="240" w:lineRule="auto"/>
              <w:ind w:firstLine="0" w:firstLineChars="0"/>
              <w:jc w:val="center"/>
              <w:rPr>
                <w:sz w:val="21"/>
                <w:szCs w:val="21"/>
              </w:rPr>
            </w:pPr>
            <w:r>
              <w:rPr>
                <w:rFonts w:hint="eastAsia"/>
                <w:sz w:val="21"/>
                <w:szCs w:val="21"/>
              </w:rPr>
              <w:t>1</w:t>
            </w:r>
          </w:p>
        </w:tc>
        <w:tc>
          <w:tcPr>
            <w:tcW w:w="1326" w:type="dxa"/>
            <w:shd w:val="clear" w:color="auto" w:fill="auto"/>
            <w:vAlign w:val="center"/>
          </w:tcPr>
          <w:p w14:paraId="2C05E9F6">
            <w:pPr>
              <w:pStyle w:val="58"/>
              <w:spacing w:line="240" w:lineRule="auto"/>
              <w:ind w:firstLine="0" w:firstLineChars="0"/>
              <w:jc w:val="center"/>
              <w:rPr>
                <w:sz w:val="21"/>
                <w:szCs w:val="21"/>
              </w:rPr>
            </w:pPr>
            <w:r>
              <w:rPr>
                <w:sz w:val="21"/>
                <w:szCs w:val="21"/>
              </w:rPr>
              <w:t>pH</w:t>
            </w:r>
          </w:p>
        </w:tc>
        <w:tc>
          <w:tcPr>
            <w:tcW w:w="1347" w:type="dxa"/>
            <w:shd w:val="clear" w:color="auto" w:fill="auto"/>
            <w:vAlign w:val="center"/>
          </w:tcPr>
          <w:p w14:paraId="79ED462D">
            <w:pPr>
              <w:pStyle w:val="58"/>
              <w:spacing w:line="240" w:lineRule="auto"/>
              <w:ind w:firstLine="0" w:firstLineChars="0"/>
              <w:jc w:val="center"/>
              <w:rPr>
                <w:sz w:val="21"/>
                <w:szCs w:val="21"/>
              </w:rPr>
            </w:pPr>
            <w:r>
              <w:rPr>
                <w:sz w:val="21"/>
                <w:szCs w:val="21"/>
              </w:rPr>
              <w:t>6～9</w:t>
            </w:r>
          </w:p>
        </w:tc>
        <w:tc>
          <w:tcPr>
            <w:tcW w:w="1404" w:type="dxa"/>
            <w:shd w:val="clear" w:color="auto" w:fill="auto"/>
            <w:vAlign w:val="center"/>
          </w:tcPr>
          <w:p w14:paraId="1EAA14F3">
            <w:pPr>
              <w:pStyle w:val="58"/>
              <w:spacing w:line="240" w:lineRule="auto"/>
              <w:ind w:firstLine="0" w:firstLineChars="0"/>
              <w:jc w:val="center"/>
              <w:rPr>
                <w:sz w:val="21"/>
                <w:szCs w:val="21"/>
              </w:rPr>
            </w:pPr>
            <w:r>
              <w:rPr>
                <w:sz w:val="21"/>
                <w:szCs w:val="21"/>
              </w:rPr>
              <w:t>6～9</w:t>
            </w:r>
          </w:p>
        </w:tc>
        <w:tc>
          <w:tcPr>
            <w:tcW w:w="1035" w:type="dxa"/>
            <w:vAlign w:val="center"/>
          </w:tcPr>
          <w:p w14:paraId="7DF277A1">
            <w:pPr>
              <w:pStyle w:val="58"/>
              <w:spacing w:line="240" w:lineRule="auto"/>
              <w:ind w:firstLine="0" w:firstLineChars="0"/>
              <w:jc w:val="center"/>
              <w:rPr>
                <w:sz w:val="21"/>
                <w:szCs w:val="21"/>
              </w:rPr>
            </w:pPr>
            <w:r>
              <w:rPr>
                <w:sz w:val="21"/>
                <w:szCs w:val="21"/>
              </w:rPr>
              <w:t>6～9</w:t>
            </w:r>
          </w:p>
        </w:tc>
        <w:tc>
          <w:tcPr>
            <w:tcW w:w="1069" w:type="dxa"/>
            <w:vAlign w:val="center"/>
          </w:tcPr>
          <w:p w14:paraId="59E45505">
            <w:pPr>
              <w:pStyle w:val="58"/>
              <w:spacing w:line="240" w:lineRule="auto"/>
              <w:ind w:firstLine="0" w:firstLineChars="0"/>
              <w:jc w:val="center"/>
              <w:rPr>
                <w:sz w:val="21"/>
                <w:szCs w:val="21"/>
              </w:rPr>
            </w:pPr>
            <w:r>
              <w:rPr>
                <w:rFonts w:hint="eastAsia"/>
                <w:sz w:val="21"/>
                <w:szCs w:val="21"/>
              </w:rPr>
              <w:t>无量纲</w:t>
            </w:r>
          </w:p>
        </w:tc>
        <w:tc>
          <w:tcPr>
            <w:tcW w:w="1108" w:type="dxa"/>
            <w:vMerge w:val="restart"/>
            <w:tcBorders>
              <w:right w:val="nil"/>
            </w:tcBorders>
            <w:shd w:val="clear" w:color="auto" w:fill="auto"/>
            <w:vAlign w:val="center"/>
          </w:tcPr>
          <w:p w14:paraId="279E927C">
            <w:pPr>
              <w:pStyle w:val="58"/>
              <w:spacing w:line="240" w:lineRule="auto"/>
              <w:ind w:firstLine="0" w:firstLineChars="0"/>
              <w:jc w:val="center"/>
              <w:rPr>
                <w:sz w:val="21"/>
                <w:szCs w:val="21"/>
              </w:rPr>
            </w:pPr>
            <w:r>
              <w:rPr>
                <w:rFonts w:hint="eastAsia"/>
                <w:sz w:val="21"/>
                <w:szCs w:val="21"/>
              </w:rPr>
              <w:t>企业废水总排放口</w:t>
            </w:r>
          </w:p>
        </w:tc>
      </w:tr>
      <w:tr w14:paraId="5C34C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38A06C03">
            <w:pPr>
              <w:pStyle w:val="58"/>
              <w:spacing w:line="240" w:lineRule="auto"/>
              <w:ind w:firstLine="0" w:firstLineChars="0"/>
              <w:jc w:val="center"/>
              <w:rPr>
                <w:sz w:val="21"/>
                <w:szCs w:val="21"/>
              </w:rPr>
            </w:pPr>
            <w:r>
              <w:rPr>
                <w:rFonts w:hint="eastAsia"/>
                <w:sz w:val="21"/>
                <w:szCs w:val="21"/>
              </w:rPr>
              <w:t>2</w:t>
            </w:r>
          </w:p>
        </w:tc>
        <w:tc>
          <w:tcPr>
            <w:tcW w:w="1326" w:type="dxa"/>
            <w:shd w:val="clear" w:color="auto" w:fill="auto"/>
            <w:vAlign w:val="center"/>
          </w:tcPr>
          <w:p w14:paraId="7D5C815C">
            <w:pPr>
              <w:pStyle w:val="58"/>
              <w:spacing w:line="240" w:lineRule="auto"/>
              <w:ind w:firstLine="0" w:firstLineChars="0"/>
              <w:jc w:val="center"/>
              <w:rPr>
                <w:sz w:val="21"/>
                <w:szCs w:val="21"/>
              </w:rPr>
            </w:pPr>
            <w:r>
              <w:rPr>
                <w:sz w:val="21"/>
                <w:szCs w:val="21"/>
              </w:rPr>
              <w:t>悬浮物</w:t>
            </w:r>
          </w:p>
        </w:tc>
        <w:tc>
          <w:tcPr>
            <w:tcW w:w="1347" w:type="dxa"/>
            <w:shd w:val="clear" w:color="auto" w:fill="auto"/>
            <w:vAlign w:val="center"/>
          </w:tcPr>
          <w:p w14:paraId="60DB9131">
            <w:pPr>
              <w:pStyle w:val="58"/>
              <w:spacing w:line="240" w:lineRule="auto"/>
              <w:ind w:firstLine="0" w:firstLineChars="0"/>
              <w:jc w:val="center"/>
              <w:rPr>
                <w:sz w:val="21"/>
                <w:szCs w:val="21"/>
              </w:rPr>
            </w:pPr>
            <w:r>
              <w:rPr>
                <w:rFonts w:hint="eastAsia"/>
                <w:sz w:val="21"/>
                <w:szCs w:val="21"/>
              </w:rPr>
              <w:t>70</w:t>
            </w:r>
          </w:p>
        </w:tc>
        <w:tc>
          <w:tcPr>
            <w:tcW w:w="1404" w:type="dxa"/>
            <w:shd w:val="clear" w:color="auto" w:fill="auto"/>
            <w:vAlign w:val="center"/>
          </w:tcPr>
          <w:p w14:paraId="625DFEDB">
            <w:pPr>
              <w:pStyle w:val="58"/>
              <w:spacing w:line="240" w:lineRule="auto"/>
              <w:ind w:firstLine="0" w:firstLineChars="0"/>
              <w:jc w:val="center"/>
              <w:rPr>
                <w:sz w:val="21"/>
                <w:szCs w:val="21"/>
              </w:rPr>
            </w:pPr>
            <w:r>
              <w:rPr>
                <w:rFonts w:hint="eastAsia"/>
                <w:sz w:val="21"/>
                <w:szCs w:val="21"/>
              </w:rPr>
              <w:t>70</w:t>
            </w:r>
          </w:p>
        </w:tc>
        <w:tc>
          <w:tcPr>
            <w:tcW w:w="1035" w:type="dxa"/>
            <w:vAlign w:val="center"/>
          </w:tcPr>
          <w:p w14:paraId="4B0713A4">
            <w:pPr>
              <w:pStyle w:val="58"/>
              <w:spacing w:line="240" w:lineRule="auto"/>
              <w:ind w:firstLine="0" w:firstLineChars="0"/>
              <w:jc w:val="center"/>
              <w:rPr>
                <w:sz w:val="21"/>
                <w:szCs w:val="21"/>
              </w:rPr>
            </w:pPr>
            <w:r>
              <w:rPr>
                <w:rFonts w:hint="eastAsia"/>
                <w:sz w:val="21"/>
                <w:szCs w:val="21"/>
              </w:rPr>
              <w:t>300</w:t>
            </w:r>
          </w:p>
        </w:tc>
        <w:tc>
          <w:tcPr>
            <w:tcW w:w="1069" w:type="dxa"/>
            <w:vMerge w:val="restart"/>
            <w:vAlign w:val="center"/>
          </w:tcPr>
          <w:p w14:paraId="69894C9F">
            <w:pPr>
              <w:pStyle w:val="58"/>
              <w:spacing w:line="240" w:lineRule="auto"/>
              <w:ind w:firstLine="0" w:firstLineChars="0"/>
              <w:jc w:val="center"/>
              <w:rPr>
                <w:sz w:val="21"/>
                <w:szCs w:val="21"/>
              </w:rPr>
            </w:pPr>
            <w:r>
              <w:rPr>
                <w:sz w:val="21"/>
                <w:szCs w:val="21"/>
              </w:rPr>
              <w:t>m</w:t>
            </w:r>
            <w:r>
              <w:rPr>
                <w:rFonts w:hint="eastAsia"/>
                <w:sz w:val="21"/>
                <w:szCs w:val="21"/>
              </w:rPr>
              <w:t>g/</w:t>
            </w:r>
            <w:r>
              <w:rPr>
                <w:sz w:val="21"/>
                <w:szCs w:val="21"/>
              </w:rPr>
              <w:t>L</w:t>
            </w:r>
          </w:p>
        </w:tc>
        <w:tc>
          <w:tcPr>
            <w:tcW w:w="1108" w:type="dxa"/>
            <w:vMerge w:val="continue"/>
            <w:tcBorders>
              <w:right w:val="nil"/>
            </w:tcBorders>
            <w:shd w:val="clear" w:color="auto" w:fill="auto"/>
            <w:vAlign w:val="center"/>
          </w:tcPr>
          <w:p w14:paraId="534D6BFE">
            <w:pPr>
              <w:pStyle w:val="58"/>
              <w:spacing w:line="240" w:lineRule="auto"/>
              <w:ind w:firstLine="0" w:firstLineChars="0"/>
              <w:jc w:val="center"/>
              <w:rPr>
                <w:sz w:val="21"/>
                <w:szCs w:val="21"/>
              </w:rPr>
            </w:pPr>
          </w:p>
        </w:tc>
      </w:tr>
      <w:tr w14:paraId="792A9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70FFE49A">
            <w:pPr>
              <w:pStyle w:val="58"/>
              <w:spacing w:line="240" w:lineRule="auto"/>
              <w:ind w:firstLine="0" w:firstLineChars="0"/>
              <w:jc w:val="center"/>
              <w:rPr>
                <w:sz w:val="21"/>
                <w:szCs w:val="21"/>
              </w:rPr>
            </w:pPr>
            <w:r>
              <w:rPr>
                <w:rFonts w:hint="eastAsia"/>
                <w:sz w:val="21"/>
                <w:szCs w:val="21"/>
              </w:rPr>
              <w:t>3</w:t>
            </w:r>
          </w:p>
        </w:tc>
        <w:tc>
          <w:tcPr>
            <w:tcW w:w="1326" w:type="dxa"/>
            <w:shd w:val="clear" w:color="auto" w:fill="auto"/>
            <w:vAlign w:val="center"/>
          </w:tcPr>
          <w:p w14:paraId="23F1C8AE">
            <w:pPr>
              <w:pStyle w:val="58"/>
              <w:spacing w:line="240" w:lineRule="auto"/>
              <w:ind w:firstLine="0" w:firstLineChars="0"/>
              <w:jc w:val="center"/>
              <w:rPr>
                <w:sz w:val="21"/>
                <w:szCs w:val="21"/>
              </w:rPr>
            </w:pPr>
            <w:r>
              <w:rPr>
                <w:sz w:val="21"/>
                <w:szCs w:val="21"/>
              </w:rPr>
              <w:t>化学需氧量</w:t>
            </w:r>
          </w:p>
        </w:tc>
        <w:tc>
          <w:tcPr>
            <w:tcW w:w="1347" w:type="dxa"/>
            <w:shd w:val="clear" w:color="auto" w:fill="auto"/>
            <w:vAlign w:val="center"/>
          </w:tcPr>
          <w:p w14:paraId="0DAC81DF">
            <w:pPr>
              <w:pStyle w:val="58"/>
              <w:spacing w:line="240" w:lineRule="auto"/>
              <w:ind w:firstLine="0" w:firstLineChars="0"/>
              <w:jc w:val="center"/>
              <w:rPr>
                <w:sz w:val="21"/>
                <w:szCs w:val="21"/>
              </w:rPr>
            </w:pPr>
            <w:r>
              <w:rPr>
                <w:rFonts w:hint="eastAsia"/>
                <w:sz w:val="21"/>
                <w:szCs w:val="21"/>
              </w:rPr>
              <w:t>-</w:t>
            </w:r>
          </w:p>
        </w:tc>
        <w:tc>
          <w:tcPr>
            <w:tcW w:w="1404" w:type="dxa"/>
            <w:shd w:val="clear" w:color="auto" w:fill="auto"/>
            <w:vAlign w:val="center"/>
          </w:tcPr>
          <w:p w14:paraId="2DFF0681">
            <w:pPr>
              <w:pStyle w:val="58"/>
              <w:spacing w:line="240" w:lineRule="auto"/>
              <w:ind w:firstLine="0" w:firstLineChars="0"/>
              <w:jc w:val="center"/>
              <w:rPr>
                <w:sz w:val="21"/>
                <w:szCs w:val="21"/>
              </w:rPr>
            </w:pPr>
            <w:r>
              <w:rPr>
                <w:rFonts w:hint="eastAsia"/>
                <w:sz w:val="21"/>
                <w:szCs w:val="21"/>
              </w:rPr>
              <w:t>-</w:t>
            </w:r>
          </w:p>
        </w:tc>
        <w:tc>
          <w:tcPr>
            <w:tcW w:w="1035" w:type="dxa"/>
            <w:vAlign w:val="center"/>
          </w:tcPr>
          <w:p w14:paraId="2BA94913">
            <w:pPr>
              <w:pStyle w:val="58"/>
              <w:spacing w:line="240" w:lineRule="auto"/>
              <w:ind w:firstLine="0" w:firstLineChars="0"/>
              <w:jc w:val="center"/>
              <w:rPr>
                <w:sz w:val="21"/>
                <w:szCs w:val="21"/>
              </w:rPr>
            </w:pPr>
            <w:r>
              <w:rPr>
                <w:rFonts w:hint="eastAsia"/>
                <w:sz w:val="21"/>
                <w:szCs w:val="21"/>
              </w:rPr>
              <w:t>200</w:t>
            </w:r>
          </w:p>
        </w:tc>
        <w:tc>
          <w:tcPr>
            <w:tcW w:w="1069" w:type="dxa"/>
            <w:vMerge w:val="continue"/>
            <w:vAlign w:val="center"/>
          </w:tcPr>
          <w:p w14:paraId="186518F3">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797ADAD8">
            <w:pPr>
              <w:pStyle w:val="58"/>
              <w:spacing w:line="240" w:lineRule="auto"/>
              <w:ind w:firstLine="0" w:firstLineChars="0"/>
              <w:jc w:val="center"/>
              <w:rPr>
                <w:sz w:val="21"/>
                <w:szCs w:val="21"/>
              </w:rPr>
            </w:pPr>
          </w:p>
        </w:tc>
      </w:tr>
      <w:tr w14:paraId="1F320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71C8FEF9">
            <w:pPr>
              <w:pStyle w:val="58"/>
              <w:spacing w:line="240" w:lineRule="auto"/>
              <w:ind w:firstLine="0" w:firstLineChars="0"/>
              <w:jc w:val="center"/>
              <w:rPr>
                <w:sz w:val="21"/>
                <w:szCs w:val="21"/>
              </w:rPr>
            </w:pPr>
            <w:r>
              <w:rPr>
                <w:rFonts w:hint="eastAsia"/>
                <w:sz w:val="21"/>
                <w:szCs w:val="21"/>
              </w:rPr>
              <w:t>4</w:t>
            </w:r>
          </w:p>
        </w:tc>
        <w:tc>
          <w:tcPr>
            <w:tcW w:w="1326" w:type="dxa"/>
            <w:shd w:val="clear" w:color="auto" w:fill="auto"/>
            <w:vAlign w:val="center"/>
          </w:tcPr>
          <w:p w14:paraId="46EA7E3C">
            <w:pPr>
              <w:pStyle w:val="58"/>
              <w:spacing w:line="240" w:lineRule="auto"/>
              <w:ind w:firstLine="0" w:firstLineChars="0"/>
              <w:jc w:val="center"/>
              <w:rPr>
                <w:sz w:val="21"/>
                <w:szCs w:val="21"/>
              </w:rPr>
            </w:pPr>
            <w:r>
              <w:rPr>
                <w:sz w:val="21"/>
                <w:szCs w:val="21"/>
              </w:rPr>
              <w:t>氨氮</w:t>
            </w:r>
          </w:p>
        </w:tc>
        <w:tc>
          <w:tcPr>
            <w:tcW w:w="1347" w:type="dxa"/>
            <w:shd w:val="clear" w:color="auto" w:fill="auto"/>
            <w:vAlign w:val="center"/>
          </w:tcPr>
          <w:p w14:paraId="2CF98D4E">
            <w:pPr>
              <w:pStyle w:val="58"/>
              <w:spacing w:line="240" w:lineRule="auto"/>
              <w:ind w:firstLine="0" w:firstLineChars="0"/>
              <w:jc w:val="center"/>
              <w:rPr>
                <w:sz w:val="21"/>
                <w:szCs w:val="21"/>
              </w:rPr>
            </w:pPr>
            <w:r>
              <w:rPr>
                <w:rFonts w:hint="eastAsia"/>
                <w:sz w:val="21"/>
                <w:szCs w:val="21"/>
              </w:rPr>
              <w:t>-</w:t>
            </w:r>
          </w:p>
        </w:tc>
        <w:tc>
          <w:tcPr>
            <w:tcW w:w="1404" w:type="dxa"/>
            <w:shd w:val="clear" w:color="auto" w:fill="auto"/>
            <w:vAlign w:val="center"/>
          </w:tcPr>
          <w:p w14:paraId="7CAEA414">
            <w:pPr>
              <w:pStyle w:val="58"/>
              <w:spacing w:line="240" w:lineRule="auto"/>
              <w:ind w:firstLine="0" w:firstLineChars="0"/>
              <w:jc w:val="center"/>
              <w:rPr>
                <w:sz w:val="21"/>
                <w:szCs w:val="21"/>
              </w:rPr>
            </w:pPr>
            <w:r>
              <w:rPr>
                <w:rFonts w:hint="eastAsia"/>
                <w:sz w:val="21"/>
                <w:szCs w:val="21"/>
              </w:rPr>
              <w:t>-</w:t>
            </w:r>
          </w:p>
        </w:tc>
        <w:tc>
          <w:tcPr>
            <w:tcW w:w="1035" w:type="dxa"/>
            <w:vAlign w:val="center"/>
          </w:tcPr>
          <w:p w14:paraId="52D97CB0">
            <w:pPr>
              <w:pStyle w:val="58"/>
              <w:spacing w:line="240" w:lineRule="auto"/>
              <w:ind w:firstLine="0" w:firstLineChars="0"/>
              <w:jc w:val="center"/>
              <w:rPr>
                <w:sz w:val="21"/>
                <w:szCs w:val="21"/>
              </w:rPr>
            </w:pPr>
            <w:r>
              <w:rPr>
                <w:rFonts w:hint="eastAsia"/>
                <w:sz w:val="21"/>
                <w:szCs w:val="21"/>
              </w:rPr>
              <w:t>30</w:t>
            </w:r>
          </w:p>
        </w:tc>
        <w:tc>
          <w:tcPr>
            <w:tcW w:w="1069" w:type="dxa"/>
            <w:vMerge w:val="continue"/>
            <w:vAlign w:val="center"/>
          </w:tcPr>
          <w:p w14:paraId="7C915BA7">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6F760F33">
            <w:pPr>
              <w:pStyle w:val="58"/>
              <w:spacing w:line="240" w:lineRule="auto"/>
              <w:ind w:firstLine="0" w:firstLineChars="0"/>
              <w:jc w:val="center"/>
              <w:rPr>
                <w:sz w:val="21"/>
                <w:szCs w:val="21"/>
              </w:rPr>
            </w:pPr>
          </w:p>
        </w:tc>
      </w:tr>
      <w:tr w14:paraId="0A3E0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5D978BC5">
            <w:pPr>
              <w:pStyle w:val="58"/>
              <w:spacing w:line="240" w:lineRule="auto"/>
              <w:ind w:firstLine="0" w:firstLineChars="0"/>
              <w:jc w:val="center"/>
              <w:rPr>
                <w:sz w:val="21"/>
                <w:szCs w:val="21"/>
              </w:rPr>
            </w:pPr>
            <w:r>
              <w:rPr>
                <w:rFonts w:hint="eastAsia"/>
                <w:sz w:val="21"/>
                <w:szCs w:val="21"/>
              </w:rPr>
              <w:t>5</w:t>
            </w:r>
          </w:p>
        </w:tc>
        <w:tc>
          <w:tcPr>
            <w:tcW w:w="1326" w:type="dxa"/>
            <w:shd w:val="clear" w:color="auto" w:fill="auto"/>
            <w:vAlign w:val="center"/>
          </w:tcPr>
          <w:p w14:paraId="19D9DEC8">
            <w:pPr>
              <w:pStyle w:val="58"/>
              <w:spacing w:line="240" w:lineRule="auto"/>
              <w:ind w:firstLine="0" w:firstLineChars="0"/>
              <w:jc w:val="center"/>
              <w:rPr>
                <w:sz w:val="21"/>
                <w:szCs w:val="21"/>
              </w:rPr>
            </w:pPr>
            <w:r>
              <w:rPr>
                <w:rFonts w:hint="eastAsia"/>
                <w:sz w:val="21"/>
                <w:szCs w:val="21"/>
              </w:rPr>
              <w:t>石油类</w:t>
            </w:r>
          </w:p>
        </w:tc>
        <w:tc>
          <w:tcPr>
            <w:tcW w:w="1347" w:type="dxa"/>
            <w:shd w:val="clear" w:color="auto" w:fill="auto"/>
            <w:vAlign w:val="center"/>
          </w:tcPr>
          <w:p w14:paraId="56446CCE">
            <w:pPr>
              <w:pStyle w:val="58"/>
              <w:spacing w:line="240" w:lineRule="auto"/>
              <w:ind w:firstLine="0" w:firstLineChars="0"/>
              <w:jc w:val="center"/>
              <w:rPr>
                <w:sz w:val="21"/>
                <w:szCs w:val="21"/>
              </w:rPr>
            </w:pPr>
            <w:r>
              <w:rPr>
                <w:rFonts w:hint="eastAsia"/>
                <w:sz w:val="21"/>
                <w:szCs w:val="21"/>
              </w:rPr>
              <w:t>5.0</w:t>
            </w:r>
          </w:p>
        </w:tc>
        <w:tc>
          <w:tcPr>
            <w:tcW w:w="1404" w:type="dxa"/>
            <w:shd w:val="clear" w:color="auto" w:fill="auto"/>
            <w:vAlign w:val="center"/>
          </w:tcPr>
          <w:p w14:paraId="1A0F05FC">
            <w:pPr>
              <w:pStyle w:val="58"/>
              <w:spacing w:line="240" w:lineRule="auto"/>
              <w:ind w:firstLine="0" w:firstLineChars="0"/>
              <w:jc w:val="center"/>
              <w:rPr>
                <w:sz w:val="21"/>
                <w:szCs w:val="21"/>
              </w:rPr>
            </w:pPr>
            <w:r>
              <w:rPr>
                <w:rFonts w:hint="eastAsia"/>
                <w:sz w:val="21"/>
                <w:szCs w:val="21"/>
              </w:rPr>
              <w:t>5.0</w:t>
            </w:r>
          </w:p>
        </w:tc>
        <w:tc>
          <w:tcPr>
            <w:tcW w:w="1035" w:type="dxa"/>
            <w:vAlign w:val="center"/>
          </w:tcPr>
          <w:p w14:paraId="4D6564A5">
            <w:pPr>
              <w:pStyle w:val="58"/>
              <w:spacing w:line="240" w:lineRule="auto"/>
              <w:ind w:firstLine="0" w:firstLineChars="0"/>
              <w:jc w:val="center"/>
              <w:rPr>
                <w:sz w:val="21"/>
                <w:szCs w:val="21"/>
              </w:rPr>
            </w:pPr>
            <w:r>
              <w:rPr>
                <w:rFonts w:hint="eastAsia"/>
                <w:sz w:val="21"/>
                <w:szCs w:val="21"/>
              </w:rPr>
              <w:t>20</w:t>
            </w:r>
          </w:p>
        </w:tc>
        <w:tc>
          <w:tcPr>
            <w:tcW w:w="1069" w:type="dxa"/>
            <w:vMerge w:val="continue"/>
            <w:vAlign w:val="center"/>
          </w:tcPr>
          <w:p w14:paraId="45D2EE73">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481289D1">
            <w:pPr>
              <w:pStyle w:val="58"/>
              <w:spacing w:line="240" w:lineRule="auto"/>
              <w:ind w:firstLine="0" w:firstLineChars="0"/>
              <w:jc w:val="center"/>
              <w:rPr>
                <w:sz w:val="21"/>
                <w:szCs w:val="21"/>
              </w:rPr>
            </w:pPr>
          </w:p>
        </w:tc>
      </w:tr>
      <w:tr w14:paraId="58078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07BFE48E">
            <w:pPr>
              <w:pStyle w:val="58"/>
              <w:spacing w:line="240" w:lineRule="auto"/>
              <w:ind w:firstLine="0" w:firstLineChars="0"/>
              <w:jc w:val="center"/>
              <w:rPr>
                <w:sz w:val="21"/>
                <w:szCs w:val="21"/>
              </w:rPr>
            </w:pPr>
            <w:r>
              <w:rPr>
                <w:rFonts w:hint="eastAsia"/>
                <w:sz w:val="21"/>
                <w:szCs w:val="21"/>
              </w:rPr>
              <w:t>6</w:t>
            </w:r>
          </w:p>
        </w:tc>
        <w:tc>
          <w:tcPr>
            <w:tcW w:w="1326" w:type="dxa"/>
            <w:shd w:val="clear" w:color="auto" w:fill="auto"/>
            <w:vAlign w:val="center"/>
          </w:tcPr>
          <w:p w14:paraId="67AFE0D1">
            <w:pPr>
              <w:pStyle w:val="58"/>
              <w:spacing w:line="240" w:lineRule="auto"/>
              <w:ind w:firstLine="0" w:firstLineChars="0"/>
              <w:jc w:val="center"/>
              <w:rPr>
                <w:sz w:val="21"/>
                <w:szCs w:val="21"/>
              </w:rPr>
            </w:pPr>
            <w:r>
              <w:rPr>
                <w:sz w:val="21"/>
                <w:szCs w:val="21"/>
              </w:rPr>
              <w:t>总锌</w:t>
            </w:r>
          </w:p>
        </w:tc>
        <w:tc>
          <w:tcPr>
            <w:tcW w:w="1347" w:type="dxa"/>
            <w:shd w:val="clear" w:color="auto" w:fill="auto"/>
            <w:vAlign w:val="center"/>
          </w:tcPr>
          <w:p w14:paraId="6150ABD5">
            <w:pPr>
              <w:pStyle w:val="58"/>
              <w:spacing w:line="240" w:lineRule="auto"/>
              <w:ind w:firstLine="0" w:firstLineChars="0"/>
              <w:jc w:val="center"/>
              <w:rPr>
                <w:sz w:val="21"/>
                <w:szCs w:val="21"/>
              </w:rPr>
            </w:pPr>
            <w:r>
              <w:rPr>
                <w:rFonts w:hint="eastAsia"/>
                <w:sz w:val="21"/>
                <w:szCs w:val="21"/>
              </w:rPr>
              <w:t>-</w:t>
            </w:r>
          </w:p>
        </w:tc>
        <w:tc>
          <w:tcPr>
            <w:tcW w:w="1404" w:type="dxa"/>
            <w:shd w:val="clear" w:color="auto" w:fill="auto"/>
            <w:vAlign w:val="center"/>
          </w:tcPr>
          <w:p w14:paraId="6EDCF885">
            <w:pPr>
              <w:pStyle w:val="58"/>
              <w:spacing w:line="240" w:lineRule="auto"/>
              <w:ind w:firstLine="0" w:firstLineChars="0"/>
              <w:jc w:val="center"/>
              <w:rPr>
                <w:sz w:val="21"/>
                <w:szCs w:val="21"/>
              </w:rPr>
            </w:pPr>
            <w:r>
              <w:rPr>
                <w:rFonts w:hint="eastAsia"/>
                <w:sz w:val="21"/>
                <w:szCs w:val="21"/>
              </w:rPr>
              <w:t>2.0</w:t>
            </w:r>
          </w:p>
        </w:tc>
        <w:tc>
          <w:tcPr>
            <w:tcW w:w="1035" w:type="dxa"/>
            <w:vAlign w:val="center"/>
          </w:tcPr>
          <w:p w14:paraId="2E3706F8">
            <w:pPr>
              <w:pStyle w:val="58"/>
              <w:spacing w:line="240" w:lineRule="auto"/>
              <w:ind w:firstLine="0" w:firstLineChars="0"/>
              <w:jc w:val="center"/>
              <w:rPr>
                <w:sz w:val="21"/>
                <w:szCs w:val="21"/>
              </w:rPr>
            </w:pPr>
            <w:r>
              <w:rPr>
                <w:rFonts w:hint="eastAsia"/>
                <w:sz w:val="21"/>
                <w:szCs w:val="21"/>
              </w:rPr>
              <w:t>5.0</w:t>
            </w:r>
          </w:p>
        </w:tc>
        <w:tc>
          <w:tcPr>
            <w:tcW w:w="1069" w:type="dxa"/>
            <w:vMerge w:val="continue"/>
            <w:vAlign w:val="center"/>
          </w:tcPr>
          <w:p w14:paraId="10132D4A">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4ABD3784">
            <w:pPr>
              <w:pStyle w:val="58"/>
              <w:spacing w:line="240" w:lineRule="auto"/>
              <w:ind w:firstLine="0" w:firstLineChars="0"/>
              <w:jc w:val="center"/>
              <w:rPr>
                <w:sz w:val="21"/>
                <w:szCs w:val="21"/>
              </w:rPr>
            </w:pPr>
          </w:p>
        </w:tc>
      </w:tr>
      <w:tr w14:paraId="1EF3C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351180B3">
            <w:pPr>
              <w:pStyle w:val="58"/>
              <w:spacing w:line="240" w:lineRule="auto"/>
              <w:ind w:firstLine="0" w:firstLineChars="0"/>
              <w:jc w:val="center"/>
              <w:rPr>
                <w:sz w:val="21"/>
                <w:szCs w:val="21"/>
              </w:rPr>
            </w:pPr>
            <w:r>
              <w:rPr>
                <w:rFonts w:hint="eastAsia"/>
                <w:sz w:val="21"/>
                <w:szCs w:val="21"/>
              </w:rPr>
              <w:t>7</w:t>
            </w:r>
          </w:p>
        </w:tc>
        <w:tc>
          <w:tcPr>
            <w:tcW w:w="1326" w:type="dxa"/>
            <w:shd w:val="clear" w:color="auto" w:fill="auto"/>
            <w:vAlign w:val="center"/>
          </w:tcPr>
          <w:p w14:paraId="7B8312F0">
            <w:pPr>
              <w:pStyle w:val="58"/>
              <w:spacing w:line="240" w:lineRule="auto"/>
              <w:ind w:firstLine="0" w:firstLineChars="0"/>
              <w:jc w:val="center"/>
              <w:rPr>
                <w:sz w:val="21"/>
                <w:szCs w:val="21"/>
              </w:rPr>
            </w:pPr>
            <w:r>
              <w:rPr>
                <w:sz w:val="21"/>
                <w:szCs w:val="21"/>
              </w:rPr>
              <w:t>总铜</w:t>
            </w:r>
          </w:p>
        </w:tc>
        <w:tc>
          <w:tcPr>
            <w:tcW w:w="1347" w:type="dxa"/>
            <w:shd w:val="clear" w:color="auto" w:fill="auto"/>
            <w:vAlign w:val="center"/>
          </w:tcPr>
          <w:p w14:paraId="6E7A7F11">
            <w:pPr>
              <w:pStyle w:val="58"/>
              <w:spacing w:line="240" w:lineRule="auto"/>
              <w:ind w:firstLine="0" w:firstLineChars="0"/>
              <w:jc w:val="center"/>
              <w:rPr>
                <w:sz w:val="21"/>
                <w:szCs w:val="21"/>
              </w:rPr>
            </w:pPr>
            <w:r>
              <w:rPr>
                <w:rFonts w:hint="eastAsia"/>
                <w:sz w:val="21"/>
                <w:szCs w:val="21"/>
              </w:rPr>
              <w:t>-</w:t>
            </w:r>
          </w:p>
        </w:tc>
        <w:tc>
          <w:tcPr>
            <w:tcW w:w="1404" w:type="dxa"/>
            <w:shd w:val="clear" w:color="auto" w:fill="auto"/>
            <w:vAlign w:val="center"/>
          </w:tcPr>
          <w:p w14:paraId="6C698F02">
            <w:pPr>
              <w:pStyle w:val="58"/>
              <w:spacing w:line="240" w:lineRule="auto"/>
              <w:ind w:firstLine="0" w:firstLineChars="0"/>
              <w:jc w:val="center"/>
              <w:rPr>
                <w:sz w:val="21"/>
                <w:szCs w:val="21"/>
              </w:rPr>
            </w:pPr>
            <w:r>
              <w:rPr>
                <w:rFonts w:hint="eastAsia"/>
                <w:sz w:val="21"/>
                <w:szCs w:val="21"/>
              </w:rPr>
              <w:t>0.5</w:t>
            </w:r>
          </w:p>
        </w:tc>
        <w:tc>
          <w:tcPr>
            <w:tcW w:w="1035" w:type="dxa"/>
            <w:vAlign w:val="center"/>
          </w:tcPr>
          <w:p w14:paraId="28A025DB">
            <w:pPr>
              <w:pStyle w:val="58"/>
              <w:spacing w:line="240" w:lineRule="auto"/>
              <w:ind w:firstLine="0" w:firstLineChars="0"/>
              <w:jc w:val="center"/>
              <w:rPr>
                <w:sz w:val="21"/>
                <w:szCs w:val="21"/>
              </w:rPr>
            </w:pPr>
            <w:r>
              <w:rPr>
                <w:rFonts w:hint="eastAsia"/>
                <w:sz w:val="21"/>
                <w:szCs w:val="21"/>
              </w:rPr>
              <w:t>2.0</w:t>
            </w:r>
          </w:p>
        </w:tc>
        <w:tc>
          <w:tcPr>
            <w:tcW w:w="1069" w:type="dxa"/>
            <w:vMerge w:val="continue"/>
            <w:vAlign w:val="center"/>
          </w:tcPr>
          <w:p w14:paraId="22D90C37">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7BB662A8">
            <w:pPr>
              <w:pStyle w:val="58"/>
              <w:spacing w:line="240" w:lineRule="auto"/>
              <w:ind w:firstLine="0" w:firstLineChars="0"/>
              <w:jc w:val="center"/>
              <w:rPr>
                <w:sz w:val="21"/>
                <w:szCs w:val="21"/>
              </w:rPr>
            </w:pPr>
          </w:p>
        </w:tc>
      </w:tr>
      <w:tr w14:paraId="3BF15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0A48CDE0">
            <w:pPr>
              <w:pStyle w:val="58"/>
              <w:spacing w:line="240" w:lineRule="auto"/>
              <w:ind w:firstLine="0" w:firstLineChars="0"/>
              <w:jc w:val="center"/>
              <w:rPr>
                <w:sz w:val="21"/>
                <w:szCs w:val="21"/>
              </w:rPr>
            </w:pPr>
            <w:r>
              <w:rPr>
                <w:rFonts w:hint="eastAsia"/>
                <w:sz w:val="21"/>
                <w:szCs w:val="21"/>
              </w:rPr>
              <w:t>8</w:t>
            </w:r>
          </w:p>
        </w:tc>
        <w:tc>
          <w:tcPr>
            <w:tcW w:w="1326" w:type="dxa"/>
            <w:shd w:val="clear" w:color="auto" w:fill="auto"/>
            <w:vAlign w:val="center"/>
          </w:tcPr>
          <w:p w14:paraId="260EB024">
            <w:pPr>
              <w:pStyle w:val="58"/>
              <w:spacing w:line="240" w:lineRule="auto"/>
              <w:ind w:firstLine="0" w:firstLineChars="0"/>
              <w:jc w:val="center"/>
              <w:rPr>
                <w:sz w:val="21"/>
                <w:szCs w:val="21"/>
              </w:rPr>
            </w:pPr>
            <w:r>
              <w:rPr>
                <w:sz w:val="21"/>
                <w:szCs w:val="21"/>
              </w:rPr>
              <w:t>硫化物</w:t>
            </w:r>
          </w:p>
        </w:tc>
        <w:tc>
          <w:tcPr>
            <w:tcW w:w="1347" w:type="dxa"/>
            <w:shd w:val="clear" w:color="auto" w:fill="auto"/>
            <w:vAlign w:val="center"/>
          </w:tcPr>
          <w:p w14:paraId="1C881D89">
            <w:pPr>
              <w:pStyle w:val="58"/>
              <w:spacing w:line="240" w:lineRule="auto"/>
              <w:ind w:firstLine="0" w:firstLineChars="0"/>
              <w:jc w:val="center"/>
              <w:rPr>
                <w:sz w:val="21"/>
                <w:szCs w:val="21"/>
              </w:rPr>
            </w:pPr>
            <w:r>
              <w:rPr>
                <w:rFonts w:hint="eastAsia"/>
                <w:sz w:val="21"/>
                <w:szCs w:val="21"/>
              </w:rPr>
              <w:t>0.5</w:t>
            </w:r>
          </w:p>
        </w:tc>
        <w:tc>
          <w:tcPr>
            <w:tcW w:w="1404" w:type="dxa"/>
            <w:shd w:val="clear" w:color="auto" w:fill="auto"/>
            <w:vAlign w:val="center"/>
          </w:tcPr>
          <w:p w14:paraId="2CE1DD0C">
            <w:pPr>
              <w:pStyle w:val="58"/>
              <w:spacing w:line="240" w:lineRule="auto"/>
              <w:ind w:firstLine="0" w:firstLineChars="0"/>
              <w:jc w:val="center"/>
              <w:rPr>
                <w:sz w:val="21"/>
                <w:szCs w:val="21"/>
              </w:rPr>
            </w:pPr>
            <w:r>
              <w:rPr>
                <w:rFonts w:hint="eastAsia"/>
                <w:sz w:val="21"/>
                <w:szCs w:val="21"/>
              </w:rPr>
              <w:t>0.5</w:t>
            </w:r>
          </w:p>
        </w:tc>
        <w:tc>
          <w:tcPr>
            <w:tcW w:w="1035" w:type="dxa"/>
            <w:vAlign w:val="center"/>
          </w:tcPr>
          <w:p w14:paraId="6FE9EBC0">
            <w:pPr>
              <w:pStyle w:val="58"/>
              <w:spacing w:line="240" w:lineRule="auto"/>
              <w:ind w:firstLine="0" w:firstLineChars="0"/>
              <w:jc w:val="center"/>
              <w:rPr>
                <w:sz w:val="21"/>
                <w:szCs w:val="21"/>
              </w:rPr>
            </w:pPr>
            <w:r>
              <w:rPr>
                <w:rFonts w:hint="eastAsia"/>
                <w:sz w:val="21"/>
                <w:szCs w:val="21"/>
              </w:rPr>
              <w:t>1.0</w:t>
            </w:r>
          </w:p>
        </w:tc>
        <w:tc>
          <w:tcPr>
            <w:tcW w:w="1069" w:type="dxa"/>
            <w:vMerge w:val="continue"/>
            <w:vAlign w:val="center"/>
          </w:tcPr>
          <w:p w14:paraId="7C060F25">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0F7FFBF3">
            <w:pPr>
              <w:pStyle w:val="58"/>
              <w:spacing w:line="240" w:lineRule="auto"/>
              <w:ind w:firstLine="0" w:firstLineChars="0"/>
              <w:jc w:val="center"/>
              <w:rPr>
                <w:sz w:val="21"/>
                <w:szCs w:val="21"/>
              </w:rPr>
            </w:pPr>
          </w:p>
        </w:tc>
      </w:tr>
      <w:tr w14:paraId="79671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348A493C">
            <w:pPr>
              <w:pStyle w:val="58"/>
              <w:spacing w:line="240" w:lineRule="auto"/>
              <w:ind w:firstLine="0" w:firstLineChars="0"/>
              <w:jc w:val="center"/>
              <w:rPr>
                <w:sz w:val="21"/>
                <w:szCs w:val="21"/>
              </w:rPr>
            </w:pPr>
            <w:r>
              <w:rPr>
                <w:rFonts w:hint="eastAsia"/>
                <w:sz w:val="21"/>
                <w:szCs w:val="21"/>
              </w:rPr>
              <w:t>9</w:t>
            </w:r>
          </w:p>
        </w:tc>
        <w:tc>
          <w:tcPr>
            <w:tcW w:w="1326" w:type="dxa"/>
            <w:shd w:val="clear" w:color="auto" w:fill="auto"/>
            <w:vAlign w:val="center"/>
          </w:tcPr>
          <w:p w14:paraId="38283F6A">
            <w:pPr>
              <w:pStyle w:val="58"/>
              <w:spacing w:line="240" w:lineRule="auto"/>
              <w:ind w:firstLine="0" w:firstLineChars="0"/>
              <w:jc w:val="center"/>
              <w:rPr>
                <w:sz w:val="21"/>
                <w:szCs w:val="21"/>
              </w:rPr>
            </w:pPr>
            <w:r>
              <w:rPr>
                <w:sz w:val="21"/>
                <w:szCs w:val="21"/>
              </w:rPr>
              <w:t>氟化物</w:t>
            </w:r>
          </w:p>
        </w:tc>
        <w:tc>
          <w:tcPr>
            <w:tcW w:w="1347" w:type="dxa"/>
            <w:shd w:val="clear" w:color="auto" w:fill="auto"/>
            <w:vAlign w:val="center"/>
          </w:tcPr>
          <w:p w14:paraId="7B159D52">
            <w:pPr>
              <w:pStyle w:val="58"/>
              <w:spacing w:line="240" w:lineRule="auto"/>
              <w:ind w:firstLine="0" w:firstLineChars="0"/>
              <w:jc w:val="center"/>
              <w:rPr>
                <w:sz w:val="21"/>
                <w:szCs w:val="21"/>
              </w:rPr>
            </w:pPr>
            <w:r>
              <w:rPr>
                <w:rFonts w:hint="eastAsia"/>
                <w:sz w:val="21"/>
                <w:szCs w:val="21"/>
              </w:rPr>
              <w:t>10</w:t>
            </w:r>
          </w:p>
        </w:tc>
        <w:tc>
          <w:tcPr>
            <w:tcW w:w="1404" w:type="dxa"/>
            <w:shd w:val="clear" w:color="auto" w:fill="auto"/>
            <w:vAlign w:val="center"/>
          </w:tcPr>
          <w:p w14:paraId="07414E80">
            <w:pPr>
              <w:pStyle w:val="58"/>
              <w:spacing w:line="240" w:lineRule="auto"/>
              <w:ind w:firstLine="0" w:firstLineChars="0"/>
              <w:jc w:val="center"/>
              <w:rPr>
                <w:sz w:val="21"/>
                <w:szCs w:val="21"/>
              </w:rPr>
            </w:pPr>
            <w:r>
              <w:rPr>
                <w:rFonts w:hint="eastAsia"/>
                <w:sz w:val="21"/>
                <w:szCs w:val="21"/>
              </w:rPr>
              <w:t>10</w:t>
            </w:r>
          </w:p>
        </w:tc>
        <w:tc>
          <w:tcPr>
            <w:tcW w:w="1035" w:type="dxa"/>
            <w:vAlign w:val="center"/>
          </w:tcPr>
          <w:p w14:paraId="6F6D33C7">
            <w:pPr>
              <w:pStyle w:val="58"/>
              <w:spacing w:line="240" w:lineRule="auto"/>
              <w:ind w:firstLine="0" w:firstLineChars="0"/>
              <w:jc w:val="center"/>
              <w:rPr>
                <w:sz w:val="21"/>
                <w:szCs w:val="21"/>
              </w:rPr>
            </w:pPr>
            <w:r>
              <w:rPr>
                <w:rFonts w:hint="eastAsia"/>
                <w:sz w:val="21"/>
                <w:szCs w:val="21"/>
              </w:rPr>
              <w:t>20</w:t>
            </w:r>
          </w:p>
        </w:tc>
        <w:tc>
          <w:tcPr>
            <w:tcW w:w="1069" w:type="dxa"/>
            <w:vMerge w:val="continue"/>
            <w:vAlign w:val="center"/>
          </w:tcPr>
          <w:p w14:paraId="4B684ABC">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7B07E848">
            <w:pPr>
              <w:pStyle w:val="58"/>
              <w:spacing w:line="240" w:lineRule="auto"/>
              <w:ind w:firstLine="0" w:firstLineChars="0"/>
              <w:jc w:val="center"/>
              <w:rPr>
                <w:sz w:val="21"/>
                <w:szCs w:val="21"/>
              </w:rPr>
            </w:pPr>
          </w:p>
        </w:tc>
      </w:tr>
      <w:tr w14:paraId="69EA3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03157B24">
            <w:pPr>
              <w:pStyle w:val="58"/>
              <w:spacing w:line="240" w:lineRule="auto"/>
              <w:ind w:firstLine="0" w:firstLineChars="0"/>
              <w:jc w:val="center"/>
              <w:rPr>
                <w:sz w:val="21"/>
                <w:szCs w:val="21"/>
              </w:rPr>
            </w:pPr>
            <w:r>
              <w:rPr>
                <w:rFonts w:hint="eastAsia"/>
                <w:sz w:val="21"/>
                <w:szCs w:val="21"/>
              </w:rPr>
              <w:t>10</w:t>
            </w:r>
          </w:p>
        </w:tc>
        <w:tc>
          <w:tcPr>
            <w:tcW w:w="1326" w:type="dxa"/>
            <w:shd w:val="clear" w:color="auto" w:fill="auto"/>
            <w:vAlign w:val="center"/>
          </w:tcPr>
          <w:p w14:paraId="6A21BCC3">
            <w:pPr>
              <w:pStyle w:val="58"/>
              <w:spacing w:line="240" w:lineRule="auto"/>
              <w:ind w:firstLine="0" w:firstLineChars="0"/>
              <w:jc w:val="center"/>
              <w:rPr>
                <w:sz w:val="21"/>
                <w:szCs w:val="21"/>
              </w:rPr>
            </w:pPr>
            <w:r>
              <w:rPr>
                <w:sz w:val="21"/>
                <w:szCs w:val="21"/>
              </w:rPr>
              <w:t>总汞</w:t>
            </w:r>
          </w:p>
        </w:tc>
        <w:tc>
          <w:tcPr>
            <w:tcW w:w="3786" w:type="dxa"/>
            <w:gridSpan w:val="3"/>
            <w:shd w:val="clear" w:color="auto" w:fill="auto"/>
            <w:vAlign w:val="center"/>
          </w:tcPr>
          <w:p w14:paraId="2B5376E2">
            <w:pPr>
              <w:pStyle w:val="58"/>
              <w:spacing w:line="240" w:lineRule="auto"/>
              <w:ind w:firstLine="0" w:firstLineChars="0"/>
              <w:jc w:val="center"/>
              <w:rPr>
                <w:sz w:val="21"/>
                <w:szCs w:val="21"/>
              </w:rPr>
            </w:pPr>
            <w:r>
              <w:rPr>
                <w:rFonts w:hint="eastAsia"/>
                <w:sz w:val="21"/>
                <w:szCs w:val="21"/>
              </w:rPr>
              <w:t>0.05</w:t>
            </w:r>
          </w:p>
        </w:tc>
        <w:tc>
          <w:tcPr>
            <w:tcW w:w="1069" w:type="dxa"/>
            <w:vMerge w:val="continue"/>
            <w:vAlign w:val="center"/>
          </w:tcPr>
          <w:p w14:paraId="3C04981D">
            <w:pPr>
              <w:pStyle w:val="58"/>
              <w:spacing w:line="240" w:lineRule="auto"/>
              <w:ind w:firstLine="0" w:firstLineChars="0"/>
              <w:jc w:val="center"/>
              <w:rPr>
                <w:sz w:val="21"/>
                <w:szCs w:val="21"/>
              </w:rPr>
            </w:pPr>
          </w:p>
        </w:tc>
        <w:tc>
          <w:tcPr>
            <w:tcW w:w="1108" w:type="dxa"/>
            <w:vMerge w:val="restart"/>
            <w:tcBorders>
              <w:right w:val="nil"/>
            </w:tcBorders>
            <w:shd w:val="clear" w:color="auto" w:fill="auto"/>
            <w:vAlign w:val="center"/>
          </w:tcPr>
          <w:p w14:paraId="174C6C7A">
            <w:pPr>
              <w:pStyle w:val="58"/>
              <w:spacing w:line="240" w:lineRule="auto"/>
              <w:ind w:firstLine="0" w:firstLineChars="0"/>
              <w:jc w:val="center"/>
              <w:rPr>
                <w:sz w:val="21"/>
                <w:szCs w:val="21"/>
              </w:rPr>
            </w:pPr>
            <w:r>
              <w:rPr>
                <w:rFonts w:hint="eastAsia"/>
                <w:sz w:val="21"/>
                <w:szCs w:val="21"/>
              </w:rPr>
              <w:t>车间或生产设施废水排放口</w:t>
            </w:r>
          </w:p>
        </w:tc>
      </w:tr>
      <w:tr w14:paraId="1DBF7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58B08730">
            <w:pPr>
              <w:pStyle w:val="58"/>
              <w:spacing w:line="240" w:lineRule="auto"/>
              <w:ind w:firstLine="0" w:firstLineChars="0"/>
              <w:jc w:val="center"/>
              <w:rPr>
                <w:sz w:val="21"/>
                <w:szCs w:val="21"/>
              </w:rPr>
            </w:pPr>
            <w:r>
              <w:rPr>
                <w:rFonts w:hint="eastAsia"/>
                <w:sz w:val="21"/>
                <w:szCs w:val="21"/>
              </w:rPr>
              <w:t>11</w:t>
            </w:r>
          </w:p>
        </w:tc>
        <w:tc>
          <w:tcPr>
            <w:tcW w:w="1326" w:type="dxa"/>
            <w:shd w:val="clear" w:color="auto" w:fill="auto"/>
            <w:vAlign w:val="center"/>
          </w:tcPr>
          <w:p w14:paraId="073F1528">
            <w:pPr>
              <w:pStyle w:val="58"/>
              <w:spacing w:line="240" w:lineRule="auto"/>
              <w:ind w:firstLine="0" w:firstLineChars="0"/>
              <w:jc w:val="center"/>
              <w:rPr>
                <w:sz w:val="21"/>
                <w:szCs w:val="21"/>
              </w:rPr>
            </w:pPr>
            <w:r>
              <w:rPr>
                <w:sz w:val="21"/>
                <w:szCs w:val="21"/>
              </w:rPr>
              <w:t>总镉</w:t>
            </w:r>
          </w:p>
        </w:tc>
        <w:tc>
          <w:tcPr>
            <w:tcW w:w="3786" w:type="dxa"/>
            <w:gridSpan w:val="3"/>
            <w:shd w:val="clear" w:color="auto" w:fill="auto"/>
            <w:vAlign w:val="center"/>
          </w:tcPr>
          <w:p w14:paraId="1A1B5568">
            <w:pPr>
              <w:pStyle w:val="58"/>
              <w:spacing w:line="240" w:lineRule="auto"/>
              <w:ind w:firstLine="0" w:firstLineChars="0"/>
              <w:jc w:val="center"/>
              <w:rPr>
                <w:sz w:val="21"/>
                <w:szCs w:val="21"/>
              </w:rPr>
            </w:pPr>
            <w:r>
              <w:rPr>
                <w:rFonts w:hint="eastAsia"/>
                <w:sz w:val="21"/>
                <w:szCs w:val="21"/>
              </w:rPr>
              <w:t>0.1</w:t>
            </w:r>
          </w:p>
        </w:tc>
        <w:tc>
          <w:tcPr>
            <w:tcW w:w="1069" w:type="dxa"/>
            <w:vMerge w:val="continue"/>
            <w:vAlign w:val="center"/>
          </w:tcPr>
          <w:p w14:paraId="25A84143">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42DC6FF2">
            <w:pPr>
              <w:pStyle w:val="58"/>
              <w:spacing w:line="240" w:lineRule="auto"/>
              <w:ind w:firstLine="0" w:firstLineChars="0"/>
              <w:jc w:val="center"/>
              <w:rPr>
                <w:sz w:val="21"/>
                <w:szCs w:val="21"/>
              </w:rPr>
            </w:pPr>
          </w:p>
        </w:tc>
      </w:tr>
      <w:tr w14:paraId="66CE9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5463CD23">
            <w:pPr>
              <w:pStyle w:val="58"/>
              <w:spacing w:line="240" w:lineRule="auto"/>
              <w:ind w:firstLine="0" w:firstLineChars="0"/>
              <w:jc w:val="center"/>
              <w:rPr>
                <w:sz w:val="21"/>
                <w:szCs w:val="21"/>
              </w:rPr>
            </w:pPr>
            <w:r>
              <w:rPr>
                <w:rFonts w:hint="eastAsia"/>
                <w:sz w:val="21"/>
                <w:szCs w:val="21"/>
              </w:rPr>
              <w:t>12</w:t>
            </w:r>
          </w:p>
        </w:tc>
        <w:tc>
          <w:tcPr>
            <w:tcW w:w="1326" w:type="dxa"/>
            <w:shd w:val="clear" w:color="auto" w:fill="auto"/>
            <w:vAlign w:val="center"/>
          </w:tcPr>
          <w:p w14:paraId="13C1A2DE">
            <w:pPr>
              <w:pStyle w:val="58"/>
              <w:spacing w:line="240" w:lineRule="auto"/>
              <w:ind w:firstLine="0" w:firstLineChars="0"/>
              <w:jc w:val="center"/>
              <w:rPr>
                <w:sz w:val="21"/>
                <w:szCs w:val="21"/>
              </w:rPr>
            </w:pPr>
            <w:r>
              <w:rPr>
                <w:sz w:val="21"/>
                <w:szCs w:val="21"/>
              </w:rPr>
              <w:t>总铬</w:t>
            </w:r>
          </w:p>
        </w:tc>
        <w:tc>
          <w:tcPr>
            <w:tcW w:w="3786" w:type="dxa"/>
            <w:gridSpan w:val="3"/>
            <w:shd w:val="clear" w:color="auto" w:fill="auto"/>
            <w:vAlign w:val="center"/>
          </w:tcPr>
          <w:p w14:paraId="0691C863">
            <w:pPr>
              <w:pStyle w:val="58"/>
              <w:spacing w:line="240" w:lineRule="auto"/>
              <w:ind w:firstLine="0" w:firstLineChars="0"/>
              <w:jc w:val="center"/>
              <w:rPr>
                <w:sz w:val="21"/>
                <w:szCs w:val="21"/>
              </w:rPr>
            </w:pPr>
            <w:r>
              <w:rPr>
                <w:rFonts w:hint="eastAsia"/>
                <w:sz w:val="21"/>
                <w:szCs w:val="21"/>
              </w:rPr>
              <w:t>1.5</w:t>
            </w:r>
          </w:p>
        </w:tc>
        <w:tc>
          <w:tcPr>
            <w:tcW w:w="1069" w:type="dxa"/>
            <w:vMerge w:val="continue"/>
            <w:vAlign w:val="center"/>
          </w:tcPr>
          <w:p w14:paraId="21C1381D">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0C926237">
            <w:pPr>
              <w:pStyle w:val="58"/>
              <w:spacing w:line="240" w:lineRule="auto"/>
              <w:ind w:firstLine="0" w:firstLineChars="0"/>
              <w:jc w:val="center"/>
              <w:rPr>
                <w:sz w:val="21"/>
                <w:szCs w:val="21"/>
              </w:rPr>
            </w:pPr>
          </w:p>
        </w:tc>
      </w:tr>
      <w:tr w14:paraId="01D71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1F3E5CDB">
            <w:pPr>
              <w:pStyle w:val="58"/>
              <w:spacing w:line="240" w:lineRule="auto"/>
              <w:ind w:firstLine="0" w:firstLineChars="0"/>
              <w:jc w:val="center"/>
              <w:rPr>
                <w:sz w:val="21"/>
                <w:szCs w:val="21"/>
              </w:rPr>
            </w:pPr>
            <w:r>
              <w:rPr>
                <w:rFonts w:hint="eastAsia"/>
                <w:sz w:val="21"/>
                <w:szCs w:val="21"/>
              </w:rPr>
              <w:t>13</w:t>
            </w:r>
          </w:p>
        </w:tc>
        <w:tc>
          <w:tcPr>
            <w:tcW w:w="1326" w:type="dxa"/>
            <w:shd w:val="clear" w:color="auto" w:fill="auto"/>
            <w:vAlign w:val="center"/>
          </w:tcPr>
          <w:p w14:paraId="367D02CB">
            <w:pPr>
              <w:pStyle w:val="58"/>
              <w:spacing w:line="240" w:lineRule="auto"/>
              <w:ind w:firstLine="0" w:firstLineChars="0"/>
              <w:jc w:val="center"/>
              <w:rPr>
                <w:sz w:val="21"/>
                <w:szCs w:val="21"/>
              </w:rPr>
            </w:pPr>
            <w:r>
              <w:rPr>
                <w:sz w:val="21"/>
                <w:szCs w:val="21"/>
              </w:rPr>
              <w:t>六价铬</w:t>
            </w:r>
          </w:p>
        </w:tc>
        <w:tc>
          <w:tcPr>
            <w:tcW w:w="3786" w:type="dxa"/>
            <w:gridSpan w:val="3"/>
            <w:shd w:val="clear" w:color="auto" w:fill="auto"/>
            <w:vAlign w:val="center"/>
          </w:tcPr>
          <w:p w14:paraId="74E0F94A">
            <w:pPr>
              <w:pStyle w:val="58"/>
              <w:spacing w:line="240" w:lineRule="auto"/>
              <w:ind w:firstLine="0" w:firstLineChars="0"/>
              <w:jc w:val="center"/>
              <w:rPr>
                <w:sz w:val="21"/>
                <w:szCs w:val="21"/>
              </w:rPr>
            </w:pPr>
            <w:r>
              <w:rPr>
                <w:rFonts w:hint="eastAsia"/>
                <w:sz w:val="21"/>
                <w:szCs w:val="21"/>
              </w:rPr>
              <w:t>0.5</w:t>
            </w:r>
          </w:p>
        </w:tc>
        <w:tc>
          <w:tcPr>
            <w:tcW w:w="1069" w:type="dxa"/>
            <w:vMerge w:val="continue"/>
            <w:vAlign w:val="center"/>
          </w:tcPr>
          <w:p w14:paraId="75C87A06">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26FE38D5">
            <w:pPr>
              <w:pStyle w:val="58"/>
              <w:spacing w:line="240" w:lineRule="auto"/>
              <w:ind w:firstLine="0" w:firstLineChars="0"/>
              <w:jc w:val="center"/>
              <w:rPr>
                <w:sz w:val="21"/>
                <w:szCs w:val="21"/>
              </w:rPr>
            </w:pPr>
          </w:p>
        </w:tc>
      </w:tr>
      <w:tr w14:paraId="15280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33D68709">
            <w:pPr>
              <w:pStyle w:val="58"/>
              <w:spacing w:line="240" w:lineRule="auto"/>
              <w:ind w:firstLine="0" w:firstLineChars="0"/>
              <w:jc w:val="center"/>
              <w:rPr>
                <w:sz w:val="21"/>
                <w:szCs w:val="21"/>
              </w:rPr>
            </w:pPr>
            <w:r>
              <w:rPr>
                <w:rFonts w:hint="eastAsia"/>
                <w:sz w:val="21"/>
                <w:szCs w:val="21"/>
              </w:rPr>
              <w:t>14</w:t>
            </w:r>
          </w:p>
        </w:tc>
        <w:tc>
          <w:tcPr>
            <w:tcW w:w="1326" w:type="dxa"/>
            <w:shd w:val="clear" w:color="auto" w:fill="auto"/>
            <w:vAlign w:val="center"/>
          </w:tcPr>
          <w:p w14:paraId="480730A0">
            <w:pPr>
              <w:pStyle w:val="58"/>
              <w:spacing w:line="240" w:lineRule="auto"/>
              <w:ind w:firstLine="0" w:firstLineChars="0"/>
              <w:jc w:val="center"/>
              <w:rPr>
                <w:sz w:val="21"/>
                <w:szCs w:val="21"/>
              </w:rPr>
            </w:pPr>
            <w:r>
              <w:rPr>
                <w:sz w:val="21"/>
                <w:szCs w:val="21"/>
              </w:rPr>
              <w:t>总铅</w:t>
            </w:r>
          </w:p>
        </w:tc>
        <w:tc>
          <w:tcPr>
            <w:tcW w:w="3786" w:type="dxa"/>
            <w:gridSpan w:val="3"/>
            <w:shd w:val="clear" w:color="auto" w:fill="auto"/>
            <w:vAlign w:val="center"/>
          </w:tcPr>
          <w:p w14:paraId="56E13820">
            <w:pPr>
              <w:pStyle w:val="58"/>
              <w:spacing w:line="240" w:lineRule="auto"/>
              <w:ind w:firstLine="0" w:firstLineChars="0"/>
              <w:jc w:val="center"/>
              <w:rPr>
                <w:sz w:val="21"/>
                <w:szCs w:val="21"/>
              </w:rPr>
            </w:pPr>
            <w:r>
              <w:rPr>
                <w:rFonts w:hint="eastAsia"/>
                <w:sz w:val="21"/>
                <w:szCs w:val="21"/>
              </w:rPr>
              <w:t>1.0</w:t>
            </w:r>
          </w:p>
        </w:tc>
        <w:tc>
          <w:tcPr>
            <w:tcW w:w="1069" w:type="dxa"/>
            <w:vMerge w:val="continue"/>
            <w:vAlign w:val="center"/>
          </w:tcPr>
          <w:p w14:paraId="193300D7">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54B3EA15">
            <w:pPr>
              <w:pStyle w:val="58"/>
              <w:spacing w:line="240" w:lineRule="auto"/>
              <w:ind w:firstLine="0" w:firstLineChars="0"/>
              <w:jc w:val="center"/>
              <w:rPr>
                <w:sz w:val="21"/>
                <w:szCs w:val="21"/>
              </w:rPr>
            </w:pPr>
          </w:p>
        </w:tc>
      </w:tr>
      <w:tr w14:paraId="0AF26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3BB0400D">
            <w:pPr>
              <w:pStyle w:val="58"/>
              <w:spacing w:line="240" w:lineRule="auto"/>
              <w:ind w:firstLine="0" w:firstLineChars="0"/>
              <w:jc w:val="center"/>
              <w:rPr>
                <w:sz w:val="21"/>
                <w:szCs w:val="21"/>
              </w:rPr>
            </w:pPr>
            <w:r>
              <w:rPr>
                <w:rFonts w:hint="eastAsia"/>
                <w:sz w:val="21"/>
                <w:szCs w:val="21"/>
              </w:rPr>
              <w:t>15</w:t>
            </w:r>
          </w:p>
        </w:tc>
        <w:tc>
          <w:tcPr>
            <w:tcW w:w="1326" w:type="dxa"/>
            <w:shd w:val="clear" w:color="auto" w:fill="auto"/>
            <w:vAlign w:val="center"/>
          </w:tcPr>
          <w:p w14:paraId="7395F974">
            <w:pPr>
              <w:pStyle w:val="58"/>
              <w:spacing w:line="240" w:lineRule="auto"/>
              <w:ind w:firstLine="0" w:firstLineChars="0"/>
              <w:jc w:val="center"/>
              <w:rPr>
                <w:sz w:val="21"/>
                <w:szCs w:val="21"/>
              </w:rPr>
            </w:pPr>
            <w:r>
              <w:rPr>
                <w:sz w:val="21"/>
                <w:szCs w:val="21"/>
              </w:rPr>
              <w:t>总砷</w:t>
            </w:r>
          </w:p>
        </w:tc>
        <w:tc>
          <w:tcPr>
            <w:tcW w:w="3786" w:type="dxa"/>
            <w:gridSpan w:val="3"/>
            <w:shd w:val="clear" w:color="auto" w:fill="auto"/>
            <w:vAlign w:val="center"/>
          </w:tcPr>
          <w:p w14:paraId="5B8FC2F6">
            <w:pPr>
              <w:pStyle w:val="58"/>
              <w:spacing w:line="240" w:lineRule="auto"/>
              <w:ind w:firstLine="0" w:firstLineChars="0"/>
              <w:jc w:val="center"/>
              <w:rPr>
                <w:sz w:val="21"/>
                <w:szCs w:val="21"/>
              </w:rPr>
            </w:pPr>
            <w:r>
              <w:rPr>
                <w:rFonts w:hint="eastAsia"/>
                <w:sz w:val="21"/>
                <w:szCs w:val="21"/>
              </w:rPr>
              <w:t>0.5</w:t>
            </w:r>
          </w:p>
        </w:tc>
        <w:tc>
          <w:tcPr>
            <w:tcW w:w="1069" w:type="dxa"/>
            <w:vMerge w:val="continue"/>
            <w:vAlign w:val="center"/>
          </w:tcPr>
          <w:p w14:paraId="35373FE5">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239AF694">
            <w:pPr>
              <w:pStyle w:val="58"/>
              <w:spacing w:line="240" w:lineRule="auto"/>
              <w:ind w:firstLine="0" w:firstLineChars="0"/>
              <w:jc w:val="center"/>
              <w:rPr>
                <w:sz w:val="21"/>
                <w:szCs w:val="21"/>
              </w:rPr>
            </w:pPr>
          </w:p>
        </w:tc>
      </w:tr>
      <w:tr w14:paraId="24D53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tcBorders>
              <w:left w:val="nil"/>
            </w:tcBorders>
            <w:shd w:val="clear" w:color="auto" w:fill="auto"/>
            <w:vAlign w:val="center"/>
          </w:tcPr>
          <w:p w14:paraId="0FCF0161">
            <w:pPr>
              <w:pStyle w:val="58"/>
              <w:spacing w:line="240" w:lineRule="auto"/>
              <w:ind w:firstLine="0" w:firstLineChars="0"/>
              <w:jc w:val="center"/>
              <w:rPr>
                <w:sz w:val="21"/>
                <w:szCs w:val="21"/>
              </w:rPr>
            </w:pPr>
            <w:r>
              <w:rPr>
                <w:rFonts w:hint="eastAsia"/>
                <w:sz w:val="21"/>
                <w:szCs w:val="21"/>
              </w:rPr>
              <w:t>16</w:t>
            </w:r>
          </w:p>
        </w:tc>
        <w:tc>
          <w:tcPr>
            <w:tcW w:w="1326" w:type="dxa"/>
            <w:shd w:val="clear" w:color="auto" w:fill="auto"/>
            <w:vAlign w:val="center"/>
          </w:tcPr>
          <w:p w14:paraId="1374B24B">
            <w:pPr>
              <w:pStyle w:val="58"/>
              <w:spacing w:line="240" w:lineRule="auto"/>
              <w:ind w:firstLine="0" w:firstLineChars="0"/>
              <w:jc w:val="center"/>
              <w:rPr>
                <w:sz w:val="21"/>
                <w:szCs w:val="21"/>
              </w:rPr>
            </w:pPr>
            <w:r>
              <w:rPr>
                <w:rFonts w:hint="eastAsia"/>
                <w:sz w:val="21"/>
                <w:szCs w:val="21"/>
              </w:rPr>
              <w:t>总镍</w:t>
            </w:r>
          </w:p>
        </w:tc>
        <w:tc>
          <w:tcPr>
            <w:tcW w:w="3786" w:type="dxa"/>
            <w:gridSpan w:val="3"/>
            <w:shd w:val="clear" w:color="auto" w:fill="auto"/>
            <w:vAlign w:val="center"/>
          </w:tcPr>
          <w:p w14:paraId="7EE8A8BB">
            <w:pPr>
              <w:pStyle w:val="58"/>
              <w:spacing w:line="240" w:lineRule="auto"/>
              <w:ind w:firstLine="0" w:firstLineChars="0"/>
              <w:jc w:val="center"/>
              <w:rPr>
                <w:sz w:val="21"/>
                <w:szCs w:val="21"/>
              </w:rPr>
            </w:pPr>
            <w:r>
              <w:rPr>
                <w:rFonts w:hint="eastAsia"/>
                <w:sz w:val="21"/>
                <w:szCs w:val="21"/>
              </w:rPr>
              <w:t>1.0</w:t>
            </w:r>
          </w:p>
        </w:tc>
        <w:tc>
          <w:tcPr>
            <w:tcW w:w="1069" w:type="dxa"/>
            <w:vMerge w:val="continue"/>
            <w:vAlign w:val="center"/>
          </w:tcPr>
          <w:p w14:paraId="3E9E04B2">
            <w:pPr>
              <w:pStyle w:val="58"/>
              <w:spacing w:line="240" w:lineRule="auto"/>
              <w:ind w:firstLine="0" w:firstLineChars="0"/>
              <w:jc w:val="center"/>
              <w:rPr>
                <w:sz w:val="21"/>
                <w:szCs w:val="21"/>
              </w:rPr>
            </w:pPr>
          </w:p>
        </w:tc>
        <w:tc>
          <w:tcPr>
            <w:tcW w:w="1108" w:type="dxa"/>
            <w:vMerge w:val="continue"/>
            <w:tcBorders>
              <w:right w:val="nil"/>
            </w:tcBorders>
            <w:shd w:val="clear" w:color="auto" w:fill="auto"/>
            <w:vAlign w:val="center"/>
          </w:tcPr>
          <w:p w14:paraId="4F26F6C2">
            <w:pPr>
              <w:pStyle w:val="58"/>
              <w:spacing w:line="240" w:lineRule="auto"/>
              <w:ind w:firstLine="0" w:firstLineChars="0"/>
              <w:jc w:val="center"/>
              <w:rPr>
                <w:sz w:val="21"/>
                <w:szCs w:val="21"/>
              </w:rPr>
            </w:pPr>
          </w:p>
        </w:tc>
      </w:tr>
      <w:tr w14:paraId="1FE0C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restart"/>
            <w:tcBorders>
              <w:left w:val="nil"/>
            </w:tcBorders>
            <w:shd w:val="clear" w:color="auto" w:fill="auto"/>
            <w:vAlign w:val="center"/>
          </w:tcPr>
          <w:p w14:paraId="23DECAA1">
            <w:pPr>
              <w:pStyle w:val="58"/>
              <w:spacing w:line="240" w:lineRule="auto"/>
              <w:ind w:firstLine="0" w:firstLineChars="0"/>
              <w:jc w:val="center"/>
              <w:rPr>
                <w:sz w:val="21"/>
                <w:szCs w:val="21"/>
              </w:rPr>
            </w:pPr>
            <w:r>
              <w:rPr>
                <w:rFonts w:hint="eastAsia"/>
                <w:sz w:val="21"/>
                <w:szCs w:val="21"/>
              </w:rPr>
              <w:t>单位产品基准排水量</w:t>
            </w:r>
          </w:p>
        </w:tc>
        <w:tc>
          <w:tcPr>
            <w:tcW w:w="1326" w:type="dxa"/>
            <w:shd w:val="clear" w:color="auto" w:fill="auto"/>
            <w:vAlign w:val="center"/>
          </w:tcPr>
          <w:p w14:paraId="35103DFB">
            <w:pPr>
              <w:pStyle w:val="58"/>
              <w:spacing w:line="240" w:lineRule="auto"/>
              <w:ind w:firstLine="0" w:firstLineChars="0"/>
              <w:jc w:val="center"/>
              <w:rPr>
                <w:sz w:val="21"/>
                <w:szCs w:val="21"/>
              </w:rPr>
            </w:pPr>
            <w:r>
              <w:rPr>
                <w:rFonts w:hint="eastAsia"/>
                <w:sz w:val="21"/>
                <w:szCs w:val="21"/>
              </w:rPr>
              <w:t>采矿</w:t>
            </w:r>
          </w:p>
        </w:tc>
        <w:tc>
          <w:tcPr>
            <w:tcW w:w="3786" w:type="dxa"/>
            <w:gridSpan w:val="3"/>
            <w:shd w:val="clear" w:color="auto" w:fill="auto"/>
            <w:vAlign w:val="center"/>
          </w:tcPr>
          <w:p w14:paraId="4B26A890">
            <w:pPr>
              <w:pStyle w:val="58"/>
              <w:spacing w:line="240" w:lineRule="auto"/>
              <w:ind w:firstLine="0" w:firstLineChars="0"/>
              <w:jc w:val="center"/>
              <w:rPr>
                <w:sz w:val="21"/>
                <w:szCs w:val="21"/>
              </w:rPr>
            </w:pPr>
            <w:r>
              <w:rPr>
                <w:rFonts w:hint="eastAsia"/>
                <w:sz w:val="21"/>
                <w:szCs w:val="21"/>
              </w:rPr>
              <w:t>/</w:t>
            </w:r>
          </w:p>
        </w:tc>
        <w:tc>
          <w:tcPr>
            <w:tcW w:w="1069" w:type="dxa"/>
            <w:vAlign w:val="center"/>
          </w:tcPr>
          <w:p w14:paraId="251D891C">
            <w:pPr>
              <w:pStyle w:val="58"/>
              <w:spacing w:line="240" w:lineRule="auto"/>
              <w:ind w:firstLine="0" w:firstLineChars="0"/>
              <w:jc w:val="center"/>
              <w:rPr>
                <w:sz w:val="21"/>
                <w:szCs w:val="21"/>
              </w:rPr>
            </w:pPr>
            <w:r>
              <w:rPr>
                <w:rFonts w:hint="eastAsia"/>
                <w:sz w:val="21"/>
                <w:szCs w:val="21"/>
              </w:rPr>
              <w:t>/</w:t>
            </w:r>
          </w:p>
        </w:tc>
        <w:tc>
          <w:tcPr>
            <w:tcW w:w="1108" w:type="dxa"/>
            <w:vMerge w:val="restart"/>
            <w:tcBorders>
              <w:right w:val="nil"/>
            </w:tcBorders>
            <w:shd w:val="clear" w:color="auto" w:fill="auto"/>
            <w:vAlign w:val="center"/>
          </w:tcPr>
          <w:p w14:paraId="7921C71E">
            <w:pPr>
              <w:pStyle w:val="58"/>
              <w:spacing w:line="240" w:lineRule="auto"/>
              <w:ind w:firstLine="0" w:firstLineChars="0"/>
              <w:jc w:val="center"/>
              <w:rPr>
                <w:sz w:val="21"/>
                <w:szCs w:val="21"/>
              </w:rPr>
            </w:pPr>
            <w:r>
              <w:rPr>
                <w:rFonts w:hint="eastAsia"/>
                <w:sz w:val="21"/>
                <w:szCs w:val="21"/>
              </w:rPr>
              <w:t>与污染物排放监控位置相同</w:t>
            </w:r>
          </w:p>
        </w:tc>
      </w:tr>
      <w:tr w14:paraId="01A11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continue"/>
            <w:tcBorders>
              <w:left w:val="nil"/>
            </w:tcBorders>
            <w:shd w:val="clear" w:color="auto" w:fill="auto"/>
            <w:vAlign w:val="center"/>
          </w:tcPr>
          <w:p w14:paraId="0C9F45AA">
            <w:pPr>
              <w:pStyle w:val="58"/>
              <w:spacing w:line="240" w:lineRule="auto"/>
              <w:ind w:firstLine="0" w:firstLineChars="0"/>
              <w:jc w:val="center"/>
              <w:rPr>
                <w:sz w:val="21"/>
                <w:szCs w:val="21"/>
              </w:rPr>
            </w:pPr>
          </w:p>
        </w:tc>
        <w:tc>
          <w:tcPr>
            <w:tcW w:w="1326" w:type="dxa"/>
            <w:shd w:val="clear" w:color="auto" w:fill="auto"/>
            <w:vAlign w:val="center"/>
          </w:tcPr>
          <w:p w14:paraId="55404DE5">
            <w:pPr>
              <w:pStyle w:val="58"/>
              <w:spacing w:line="240" w:lineRule="auto"/>
              <w:ind w:firstLine="0" w:firstLineChars="0"/>
              <w:jc w:val="center"/>
              <w:rPr>
                <w:sz w:val="21"/>
                <w:szCs w:val="21"/>
              </w:rPr>
            </w:pPr>
            <w:r>
              <w:rPr>
                <w:rFonts w:hint="eastAsia"/>
                <w:sz w:val="21"/>
                <w:szCs w:val="21"/>
              </w:rPr>
              <w:t>磁选</w:t>
            </w:r>
          </w:p>
        </w:tc>
        <w:tc>
          <w:tcPr>
            <w:tcW w:w="3786" w:type="dxa"/>
            <w:gridSpan w:val="3"/>
            <w:shd w:val="clear" w:color="auto" w:fill="auto"/>
            <w:vAlign w:val="center"/>
          </w:tcPr>
          <w:p w14:paraId="1EF91A71">
            <w:pPr>
              <w:pStyle w:val="58"/>
              <w:spacing w:line="240" w:lineRule="auto"/>
              <w:ind w:firstLine="0" w:firstLineChars="0"/>
              <w:jc w:val="center"/>
              <w:rPr>
                <w:sz w:val="21"/>
                <w:szCs w:val="21"/>
              </w:rPr>
            </w:pPr>
            <w:r>
              <w:rPr>
                <w:rFonts w:hint="eastAsia"/>
                <w:sz w:val="21"/>
                <w:szCs w:val="21"/>
              </w:rPr>
              <w:t>3.0</w:t>
            </w:r>
          </w:p>
        </w:tc>
        <w:tc>
          <w:tcPr>
            <w:tcW w:w="1069" w:type="dxa"/>
            <w:vAlign w:val="center"/>
          </w:tcPr>
          <w:p w14:paraId="55782921">
            <w:pPr>
              <w:pStyle w:val="58"/>
              <w:spacing w:line="240" w:lineRule="auto"/>
              <w:ind w:firstLine="0" w:firstLineChars="0"/>
              <w:jc w:val="center"/>
              <w:rPr>
                <w:sz w:val="21"/>
                <w:szCs w:val="21"/>
              </w:rPr>
            </w:pPr>
            <w:r>
              <w:rPr>
                <w:sz w:val="21"/>
                <w:szCs w:val="21"/>
              </w:rPr>
              <w:t>m</w:t>
            </w:r>
            <w:r>
              <w:rPr>
                <w:sz w:val="21"/>
                <w:szCs w:val="21"/>
                <w:vertAlign w:val="superscript"/>
              </w:rPr>
              <w:t>3</w:t>
            </w:r>
            <w:r>
              <w:rPr>
                <w:sz w:val="21"/>
                <w:szCs w:val="21"/>
              </w:rPr>
              <w:t>/t矿石</w:t>
            </w:r>
          </w:p>
        </w:tc>
        <w:tc>
          <w:tcPr>
            <w:tcW w:w="1108" w:type="dxa"/>
            <w:vMerge w:val="continue"/>
            <w:tcBorders>
              <w:right w:val="nil"/>
            </w:tcBorders>
            <w:shd w:val="clear" w:color="auto" w:fill="auto"/>
            <w:vAlign w:val="center"/>
          </w:tcPr>
          <w:p w14:paraId="7DCECD26">
            <w:pPr>
              <w:pStyle w:val="58"/>
              <w:spacing w:line="240" w:lineRule="auto"/>
              <w:ind w:firstLine="0" w:firstLineChars="0"/>
              <w:jc w:val="center"/>
              <w:rPr>
                <w:sz w:val="21"/>
                <w:szCs w:val="21"/>
              </w:rPr>
            </w:pPr>
          </w:p>
        </w:tc>
      </w:tr>
    </w:tbl>
    <w:p w14:paraId="06494025">
      <w:pPr>
        <w:pStyle w:val="49"/>
      </w:pPr>
      <w:r>
        <w:t>表1.</w:t>
      </w:r>
      <w:r>
        <w:rPr>
          <w:rFonts w:hint="eastAsia"/>
        </w:rPr>
        <w:t>4</w:t>
      </w:r>
      <w:r>
        <w:t>-</w:t>
      </w:r>
      <w:r>
        <w:rPr>
          <w:rFonts w:hint="eastAsia"/>
        </w:rPr>
        <w:t>11</w:t>
      </w:r>
      <w:r>
        <w:t xml:space="preserve">  生活污水</w:t>
      </w:r>
      <w:r>
        <w:rPr>
          <w:rFonts w:hint="eastAsia"/>
        </w:rPr>
        <w:t>经处理后</w:t>
      </w:r>
      <w:r>
        <w:t>水质排放标准</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50"/>
        <w:gridCol w:w="1080"/>
        <w:gridCol w:w="1079"/>
        <w:gridCol w:w="1081"/>
        <w:gridCol w:w="963"/>
        <w:gridCol w:w="1193"/>
        <w:gridCol w:w="1080"/>
      </w:tblGrid>
      <w:tr w14:paraId="439701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998" w:type="dxa"/>
            <w:vAlign w:val="center"/>
          </w:tcPr>
          <w:p w14:paraId="432E8BCE">
            <w:pPr>
              <w:pStyle w:val="59"/>
              <w:spacing w:line="240" w:lineRule="auto"/>
              <w:ind w:firstLine="0" w:firstLineChars="0"/>
              <w:jc w:val="center"/>
              <w:rPr>
                <w:b/>
                <w:bCs/>
                <w:sz w:val="21"/>
                <w:szCs w:val="21"/>
                <w:lang w:val="zh-CN"/>
              </w:rPr>
            </w:pPr>
            <w:r>
              <w:rPr>
                <w:b/>
                <w:bCs/>
                <w:sz w:val="21"/>
                <w:szCs w:val="21"/>
                <w:lang w:val="zh-CN"/>
              </w:rPr>
              <w:t>水质指标</w:t>
            </w:r>
          </w:p>
        </w:tc>
        <w:tc>
          <w:tcPr>
            <w:tcW w:w="1053" w:type="dxa"/>
            <w:vAlign w:val="center"/>
          </w:tcPr>
          <w:p w14:paraId="6BB638CC">
            <w:pPr>
              <w:pStyle w:val="59"/>
              <w:spacing w:line="240" w:lineRule="auto"/>
              <w:ind w:firstLine="0" w:firstLineChars="0"/>
              <w:jc w:val="center"/>
              <w:rPr>
                <w:b/>
                <w:bCs/>
                <w:sz w:val="21"/>
                <w:szCs w:val="21"/>
                <w:lang w:val="zh-CN"/>
              </w:rPr>
            </w:pPr>
            <w:r>
              <w:rPr>
                <w:b/>
                <w:bCs/>
                <w:sz w:val="21"/>
                <w:szCs w:val="21"/>
                <w:lang w:val="zh-CN"/>
              </w:rPr>
              <w:t>pH</w:t>
            </w:r>
          </w:p>
        </w:tc>
        <w:tc>
          <w:tcPr>
            <w:tcW w:w="1052" w:type="dxa"/>
            <w:vAlign w:val="center"/>
          </w:tcPr>
          <w:p w14:paraId="48ADD794">
            <w:pPr>
              <w:pStyle w:val="59"/>
              <w:spacing w:line="240" w:lineRule="auto"/>
              <w:ind w:firstLine="0" w:firstLineChars="0"/>
              <w:jc w:val="center"/>
              <w:rPr>
                <w:b/>
                <w:bCs/>
                <w:sz w:val="21"/>
                <w:szCs w:val="21"/>
              </w:rPr>
            </w:pPr>
            <w:r>
              <w:rPr>
                <w:b/>
                <w:bCs/>
                <w:sz w:val="21"/>
                <w:szCs w:val="21"/>
              </w:rPr>
              <w:t>SS</w:t>
            </w:r>
          </w:p>
        </w:tc>
        <w:tc>
          <w:tcPr>
            <w:tcW w:w="1054" w:type="dxa"/>
            <w:vAlign w:val="center"/>
          </w:tcPr>
          <w:p w14:paraId="50343124">
            <w:pPr>
              <w:pStyle w:val="59"/>
              <w:spacing w:line="240" w:lineRule="auto"/>
              <w:ind w:firstLine="0" w:firstLineChars="0"/>
              <w:jc w:val="center"/>
              <w:rPr>
                <w:b/>
                <w:bCs/>
                <w:sz w:val="21"/>
                <w:szCs w:val="21"/>
              </w:rPr>
            </w:pPr>
            <w:r>
              <w:rPr>
                <w:b/>
                <w:bCs/>
                <w:sz w:val="21"/>
                <w:szCs w:val="21"/>
              </w:rPr>
              <w:t>COD</w:t>
            </w:r>
          </w:p>
        </w:tc>
        <w:tc>
          <w:tcPr>
            <w:tcW w:w="939" w:type="dxa"/>
            <w:vAlign w:val="center"/>
          </w:tcPr>
          <w:p w14:paraId="7D4E0CE3">
            <w:pPr>
              <w:pStyle w:val="59"/>
              <w:spacing w:line="240" w:lineRule="auto"/>
              <w:ind w:firstLine="0" w:firstLineChars="0"/>
              <w:jc w:val="center"/>
              <w:rPr>
                <w:b/>
                <w:bCs/>
                <w:sz w:val="21"/>
                <w:szCs w:val="21"/>
              </w:rPr>
            </w:pPr>
            <w:r>
              <w:rPr>
                <w:b/>
                <w:bCs/>
                <w:sz w:val="21"/>
                <w:szCs w:val="21"/>
              </w:rPr>
              <w:t>BOD</w:t>
            </w:r>
            <w:r>
              <w:rPr>
                <w:b/>
                <w:bCs/>
                <w:sz w:val="21"/>
                <w:szCs w:val="21"/>
                <w:vertAlign w:val="subscript"/>
              </w:rPr>
              <w:t>5</w:t>
            </w:r>
          </w:p>
        </w:tc>
        <w:tc>
          <w:tcPr>
            <w:tcW w:w="1163" w:type="dxa"/>
            <w:vAlign w:val="center"/>
          </w:tcPr>
          <w:p w14:paraId="3651665D">
            <w:pPr>
              <w:pStyle w:val="59"/>
              <w:spacing w:line="240" w:lineRule="auto"/>
              <w:ind w:firstLine="0" w:firstLineChars="0"/>
              <w:jc w:val="center"/>
              <w:rPr>
                <w:b/>
                <w:bCs/>
                <w:sz w:val="21"/>
                <w:szCs w:val="21"/>
              </w:rPr>
            </w:pPr>
            <w:r>
              <w:rPr>
                <w:b/>
                <w:bCs/>
                <w:sz w:val="21"/>
                <w:szCs w:val="21"/>
              </w:rPr>
              <w:t>动植物油</w:t>
            </w:r>
          </w:p>
        </w:tc>
        <w:tc>
          <w:tcPr>
            <w:tcW w:w="1053" w:type="dxa"/>
            <w:vAlign w:val="center"/>
          </w:tcPr>
          <w:p w14:paraId="6BD0C809">
            <w:pPr>
              <w:pStyle w:val="59"/>
              <w:spacing w:line="240" w:lineRule="auto"/>
              <w:ind w:firstLine="0" w:firstLineChars="0"/>
              <w:jc w:val="center"/>
              <w:rPr>
                <w:b/>
                <w:bCs/>
                <w:sz w:val="21"/>
                <w:szCs w:val="21"/>
              </w:rPr>
            </w:pPr>
            <w:r>
              <w:rPr>
                <w:b/>
                <w:bCs/>
                <w:sz w:val="21"/>
                <w:szCs w:val="21"/>
              </w:rPr>
              <w:t>氨氮</w:t>
            </w:r>
          </w:p>
        </w:tc>
      </w:tr>
      <w:tr w14:paraId="50D11E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998" w:type="dxa"/>
            <w:vAlign w:val="center"/>
          </w:tcPr>
          <w:p w14:paraId="1328F065">
            <w:pPr>
              <w:pStyle w:val="59"/>
              <w:spacing w:line="240" w:lineRule="auto"/>
              <w:ind w:firstLine="0" w:firstLineChars="0"/>
              <w:jc w:val="center"/>
              <w:rPr>
                <w:sz w:val="21"/>
                <w:szCs w:val="21"/>
                <w:lang w:val="zh-CN"/>
              </w:rPr>
            </w:pPr>
            <w:r>
              <w:rPr>
                <w:sz w:val="21"/>
                <w:szCs w:val="21"/>
                <w:lang w:val="zh-CN"/>
              </w:rPr>
              <w:t>GB 8978-1996</w:t>
            </w:r>
            <w:r>
              <w:rPr>
                <w:rFonts w:hint="eastAsia"/>
                <w:sz w:val="21"/>
                <w:szCs w:val="21"/>
                <w:lang w:val="zh-CN"/>
              </w:rPr>
              <w:t>一</w:t>
            </w:r>
            <w:r>
              <w:rPr>
                <w:sz w:val="21"/>
                <w:szCs w:val="21"/>
                <w:lang w:val="zh-CN"/>
              </w:rPr>
              <w:t>级</w:t>
            </w:r>
          </w:p>
        </w:tc>
        <w:tc>
          <w:tcPr>
            <w:tcW w:w="1053" w:type="dxa"/>
            <w:vAlign w:val="center"/>
          </w:tcPr>
          <w:p w14:paraId="249B074B">
            <w:pPr>
              <w:pStyle w:val="59"/>
              <w:spacing w:line="240" w:lineRule="auto"/>
              <w:ind w:firstLine="0" w:firstLineChars="0"/>
              <w:jc w:val="center"/>
              <w:rPr>
                <w:sz w:val="21"/>
                <w:szCs w:val="21"/>
                <w:lang w:val="zh-CN"/>
              </w:rPr>
            </w:pPr>
            <w:r>
              <w:rPr>
                <w:sz w:val="21"/>
                <w:szCs w:val="21"/>
                <w:lang w:val="zh-CN"/>
              </w:rPr>
              <w:t>6～9</w:t>
            </w:r>
          </w:p>
        </w:tc>
        <w:tc>
          <w:tcPr>
            <w:tcW w:w="1052" w:type="dxa"/>
            <w:vAlign w:val="center"/>
          </w:tcPr>
          <w:p w14:paraId="6A738F5A">
            <w:pPr>
              <w:pStyle w:val="59"/>
              <w:spacing w:line="240" w:lineRule="auto"/>
              <w:ind w:firstLine="0" w:firstLineChars="0"/>
              <w:jc w:val="center"/>
              <w:rPr>
                <w:sz w:val="21"/>
                <w:szCs w:val="21"/>
                <w:lang w:val="zh-CN"/>
              </w:rPr>
            </w:pPr>
            <w:r>
              <w:rPr>
                <w:rFonts w:hint="eastAsia"/>
                <w:sz w:val="21"/>
                <w:szCs w:val="21"/>
                <w:lang w:val="zh-CN"/>
              </w:rPr>
              <w:t>＜7</w:t>
            </w:r>
            <w:r>
              <w:rPr>
                <w:sz w:val="21"/>
                <w:szCs w:val="21"/>
                <w:lang w:val="zh-CN"/>
              </w:rPr>
              <w:t>0</w:t>
            </w:r>
          </w:p>
        </w:tc>
        <w:tc>
          <w:tcPr>
            <w:tcW w:w="1054" w:type="dxa"/>
            <w:vAlign w:val="center"/>
          </w:tcPr>
          <w:p w14:paraId="6E4F57FE">
            <w:pPr>
              <w:pStyle w:val="59"/>
              <w:spacing w:line="240" w:lineRule="auto"/>
              <w:ind w:firstLine="0" w:firstLineChars="0"/>
              <w:jc w:val="center"/>
              <w:rPr>
                <w:sz w:val="21"/>
                <w:szCs w:val="21"/>
                <w:lang w:val="zh-CN"/>
              </w:rPr>
            </w:pPr>
            <w:r>
              <w:rPr>
                <w:rFonts w:hint="eastAsia"/>
                <w:sz w:val="21"/>
                <w:szCs w:val="21"/>
                <w:lang w:val="zh-CN"/>
              </w:rPr>
              <w:t>＜</w:t>
            </w:r>
            <w:r>
              <w:rPr>
                <w:sz w:val="21"/>
                <w:szCs w:val="21"/>
                <w:lang w:val="zh-CN"/>
              </w:rPr>
              <w:t>1</w:t>
            </w:r>
            <w:r>
              <w:rPr>
                <w:rFonts w:hint="eastAsia"/>
                <w:sz w:val="21"/>
                <w:szCs w:val="21"/>
                <w:lang w:val="zh-CN"/>
              </w:rPr>
              <w:t>0</w:t>
            </w:r>
            <w:r>
              <w:rPr>
                <w:sz w:val="21"/>
                <w:szCs w:val="21"/>
                <w:lang w:val="zh-CN"/>
              </w:rPr>
              <w:t>0</w:t>
            </w:r>
          </w:p>
        </w:tc>
        <w:tc>
          <w:tcPr>
            <w:tcW w:w="939" w:type="dxa"/>
            <w:vAlign w:val="center"/>
          </w:tcPr>
          <w:p w14:paraId="74EFA57B">
            <w:pPr>
              <w:pStyle w:val="59"/>
              <w:spacing w:line="240" w:lineRule="auto"/>
              <w:ind w:firstLine="0" w:firstLineChars="0"/>
              <w:jc w:val="center"/>
              <w:rPr>
                <w:sz w:val="21"/>
                <w:szCs w:val="21"/>
                <w:lang w:val="zh-CN"/>
              </w:rPr>
            </w:pPr>
            <w:r>
              <w:rPr>
                <w:rFonts w:hint="eastAsia"/>
                <w:sz w:val="21"/>
                <w:szCs w:val="21"/>
                <w:lang w:val="zh-CN"/>
              </w:rPr>
              <w:t>＜3</w:t>
            </w:r>
            <w:r>
              <w:rPr>
                <w:sz w:val="21"/>
                <w:szCs w:val="21"/>
                <w:lang w:val="zh-CN"/>
              </w:rPr>
              <w:t>0</w:t>
            </w:r>
          </w:p>
        </w:tc>
        <w:tc>
          <w:tcPr>
            <w:tcW w:w="1163" w:type="dxa"/>
            <w:vAlign w:val="center"/>
          </w:tcPr>
          <w:p w14:paraId="28AC436A">
            <w:pPr>
              <w:pStyle w:val="59"/>
              <w:spacing w:line="240" w:lineRule="auto"/>
              <w:ind w:firstLine="0" w:firstLineChars="0"/>
              <w:jc w:val="center"/>
              <w:rPr>
                <w:sz w:val="21"/>
                <w:szCs w:val="21"/>
                <w:lang w:val="zh-CN"/>
              </w:rPr>
            </w:pPr>
            <w:r>
              <w:rPr>
                <w:rFonts w:hint="eastAsia"/>
                <w:sz w:val="21"/>
                <w:szCs w:val="21"/>
                <w:lang w:val="zh-CN"/>
              </w:rPr>
              <w:t>＜</w:t>
            </w:r>
            <w:r>
              <w:rPr>
                <w:sz w:val="21"/>
                <w:szCs w:val="21"/>
                <w:lang w:val="zh-CN"/>
              </w:rPr>
              <w:t>10</w:t>
            </w:r>
          </w:p>
        </w:tc>
        <w:tc>
          <w:tcPr>
            <w:tcW w:w="1053" w:type="dxa"/>
            <w:vAlign w:val="center"/>
          </w:tcPr>
          <w:p w14:paraId="73A30A5A">
            <w:pPr>
              <w:pStyle w:val="59"/>
              <w:spacing w:line="240" w:lineRule="auto"/>
              <w:ind w:firstLine="0" w:firstLineChars="0"/>
              <w:jc w:val="center"/>
              <w:rPr>
                <w:sz w:val="21"/>
                <w:szCs w:val="21"/>
                <w:lang w:val="zh-CN"/>
              </w:rPr>
            </w:pPr>
            <w:r>
              <w:rPr>
                <w:rFonts w:hint="eastAsia"/>
                <w:sz w:val="21"/>
                <w:szCs w:val="21"/>
                <w:lang w:val="zh-CN"/>
              </w:rPr>
              <w:t>＜1</w:t>
            </w:r>
            <w:r>
              <w:rPr>
                <w:sz w:val="21"/>
                <w:szCs w:val="21"/>
                <w:lang w:val="zh-CN"/>
              </w:rPr>
              <w:t>5</w:t>
            </w:r>
          </w:p>
        </w:tc>
      </w:tr>
    </w:tbl>
    <w:p w14:paraId="45B0D491">
      <w:pPr>
        <w:ind w:firstLine="482"/>
        <w:rPr>
          <w:b/>
          <w:bCs/>
        </w:rPr>
      </w:pPr>
      <w:r>
        <w:rPr>
          <w:rFonts w:hint="eastAsia"/>
          <w:b/>
          <w:bCs/>
        </w:rPr>
        <w:t>（3）噪声</w:t>
      </w:r>
    </w:p>
    <w:p w14:paraId="0A58E23D">
      <w:pPr>
        <w:ind w:firstLine="480"/>
        <w:rPr>
          <w:lang w:val="zh-CN"/>
        </w:rPr>
      </w:pPr>
      <w:r>
        <w:rPr>
          <w:rFonts w:hint="eastAsia"/>
          <w:lang w:val="zh-CN"/>
        </w:rPr>
        <w:t>后评价阶段与环评及验收阶段相比，噪声排放执行标准未发生变化。厂界噪声执行《工业企业厂界环境噪声排放标准》（GB12348-2008）2类区标准。</w:t>
      </w:r>
    </w:p>
    <w:p w14:paraId="448AE9F9">
      <w:pPr>
        <w:pStyle w:val="18"/>
        <w:ind w:firstLine="482"/>
        <w:jc w:val="center"/>
        <w:rPr>
          <w:b/>
          <w:bCs/>
          <w:sz w:val="24"/>
          <w:szCs w:val="24"/>
        </w:rPr>
      </w:pPr>
      <w:r>
        <w:rPr>
          <w:rFonts w:hint="eastAsia"/>
          <w:b/>
          <w:bCs/>
          <w:sz w:val="24"/>
          <w:szCs w:val="24"/>
        </w:rPr>
        <w:t>表1.4-12</w:t>
      </w:r>
      <w:r>
        <w:rPr>
          <w:b/>
          <w:bCs/>
          <w:sz w:val="24"/>
          <w:szCs w:val="24"/>
        </w:rPr>
        <w:t xml:space="preserve">  </w:t>
      </w:r>
      <w:r>
        <w:rPr>
          <w:rFonts w:hint="eastAsia"/>
          <w:b/>
          <w:bCs/>
          <w:sz w:val="24"/>
          <w:szCs w:val="24"/>
        </w:rPr>
        <w:t>噪声排放标准</w:t>
      </w:r>
    </w:p>
    <w:tbl>
      <w:tblPr>
        <w:tblStyle w:val="33"/>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52"/>
        <w:gridCol w:w="1598"/>
        <w:gridCol w:w="1520"/>
        <w:gridCol w:w="2632"/>
      </w:tblGrid>
      <w:tr w14:paraId="7FE217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vAlign w:val="center"/>
          </w:tcPr>
          <w:p w14:paraId="36B43540">
            <w:pPr>
              <w:pStyle w:val="59"/>
              <w:spacing w:line="240" w:lineRule="auto"/>
              <w:ind w:firstLine="0" w:firstLineChars="0"/>
              <w:jc w:val="center"/>
              <w:rPr>
                <w:b/>
                <w:bCs/>
                <w:sz w:val="21"/>
                <w:szCs w:val="21"/>
                <w:lang w:val="zh-CN"/>
              </w:rPr>
            </w:pPr>
            <w:r>
              <w:rPr>
                <w:rFonts w:hint="eastAsia"/>
                <w:b/>
                <w:bCs/>
                <w:sz w:val="21"/>
                <w:szCs w:val="21"/>
                <w:lang w:val="zh-CN"/>
              </w:rPr>
              <w:t>厂界外声环境功能区类别</w:t>
            </w:r>
          </w:p>
        </w:tc>
        <w:tc>
          <w:tcPr>
            <w:tcW w:w="1598" w:type="dxa"/>
            <w:vAlign w:val="center"/>
          </w:tcPr>
          <w:p w14:paraId="3A6B9DDC">
            <w:pPr>
              <w:pStyle w:val="59"/>
              <w:spacing w:line="240" w:lineRule="auto"/>
              <w:ind w:firstLine="0" w:firstLineChars="0"/>
              <w:jc w:val="center"/>
              <w:rPr>
                <w:b/>
                <w:bCs/>
                <w:sz w:val="21"/>
                <w:szCs w:val="21"/>
                <w:lang w:val="zh-CN"/>
              </w:rPr>
            </w:pPr>
            <w:r>
              <w:rPr>
                <w:rFonts w:hint="eastAsia"/>
                <w:b/>
                <w:bCs/>
                <w:sz w:val="21"/>
                <w:szCs w:val="21"/>
                <w:lang w:val="zh-CN"/>
              </w:rPr>
              <w:t>昼间</w:t>
            </w:r>
          </w:p>
        </w:tc>
        <w:tc>
          <w:tcPr>
            <w:tcW w:w="1520" w:type="dxa"/>
            <w:vAlign w:val="center"/>
          </w:tcPr>
          <w:p w14:paraId="4D93D0F2">
            <w:pPr>
              <w:pStyle w:val="59"/>
              <w:spacing w:line="240" w:lineRule="auto"/>
              <w:ind w:firstLine="0" w:firstLineChars="0"/>
              <w:jc w:val="center"/>
              <w:rPr>
                <w:b/>
                <w:bCs/>
                <w:sz w:val="21"/>
                <w:szCs w:val="21"/>
                <w:lang w:val="zh-CN"/>
              </w:rPr>
            </w:pPr>
            <w:r>
              <w:rPr>
                <w:rFonts w:hint="eastAsia"/>
                <w:b/>
                <w:bCs/>
                <w:sz w:val="21"/>
                <w:szCs w:val="21"/>
                <w:lang w:val="zh-CN"/>
              </w:rPr>
              <w:t>夜间</w:t>
            </w:r>
          </w:p>
        </w:tc>
        <w:tc>
          <w:tcPr>
            <w:tcW w:w="2632" w:type="dxa"/>
            <w:vAlign w:val="center"/>
          </w:tcPr>
          <w:p w14:paraId="3AC3AD74">
            <w:pPr>
              <w:pStyle w:val="59"/>
              <w:spacing w:line="240" w:lineRule="auto"/>
              <w:ind w:firstLine="0" w:firstLineChars="0"/>
              <w:jc w:val="center"/>
              <w:rPr>
                <w:b/>
                <w:bCs/>
                <w:sz w:val="21"/>
                <w:szCs w:val="21"/>
                <w:lang w:val="zh-CN"/>
              </w:rPr>
            </w:pPr>
            <w:r>
              <w:rPr>
                <w:rFonts w:hint="eastAsia"/>
                <w:b/>
                <w:bCs/>
                <w:sz w:val="21"/>
                <w:szCs w:val="21"/>
                <w:lang w:val="zh-CN"/>
              </w:rPr>
              <w:t>标准来源</w:t>
            </w:r>
          </w:p>
        </w:tc>
      </w:tr>
      <w:tr w14:paraId="0E5A1F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vAlign w:val="center"/>
          </w:tcPr>
          <w:p w14:paraId="1FA4CED9">
            <w:pPr>
              <w:pStyle w:val="59"/>
              <w:spacing w:line="240" w:lineRule="auto"/>
              <w:ind w:firstLine="0" w:firstLineChars="0"/>
              <w:jc w:val="center"/>
              <w:rPr>
                <w:sz w:val="21"/>
                <w:szCs w:val="21"/>
                <w:lang w:val="zh-CN"/>
              </w:rPr>
            </w:pPr>
            <w:r>
              <w:rPr>
                <w:rFonts w:hint="eastAsia"/>
                <w:sz w:val="21"/>
                <w:szCs w:val="21"/>
                <w:lang w:val="zh-CN"/>
              </w:rPr>
              <w:t>2类区</w:t>
            </w:r>
          </w:p>
        </w:tc>
        <w:tc>
          <w:tcPr>
            <w:tcW w:w="1598" w:type="dxa"/>
            <w:vAlign w:val="center"/>
          </w:tcPr>
          <w:p w14:paraId="10A027A3">
            <w:pPr>
              <w:pStyle w:val="59"/>
              <w:spacing w:line="240" w:lineRule="auto"/>
              <w:ind w:firstLine="0" w:firstLineChars="0"/>
              <w:jc w:val="center"/>
              <w:rPr>
                <w:sz w:val="21"/>
                <w:szCs w:val="21"/>
                <w:lang w:val="zh-CN"/>
              </w:rPr>
            </w:pPr>
            <w:r>
              <w:rPr>
                <w:rFonts w:hint="eastAsia"/>
                <w:sz w:val="21"/>
                <w:szCs w:val="21"/>
                <w:lang w:val="zh-CN"/>
              </w:rPr>
              <w:t>60</w:t>
            </w:r>
          </w:p>
        </w:tc>
        <w:tc>
          <w:tcPr>
            <w:tcW w:w="1520" w:type="dxa"/>
            <w:vAlign w:val="center"/>
          </w:tcPr>
          <w:p w14:paraId="6B1D52A8">
            <w:pPr>
              <w:pStyle w:val="59"/>
              <w:spacing w:line="240" w:lineRule="auto"/>
              <w:ind w:firstLine="0" w:firstLineChars="0"/>
              <w:jc w:val="center"/>
              <w:rPr>
                <w:sz w:val="21"/>
                <w:szCs w:val="21"/>
                <w:lang w:val="zh-CN"/>
              </w:rPr>
            </w:pPr>
            <w:r>
              <w:rPr>
                <w:rFonts w:hint="eastAsia"/>
                <w:sz w:val="21"/>
                <w:szCs w:val="21"/>
                <w:lang w:val="zh-CN"/>
              </w:rPr>
              <w:t>50</w:t>
            </w:r>
          </w:p>
        </w:tc>
        <w:tc>
          <w:tcPr>
            <w:tcW w:w="2632" w:type="dxa"/>
            <w:vAlign w:val="center"/>
          </w:tcPr>
          <w:p w14:paraId="5EF8EAF2">
            <w:pPr>
              <w:pStyle w:val="59"/>
              <w:spacing w:line="240" w:lineRule="auto"/>
              <w:ind w:firstLine="0" w:firstLineChars="0"/>
              <w:jc w:val="center"/>
              <w:rPr>
                <w:sz w:val="21"/>
                <w:szCs w:val="21"/>
                <w:lang w:val="zh-CN"/>
              </w:rPr>
            </w:pPr>
            <w:r>
              <w:rPr>
                <w:rFonts w:hint="eastAsia"/>
                <w:sz w:val="21"/>
                <w:szCs w:val="21"/>
                <w:lang w:val="zh-CN"/>
              </w:rPr>
              <w:t>《工业企业厂界环境噪声排放标准》GB12348-2008</w:t>
            </w:r>
          </w:p>
        </w:tc>
      </w:tr>
    </w:tbl>
    <w:p w14:paraId="22CEDD5D">
      <w:pPr>
        <w:ind w:firstLine="482"/>
        <w:rPr>
          <w:b/>
          <w:bCs/>
        </w:rPr>
      </w:pPr>
      <w:r>
        <w:rPr>
          <w:rFonts w:hint="eastAsia"/>
          <w:b/>
          <w:bCs/>
        </w:rPr>
        <w:t>（4）固废</w:t>
      </w:r>
    </w:p>
    <w:p w14:paraId="5B679708">
      <w:pPr>
        <w:ind w:firstLine="480"/>
        <w:rPr>
          <w:lang w:val="zh-CN"/>
        </w:rPr>
      </w:pPr>
      <w:r>
        <w:rPr>
          <w:rFonts w:hint="eastAsia"/>
          <w:lang w:val="zh-CN"/>
        </w:rPr>
        <w:t>后评价阶段与环评及验收阶段相比，实际运行过程中中产生的掘进废石、尾矿等</w:t>
      </w:r>
      <w:r>
        <w:rPr>
          <w:lang w:val="zh-CN"/>
        </w:rPr>
        <w:t>一般工业固体废物按照《中华人民共和国固体废物污染环境防治法》相关要求执行，一般工业固体废物贮存过程参照《一般工业固体废物贮存和填埋污染控制标准》（GB18599-2020），需满足相应防渗漏、防雨淋、防扬尘等环境保护要求。危险废物贮存执行《危险废物贮存污染控制标准》（GB18597-2023）中的有关规定。</w:t>
      </w:r>
      <w:r>
        <w:rPr>
          <w:rFonts w:hint="eastAsia"/>
          <w:lang w:val="zh-CN"/>
        </w:rPr>
        <w:t>执行《一般工业固体废物贮存、处置场污染控制标准》（GB18599-2001）及2013年修改单中相关规定。</w:t>
      </w:r>
    </w:p>
    <w:p w14:paraId="310D4C23">
      <w:pPr>
        <w:pStyle w:val="3"/>
      </w:pPr>
      <w:bookmarkStart w:id="21" w:name="_Toc85213487"/>
      <w:r>
        <w:rPr>
          <w:rFonts w:hint="eastAsia"/>
        </w:rPr>
        <w:t>1.5 评价范围</w:t>
      </w:r>
      <w:bookmarkEnd w:id="21"/>
    </w:p>
    <w:p w14:paraId="79B9423E">
      <w:pPr>
        <w:spacing w:line="400" w:lineRule="exact"/>
        <w:ind w:firstLine="480"/>
      </w:pPr>
      <w:r>
        <w:rPr>
          <w:rFonts w:hint="eastAsia"/>
        </w:rPr>
        <w:t>本次后评价调查范围参照环境影响报告书中的评价范围，并根据工程实际的变化及对周围环境的实际影响，结合现场踏勘情况对调查范围进行适当的调整。调查范围见表1.5-1。</w:t>
      </w:r>
    </w:p>
    <w:p w14:paraId="55475DF1">
      <w:pPr>
        <w:pStyle w:val="18"/>
        <w:ind w:firstLine="482"/>
        <w:jc w:val="center"/>
        <w:rPr>
          <w:b/>
          <w:bCs/>
          <w:sz w:val="24"/>
          <w:szCs w:val="24"/>
        </w:rPr>
      </w:pPr>
      <w:r>
        <w:rPr>
          <w:rFonts w:hint="eastAsia"/>
          <w:b/>
          <w:bCs/>
          <w:sz w:val="24"/>
          <w:szCs w:val="24"/>
        </w:rPr>
        <w:t>表1.5-1</w:t>
      </w:r>
      <w:r>
        <w:rPr>
          <w:b/>
          <w:bCs/>
          <w:sz w:val="24"/>
          <w:szCs w:val="24"/>
        </w:rPr>
        <w:t xml:space="preserve">  </w:t>
      </w:r>
      <w:r>
        <w:rPr>
          <w:rFonts w:hint="eastAsia"/>
          <w:b/>
          <w:bCs/>
          <w:sz w:val="24"/>
          <w:szCs w:val="24"/>
        </w:rPr>
        <w:t>后评价调查评价范围一览表</w:t>
      </w:r>
    </w:p>
    <w:tbl>
      <w:tblPr>
        <w:tblStyle w:val="139"/>
        <w:tblW w:w="8945"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43"/>
        <w:gridCol w:w="7502"/>
      </w:tblGrid>
      <w:tr w14:paraId="12BC73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trPr>
        <w:tc>
          <w:tcPr>
            <w:tcW w:w="1443" w:type="dxa"/>
            <w:tcBorders>
              <w:left w:val="single" w:color="000000" w:sz="10" w:space="0"/>
            </w:tcBorders>
          </w:tcPr>
          <w:p w14:paraId="0646520A">
            <w:pPr>
              <w:pStyle w:val="59"/>
              <w:spacing w:line="240" w:lineRule="auto"/>
              <w:ind w:firstLine="0" w:firstLineChars="0"/>
              <w:jc w:val="center"/>
              <w:rPr>
                <w:b/>
                <w:bCs/>
                <w:snapToGrid/>
                <w:color w:val="auto"/>
                <w:kern w:val="2"/>
                <w:sz w:val="21"/>
                <w:szCs w:val="21"/>
                <w:lang w:val="zh-CN"/>
              </w:rPr>
            </w:pPr>
            <w:r>
              <w:rPr>
                <w:b/>
                <w:bCs/>
                <w:snapToGrid/>
                <w:color w:val="auto"/>
                <w:kern w:val="2"/>
                <w:sz w:val="21"/>
                <w:szCs w:val="21"/>
                <w:lang w:val="zh-CN"/>
              </w:rPr>
              <w:t>环境要素</w:t>
            </w:r>
          </w:p>
        </w:tc>
        <w:tc>
          <w:tcPr>
            <w:tcW w:w="7502" w:type="dxa"/>
            <w:tcBorders>
              <w:right w:val="single" w:color="000000" w:sz="10" w:space="0"/>
            </w:tcBorders>
          </w:tcPr>
          <w:p w14:paraId="52C60BB8">
            <w:pPr>
              <w:pStyle w:val="59"/>
              <w:spacing w:line="240" w:lineRule="auto"/>
              <w:ind w:firstLine="0" w:firstLineChars="0"/>
              <w:jc w:val="center"/>
              <w:rPr>
                <w:b/>
                <w:bCs/>
                <w:snapToGrid/>
                <w:color w:val="auto"/>
                <w:kern w:val="2"/>
                <w:sz w:val="21"/>
                <w:szCs w:val="21"/>
                <w:lang w:val="zh-CN"/>
              </w:rPr>
            </w:pPr>
            <w:r>
              <w:rPr>
                <w:b/>
                <w:bCs/>
                <w:snapToGrid/>
                <w:color w:val="auto"/>
                <w:kern w:val="2"/>
                <w:sz w:val="21"/>
                <w:szCs w:val="21"/>
                <w:lang w:val="zh-CN"/>
              </w:rPr>
              <w:t>评价范围</w:t>
            </w:r>
          </w:p>
        </w:tc>
      </w:tr>
      <w:tr w14:paraId="3AD243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1443" w:type="dxa"/>
            <w:tcBorders>
              <w:left w:val="single" w:color="000000" w:sz="10" w:space="0"/>
            </w:tcBorders>
          </w:tcPr>
          <w:p w14:paraId="62AC9C89">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大气环境</w:t>
            </w:r>
          </w:p>
        </w:tc>
        <w:tc>
          <w:tcPr>
            <w:tcW w:w="7502" w:type="dxa"/>
            <w:tcBorders>
              <w:right w:val="single" w:color="000000" w:sz="10" w:space="0"/>
            </w:tcBorders>
          </w:tcPr>
          <w:p w14:paraId="12FE24B1">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以选厂为中心，以选厂为中心点，边长为5km的矩形区域</w:t>
            </w:r>
          </w:p>
        </w:tc>
      </w:tr>
      <w:tr w14:paraId="743A4C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1443" w:type="dxa"/>
            <w:tcBorders>
              <w:left w:val="single" w:color="000000" w:sz="10" w:space="0"/>
            </w:tcBorders>
          </w:tcPr>
          <w:p w14:paraId="2F74CEAF">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声环境</w:t>
            </w:r>
          </w:p>
        </w:tc>
        <w:tc>
          <w:tcPr>
            <w:tcW w:w="7502" w:type="dxa"/>
            <w:tcBorders>
              <w:right w:val="single" w:color="000000" w:sz="10" w:space="0"/>
            </w:tcBorders>
          </w:tcPr>
          <w:p w14:paraId="2F29DE1A">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采场、选厂边界外1m及厂界200m周围环境敏感点；进厂（场）公路以道路为中心 线向外扩展200m作为声环境影响评价范围</w:t>
            </w:r>
          </w:p>
        </w:tc>
      </w:tr>
      <w:tr w14:paraId="67DC3B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1443" w:type="dxa"/>
            <w:tcBorders>
              <w:left w:val="single" w:color="000000" w:sz="10" w:space="0"/>
            </w:tcBorders>
          </w:tcPr>
          <w:p w14:paraId="7B9D9D9B">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地表水</w:t>
            </w:r>
          </w:p>
        </w:tc>
        <w:tc>
          <w:tcPr>
            <w:tcW w:w="7502" w:type="dxa"/>
            <w:tcBorders>
              <w:right w:val="single" w:color="000000" w:sz="10" w:space="0"/>
            </w:tcBorders>
          </w:tcPr>
          <w:p w14:paraId="68B44C33">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评价范围从尾矿库入沿岗河陈大庄沟支流8km，以及陈大庄沟支流汇入沿岗河下 游5km，合计13km</w:t>
            </w:r>
          </w:p>
        </w:tc>
      </w:tr>
      <w:tr w14:paraId="20B708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1443" w:type="dxa"/>
            <w:tcBorders>
              <w:left w:val="single" w:color="000000" w:sz="10" w:space="0"/>
            </w:tcBorders>
          </w:tcPr>
          <w:p w14:paraId="06DD20EC">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地下水</w:t>
            </w:r>
          </w:p>
        </w:tc>
        <w:tc>
          <w:tcPr>
            <w:tcW w:w="7502" w:type="dxa"/>
            <w:tcBorders>
              <w:right w:val="single" w:color="000000" w:sz="10" w:space="0"/>
            </w:tcBorders>
          </w:tcPr>
          <w:p w14:paraId="6C44A691">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西起王老庄，东至朱家老圩，南自薛圩，北到洪小庄北侧，面积约为3km2 的近似 椭圆形范围</w:t>
            </w:r>
          </w:p>
        </w:tc>
      </w:tr>
      <w:tr w14:paraId="4C3E3F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1443" w:type="dxa"/>
            <w:tcBorders>
              <w:left w:val="single" w:color="000000" w:sz="10" w:space="0"/>
            </w:tcBorders>
          </w:tcPr>
          <w:p w14:paraId="28D3D1CD">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生态</w:t>
            </w:r>
          </w:p>
        </w:tc>
        <w:tc>
          <w:tcPr>
            <w:tcW w:w="7502" w:type="dxa"/>
            <w:tcBorders>
              <w:right w:val="single" w:color="000000" w:sz="10" w:space="0"/>
            </w:tcBorders>
          </w:tcPr>
          <w:p w14:paraId="612464DC">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以矿山各场地东、南、西、北最外侧边缘向四周分别拓展1km作为生态评价范围， 确定总生态影响评价面积约为10.5km2。</w:t>
            </w:r>
          </w:p>
        </w:tc>
      </w:tr>
      <w:tr w14:paraId="0C9075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1443" w:type="dxa"/>
            <w:tcBorders>
              <w:left w:val="single" w:color="000000" w:sz="10" w:space="0"/>
            </w:tcBorders>
          </w:tcPr>
          <w:p w14:paraId="0B128F49">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环境风险</w:t>
            </w:r>
          </w:p>
        </w:tc>
        <w:tc>
          <w:tcPr>
            <w:tcW w:w="7502" w:type="dxa"/>
            <w:tcBorders>
              <w:right w:val="single" w:color="000000" w:sz="10" w:space="0"/>
            </w:tcBorders>
          </w:tcPr>
          <w:p w14:paraId="620FA096">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以尾矿库为中心，向外扩展3km</w:t>
            </w:r>
          </w:p>
        </w:tc>
      </w:tr>
      <w:tr w14:paraId="0C9ADD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1443" w:type="dxa"/>
            <w:tcBorders>
              <w:left w:val="single" w:color="000000" w:sz="10" w:space="0"/>
            </w:tcBorders>
          </w:tcPr>
          <w:p w14:paraId="1D025019">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土壤</w:t>
            </w:r>
          </w:p>
        </w:tc>
        <w:tc>
          <w:tcPr>
            <w:tcW w:w="7502" w:type="dxa"/>
            <w:tcBorders>
              <w:right w:val="single" w:color="000000" w:sz="10" w:space="0"/>
            </w:tcBorders>
          </w:tcPr>
          <w:p w14:paraId="7CC78088">
            <w:pPr>
              <w:pStyle w:val="59"/>
              <w:spacing w:line="240" w:lineRule="auto"/>
              <w:ind w:firstLine="0" w:firstLineChars="0"/>
              <w:jc w:val="center"/>
              <w:rPr>
                <w:snapToGrid/>
                <w:color w:val="auto"/>
                <w:kern w:val="2"/>
                <w:sz w:val="21"/>
                <w:szCs w:val="21"/>
                <w:lang w:val="zh-CN"/>
              </w:rPr>
            </w:pPr>
            <w:r>
              <w:rPr>
                <w:snapToGrid/>
                <w:color w:val="auto"/>
                <w:kern w:val="2"/>
                <w:sz w:val="21"/>
                <w:szCs w:val="21"/>
                <w:lang w:val="zh-CN"/>
              </w:rPr>
              <w:t>项目采选工业场地内及周边土壤，尾矿库及周边土壤</w:t>
            </w:r>
          </w:p>
        </w:tc>
      </w:tr>
    </w:tbl>
    <w:p w14:paraId="4B290C81">
      <w:pPr>
        <w:pStyle w:val="3"/>
      </w:pPr>
      <w:bookmarkStart w:id="22" w:name="_Toc85213488"/>
      <w:r>
        <w:rPr>
          <w:rFonts w:hint="eastAsia"/>
        </w:rPr>
        <w:t>1.6</w:t>
      </w:r>
      <w:r>
        <w:t xml:space="preserve"> </w:t>
      </w:r>
      <w:r>
        <w:rPr>
          <w:rFonts w:hint="eastAsia"/>
        </w:rPr>
        <w:t>环境保护目标</w:t>
      </w:r>
      <w:bookmarkEnd w:id="22"/>
    </w:p>
    <w:p w14:paraId="1A730790">
      <w:pPr>
        <w:widowControl/>
        <w:ind w:firstLine="520"/>
        <w:jc w:val="left"/>
        <w:rPr>
          <w:rFonts w:cs="Times New Roman"/>
          <w:spacing w:val="10"/>
          <w:szCs w:val="24"/>
        </w:rPr>
      </w:pPr>
      <w:r>
        <w:rPr>
          <w:rFonts w:cs="Times New Roman"/>
          <w:spacing w:val="10"/>
          <w:szCs w:val="24"/>
        </w:rPr>
        <w:t>（1）环境空气</w:t>
      </w:r>
    </w:p>
    <w:p w14:paraId="49F5D303">
      <w:pPr>
        <w:widowControl/>
        <w:ind w:firstLine="520"/>
        <w:jc w:val="left"/>
        <w:rPr>
          <w:rFonts w:cs="Times New Roman"/>
          <w:spacing w:val="10"/>
          <w:szCs w:val="24"/>
        </w:rPr>
      </w:pPr>
      <w:r>
        <w:rPr>
          <w:rFonts w:cs="Times New Roman"/>
          <w:spacing w:val="10"/>
          <w:szCs w:val="24"/>
        </w:rPr>
        <w:t>环境空气保护目标情况如下表</w:t>
      </w:r>
      <w:r>
        <w:rPr>
          <w:rFonts w:hint="eastAsia" w:cs="Times New Roman"/>
          <w:spacing w:val="10"/>
          <w:szCs w:val="24"/>
        </w:rPr>
        <w:t>1</w:t>
      </w:r>
      <w:r>
        <w:rPr>
          <w:rFonts w:cs="Times New Roman"/>
          <w:spacing w:val="10"/>
          <w:szCs w:val="24"/>
        </w:rPr>
        <w:t>.</w:t>
      </w:r>
      <w:r>
        <w:rPr>
          <w:rFonts w:hint="eastAsia" w:cs="Times New Roman"/>
          <w:spacing w:val="10"/>
          <w:szCs w:val="24"/>
        </w:rPr>
        <w:t>6</w:t>
      </w:r>
      <w:r>
        <w:rPr>
          <w:rFonts w:cs="Times New Roman"/>
          <w:spacing w:val="10"/>
          <w:szCs w:val="24"/>
        </w:rPr>
        <w:t>-1，环境空气保护目标见图</w:t>
      </w:r>
      <w:r>
        <w:rPr>
          <w:rFonts w:hint="eastAsia" w:cs="Times New Roman"/>
          <w:spacing w:val="10"/>
          <w:szCs w:val="24"/>
        </w:rPr>
        <w:t>1</w:t>
      </w:r>
      <w:r>
        <w:rPr>
          <w:rFonts w:cs="Times New Roman"/>
          <w:spacing w:val="10"/>
          <w:szCs w:val="24"/>
        </w:rPr>
        <w:t>.</w:t>
      </w:r>
      <w:r>
        <w:rPr>
          <w:rFonts w:hint="eastAsia" w:cs="Times New Roman"/>
          <w:spacing w:val="10"/>
          <w:szCs w:val="24"/>
        </w:rPr>
        <w:t>6</w:t>
      </w:r>
      <w:r>
        <w:rPr>
          <w:rFonts w:cs="Times New Roman"/>
          <w:spacing w:val="10"/>
          <w:szCs w:val="24"/>
        </w:rPr>
        <w:t>-1。</w:t>
      </w:r>
    </w:p>
    <w:p w14:paraId="76AD00AA">
      <w:pPr>
        <w:widowControl/>
        <w:snapToGrid w:val="0"/>
        <w:ind w:firstLine="0" w:firstLineChars="0"/>
        <w:jc w:val="center"/>
        <w:rPr>
          <w:rFonts w:cs="Times New Roman"/>
          <w:b/>
          <w:bCs/>
          <w:szCs w:val="20"/>
        </w:rPr>
      </w:pPr>
      <w:r>
        <w:rPr>
          <w:rFonts w:cs="Times New Roman"/>
          <w:b/>
          <w:bCs/>
          <w:szCs w:val="20"/>
        </w:rPr>
        <w:t xml:space="preserve">表 </w:t>
      </w:r>
      <w:r>
        <w:rPr>
          <w:rFonts w:hint="eastAsia" w:cs="Times New Roman"/>
          <w:b/>
          <w:bCs/>
          <w:szCs w:val="20"/>
        </w:rPr>
        <w:t>1</w:t>
      </w:r>
      <w:r>
        <w:rPr>
          <w:rFonts w:cs="Times New Roman"/>
          <w:b/>
          <w:bCs/>
          <w:szCs w:val="20"/>
        </w:rPr>
        <w:t>.</w:t>
      </w:r>
      <w:r>
        <w:rPr>
          <w:rFonts w:hint="eastAsia" w:cs="Times New Roman"/>
          <w:b/>
          <w:bCs/>
          <w:szCs w:val="20"/>
        </w:rPr>
        <w:t>6</w:t>
      </w:r>
      <w:r>
        <w:rPr>
          <w:rFonts w:cs="Times New Roman"/>
          <w:b/>
          <w:bCs/>
          <w:szCs w:val="20"/>
        </w:rPr>
        <w:t>-1  环境空气保护目标情况表</w:t>
      </w:r>
    </w:p>
    <w:tbl>
      <w:tblPr>
        <w:tblStyle w:val="140"/>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60"/>
        <w:gridCol w:w="1084"/>
        <w:gridCol w:w="971"/>
        <w:gridCol w:w="999"/>
        <w:gridCol w:w="1296"/>
        <w:gridCol w:w="613"/>
        <w:gridCol w:w="871"/>
        <w:gridCol w:w="741"/>
        <w:gridCol w:w="583"/>
      </w:tblGrid>
      <w:tr w14:paraId="0D1688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jc w:val="center"/>
        </w:trPr>
        <w:tc>
          <w:tcPr>
            <w:tcW w:w="715" w:type="pct"/>
            <w:vMerge w:val="restart"/>
          </w:tcPr>
          <w:p w14:paraId="65FF6D25">
            <w:pPr>
              <w:spacing w:before="276" w:line="230" w:lineRule="auto"/>
              <w:ind w:firstLine="0" w:firstLineChars="0"/>
              <w:jc w:val="center"/>
              <w:rPr>
                <w:rFonts w:cs="Times New Roman"/>
                <w:spacing w:val="5"/>
                <w:kern w:val="0"/>
                <w:sz w:val="21"/>
                <w:szCs w:val="21"/>
                <w:lang w:eastAsia="en-US"/>
                <w14:textOutline w14:w="3797" w14:cap="sq" w14:cmpd="sng" w14:algn="ctr">
                  <w14:solidFill>
                    <w14:srgbClr w14:val="000000"/>
                  </w14:solidFill>
                  <w14:prstDash w14:val="solid"/>
                  <w14:bevel/>
                </w14:textOutline>
              </w:rPr>
            </w:pPr>
            <w:r>
              <w:rPr>
                <w:rFonts w:cs="Times New Roman"/>
                <w:spacing w:val="5"/>
                <w:kern w:val="0"/>
                <w:sz w:val="21"/>
                <w:szCs w:val="21"/>
                <w:lang w:eastAsia="en-US"/>
                <w14:textOutline w14:w="3797" w14:cap="sq" w14:cmpd="sng" w14:algn="ctr">
                  <w14:solidFill>
                    <w14:srgbClr w14:val="000000"/>
                  </w14:solidFill>
                  <w14:prstDash w14:val="solid"/>
                  <w14:bevel/>
                </w14:textOutline>
              </w:rPr>
              <w:t>名称</w:t>
            </w:r>
          </w:p>
        </w:tc>
        <w:tc>
          <w:tcPr>
            <w:tcW w:w="1137" w:type="pct"/>
            <w:gridSpan w:val="2"/>
          </w:tcPr>
          <w:p w14:paraId="130B1A28">
            <w:pPr>
              <w:spacing w:before="277" w:line="228" w:lineRule="auto"/>
              <w:ind w:firstLine="0" w:firstLineChars="0"/>
              <w:jc w:val="center"/>
              <w:rPr>
                <w:rFonts w:cs="Times New Roman"/>
                <w:spacing w:val="5"/>
                <w:kern w:val="0"/>
                <w:sz w:val="21"/>
                <w:szCs w:val="21"/>
                <w:lang w:eastAsia="en-US"/>
                <w14:textOutline w14:w="3797" w14:cap="sq" w14:cmpd="sng" w14:algn="ctr">
                  <w14:solidFill>
                    <w14:srgbClr w14:val="000000"/>
                  </w14:solidFill>
                  <w14:prstDash w14:val="solid"/>
                  <w14:bevel/>
                </w14:textOutline>
              </w:rPr>
            </w:pPr>
            <w:r>
              <w:rPr>
                <w:rFonts w:cs="Times New Roman"/>
                <w:spacing w:val="5"/>
                <w:kern w:val="0"/>
                <w:sz w:val="21"/>
                <w:szCs w:val="21"/>
                <w:lang w:eastAsia="en-US"/>
                <w14:textOutline w14:w="3797" w14:cap="sq" w14:cmpd="sng" w14:algn="ctr">
                  <w14:solidFill>
                    <w14:srgbClr w14:val="000000"/>
                  </w14:solidFill>
                  <w14:prstDash w14:val="solid"/>
                  <w14:bevel/>
                </w14:textOutline>
              </w:rPr>
              <w:t>坐标</w:t>
            </w:r>
          </w:p>
        </w:tc>
        <w:tc>
          <w:tcPr>
            <w:tcW w:w="618" w:type="pct"/>
            <w:vMerge w:val="restart"/>
          </w:tcPr>
          <w:p w14:paraId="2BF731B8">
            <w:pPr>
              <w:spacing w:before="276" w:line="228" w:lineRule="auto"/>
              <w:ind w:firstLine="0" w:firstLineChars="0"/>
              <w:jc w:val="center"/>
              <w:rPr>
                <w:rFonts w:cs="Times New Roman"/>
                <w:spacing w:val="5"/>
                <w:kern w:val="0"/>
                <w:sz w:val="21"/>
                <w:szCs w:val="21"/>
                <w:lang w:eastAsia="en-US"/>
                <w14:textOutline w14:w="3797" w14:cap="sq" w14:cmpd="sng" w14:algn="ctr">
                  <w14:solidFill>
                    <w14:srgbClr w14:val="000000"/>
                  </w14:solidFill>
                  <w14:prstDash w14:val="solid"/>
                  <w14:bevel/>
                </w14:textOutline>
              </w:rPr>
            </w:pPr>
            <w:r>
              <w:rPr>
                <w:rFonts w:cs="Times New Roman"/>
                <w:spacing w:val="5"/>
                <w:kern w:val="0"/>
                <w:sz w:val="21"/>
                <w:szCs w:val="21"/>
                <w:lang w:eastAsia="en-US"/>
                <w14:textOutline w14:w="3797" w14:cap="sq" w14:cmpd="sng" w14:algn="ctr">
                  <w14:solidFill>
                    <w14:srgbClr w14:val="000000"/>
                  </w14:solidFill>
                  <w14:prstDash w14:val="solid"/>
                  <w14:bevel/>
                </w14:textOutline>
              </w:rPr>
              <w:t>保护对象</w:t>
            </w:r>
          </w:p>
        </w:tc>
        <w:tc>
          <w:tcPr>
            <w:tcW w:w="772" w:type="pct"/>
            <w:vMerge w:val="restart"/>
          </w:tcPr>
          <w:p w14:paraId="453B3ABB">
            <w:pPr>
              <w:spacing w:before="277" w:line="228" w:lineRule="auto"/>
              <w:ind w:firstLine="0" w:firstLineChars="0"/>
              <w:jc w:val="center"/>
              <w:rPr>
                <w:rFonts w:cs="Times New Roman"/>
                <w:spacing w:val="5"/>
                <w:kern w:val="0"/>
                <w:sz w:val="21"/>
                <w:szCs w:val="21"/>
                <w:lang w:eastAsia="en-US"/>
                <w14:textOutline w14:w="3797" w14:cap="sq" w14:cmpd="sng" w14:algn="ctr">
                  <w14:solidFill>
                    <w14:srgbClr w14:val="000000"/>
                  </w14:solidFill>
                  <w14:prstDash w14:val="solid"/>
                  <w14:bevel/>
                </w14:textOutline>
              </w:rPr>
            </w:pPr>
            <w:r>
              <w:rPr>
                <w:rFonts w:cs="Times New Roman"/>
                <w:spacing w:val="5"/>
                <w:kern w:val="0"/>
                <w:sz w:val="21"/>
                <w:szCs w:val="21"/>
                <w:lang w:eastAsia="en-US"/>
                <w14:textOutline w14:w="3797" w14:cap="sq" w14:cmpd="sng" w14:algn="ctr">
                  <w14:solidFill>
                    <w14:srgbClr w14:val="000000"/>
                  </w14:solidFill>
                  <w14:prstDash w14:val="solid"/>
                  <w14:bevel/>
                </w14:textOutline>
              </w:rPr>
              <w:t>环境功能区</w:t>
            </w:r>
          </w:p>
        </w:tc>
        <w:tc>
          <w:tcPr>
            <w:tcW w:w="386" w:type="pct"/>
            <w:vMerge w:val="restart"/>
          </w:tcPr>
          <w:p w14:paraId="0C48FE70">
            <w:pPr>
              <w:spacing w:before="277" w:line="228" w:lineRule="auto"/>
              <w:ind w:firstLine="0" w:firstLineChars="0"/>
              <w:jc w:val="center"/>
              <w:rPr>
                <w:rFonts w:cs="Times New Roman"/>
                <w:spacing w:val="5"/>
                <w:kern w:val="0"/>
                <w:sz w:val="21"/>
                <w:szCs w:val="21"/>
                <w:lang w:eastAsia="en-US"/>
                <w14:textOutline w14:w="3797" w14:cap="sq" w14:cmpd="sng" w14:algn="ctr">
                  <w14:solidFill>
                    <w14:srgbClr w14:val="000000"/>
                  </w14:solidFill>
                  <w14:prstDash w14:val="solid"/>
                  <w14:bevel/>
                </w14:textOutline>
              </w:rPr>
            </w:pPr>
            <w:r>
              <w:rPr>
                <w:rFonts w:cs="Times New Roman"/>
                <w:spacing w:val="5"/>
                <w:kern w:val="0"/>
                <w:sz w:val="21"/>
                <w:szCs w:val="21"/>
                <w:lang w:eastAsia="en-US"/>
                <w14:textOutline w14:w="3797" w14:cap="sq" w14:cmpd="sng" w14:algn="ctr">
                  <w14:solidFill>
                    <w14:srgbClr w14:val="000000"/>
                  </w14:solidFill>
                  <w14:prstDash w14:val="solid"/>
                  <w14:bevel/>
                </w14:textOutline>
              </w:rPr>
              <w:t>相对场地</w:t>
            </w:r>
          </w:p>
        </w:tc>
        <w:tc>
          <w:tcPr>
            <w:tcW w:w="541" w:type="pct"/>
            <w:vMerge w:val="restart"/>
          </w:tcPr>
          <w:p w14:paraId="6755D4BE">
            <w:pPr>
              <w:spacing w:before="139" w:line="268" w:lineRule="auto"/>
              <w:ind w:firstLine="0" w:firstLineChars="0"/>
              <w:jc w:val="center"/>
              <w:rPr>
                <w:rFonts w:ascii="Calibri" w:hAnsi="Calibri" w:cs="Calibri"/>
                <w:spacing w:val="5"/>
                <w:kern w:val="0"/>
                <w:sz w:val="21"/>
                <w:szCs w:val="21"/>
                <w:lang w:eastAsia="en-US"/>
                <w14:textOutline w14:w="3797" w14:cap="sq" w14:cmpd="sng" w14:algn="ctr">
                  <w14:solidFill>
                    <w14:srgbClr w14:val="000000"/>
                  </w14:solidFill>
                  <w14:prstDash w14:val="solid"/>
                  <w14:bevel/>
                </w14:textOutline>
              </w:rPr>
            </w:pPr>
            <w:r>
              <w:rPr>
                <w:rFonts w:hint="eastAsia" w:ascii="Calibri" w:hAnsi="Calibri" w:cs="Calibri"/>
                <w:spacing w:val="5"/>
                <w:kern w:val="0"/>
                <w:sz w:val="21"/>
                <w:szCs w:val="21"/>
                <w:lang w:eastAsia="en-US"/>
                <w14:textOutline w14:w="3797" w14:cap="sq" w14:cmpd="sng" w14:algn="ctr">
                  <w14:solidFill>
                    <w14:srgbClr w14:val="000000"/>
                  </w14:solidFill>
                  <w14:prstDash w14:val="solid"/>
                  <w14:bevel/>
                </w14:textOutline>
              </w:rPr>
              <w:t>规模（户数/人口）</w:t>
            </w:r>
          </w:p>
        </w:tc>
        <w:tc>
          <w:tcPr>
            <w:tcW w:w="463" w:type="pct"/>
            <w:vMerge w:val="restart"/>
          </w:tcPr>
          <w:p w14:paraId="62CF76DB">
            <w:pPr>
              <w:spacing w:before="139" w:line="268" w:lineRule="auto"/>
              <w:ind w:firstLine="0" w:firstLineChars="0"/>
              <w:jc w:val="center"/>
              <w:rPr>
                <w:rFonts w:cs="Times New Roman"/>
                <w:spacing w:val="5"/>
                <w:kern w:val="0"/>
                <w:sz w:val="21"/>
                <w:szCs w:val="21"/>
                <w:lang w:eastAsia="en-US"/>
                <w14:textOutline w14:w="3797" w14:cap="sq" w14:cmpd="sng" w14:algn="ctr">
                  <w14:solidFill>
                    <w14:srgbClr w14:val="000000"/>
                  </w14:solidFill>
                  <w14:prstDash w14:val="solid"/>
                  <w14:bevel/>
                </w14:textOutline>
              </w:rPr>
            </w:pPr>
            <w:r>
              <w:rPr>
                <w:rFonts w:cs="Times New Roman"/>
                <w:spacing w:val="5"/>
                <w:kern w:val="0"/>
                <w:sz w:val="21"/>
                <w:szCs w:val="21"/>
                <w:lang w:eastAsia="en-US"/>
                <w14:textOutline w14:w="3797" w14:cap="sq" w14:cmpd="sng" w14:algn="ctr">
                  <w14:solidFill>
                    <w14:srgbClr w14:val="000000"/>
                  </w14:solidFill>
                  <w14:prstDash w14:val="solid"/>
                  <w14:bevel/>
                </w14:textOutline>
              </w:rPr>
              <w:t>相对厂址方位</w:t>
            </w:r>
          </w:p>
        </w:tc>
        <w:tc>
          <w:tcPr>
            <w:tcW w:w="368" w:type="pct"/>
            <w:vMerge w:val="restart"/>
          </w:tcPr>
          <w:p w14:paraId="4C0F96BC">
            <w:pPr>
              <w:spacing w:before="277" w:line="228" w:lineRule="auto"/>
              <w:ind w:firstLine="0" w:firstLineChars="0"/>
              <w:jc w:val="center"/>
              <w:rPr>
                <w:rFonts w:cs="Times New Roman"/>
                <w:spacing w:val="5"/>
                <w:kern w:val="0"/>
                <w:sz w:val="21"/>
                <w:szCs w:val="21"/>
                <w:lang w:eastAsia="en-US"/>
                <w14:textOutline w14:w="3797" w14:cap="sq" w14:cmpd="sng" w14:algn="ctr">
                  <w14:solidFill>
                    <w14:srgbClr w14:val="000000"/>
                  </w14:solidFill>
                  <w14:prstDash w14:val="solid"/>
                  <w14:bevel/>
                </w14:textOutline>
              </w:rPr>
            </w:pPr>
            <w:r>
              <w:rPr>
                <w:rFonts w:cs="Times New Roman"/>
                <w:spacing w:val="5"/>
                <w:kern w:val="0"/>
                <w:sz w:val="21"/>
                <w:szCs w:val="21"/>
                <w:lang w:eastAsia="en-US"/>
                <w14:textOutline w14:w="3797" w14:cap="sq" w14:cmpd="sng" w14:algn="ctr">
                  <w14:solidFill>
                    <w14:srgbClr w14:val="000000"/>
                  </w14:solidFill>
                  <w14:prstDash w14:val="solid"/>
                  <w14:bevel/>
                </w14:textOutline>
              </w:rPr>
              <w:t>相对距离 /m</w:t>
            </w:r>
          </w:p>
        </w:tc>
      </w:tr>
      <w:tr w14:paraId="71EF4B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vMerge w:val="continue"/>
          </w:tcPr>
          <w:p w14:paraId="34875C80">
            <w:pPr>
              <w:ind w:firstLine="0" w:firstLineChars="0"/>
              <w:jc w:val="left"/>
              <w:rPr>
                <w:rFonts w:cs="Times New Roman"/>
                <w:kern w:val="0"/>
                <w:sz w:val="21"/>
                <w:szCs w:val="21"/>
                <w:lang w:eastAsia="en-US"/>
              </w:rPr>
            </w:pPr>
          </w:p>
        </w:tc>
        <w:tc>
          <w:tcPr>
            <w:tcW w:w="597" w:type="pct"/>
          </w:tcPr>
          <w:p w14:paraId="47F45EAF">
            <w:pPr>
              <w:spacing w:before="277" w:line="228" w:lineRule="auto"/>
              <w:ind w:firstLine="0" w:firstLineChars="0"/>
              <w:jc w:val="center"/>
              <w:rPr>
                <w:rFonts w:cs="Times New Roman"/>
                <w:spacing w:val="5"/>
                <w:kern w:val="0"/>
                <w:sz w:val="21"/>
                <w:szCs w:val="21"/>
                <w:lang w:eastAsia="en-US"/>
                <w14:textOutline w14:w="3797" w14:cap="sq" w14:cmpd="sng" w14:algn="ctr">
                  <w14:solidFill>
                    <w14:srgbClr w14:val="000000"/>
                  </w14:solidFill>
                  <w14:prstDash w14:val="solid"/>
                  <w14:bevel/>
                </w14:textOutline>
              </w:rPr>
            </w:pPr>
            <w:r>
              <w:rPr>
                <w:rFonts w:cs="Times New Roman"/>
                <w:spacing w:val="5"/>
                <w:kern w:val="0"/>
                <w:sz w:val="21"/>
                <w:szCs w:val="21"/>
                <w:lang w:eastAsia="en-US"/>
                <w14:textOutline w14:w="3797" w14:cap="sq" w14:cmpd="sng" w14:algn="ctr">
                  <w14:solidFill>
                    <w14:srgbClr w14:val="000000"/>
                  </w14:solidFill>
                  <w14:prstDash w14:val="solid"/>
                  <w14:bevel/>
                </w14:textOutline>
              </w:rPr>
              <w:t>经度</w:t>
            </w:r>
          </w:p>
        </w:tc>
        <w:tc>
          <w:tcPr>
            <w:tcW w:w="540" w:type="pct"/>
          </w:tcPr>
          <w:p w14:paraId="04E144A8">
            <w:pPr>
              <w:spacing w:before="277" w:line="228" w:lineRule="auto"/>
              <w:ind w:firstLine="0" w:firstLineChars="0"/>
              <w:jc w:val="center"/>
              <w:rPr>
                <w:rFonts w:cs="Times New Roman"/>
                <w:spacing w:val="5"/>
                <w:kern w:val="0"/>
                <w:sz w:val="21"/>
                <w:szCs w:val="21"/>
                <w:lang w:eastAsia="en-US"/>
                <w14:textOutline w14:w="3797" w14:cap="sq" w14:cmpd="sng" w14:algn="ctr">
                  <w14:solidFill>
                    <w14:srgbClr w14:val="000000"/>
                  </w14:solidFill>
                  <w14:prstDash w14:val="solid"/>
                  <w14:bevel/>
                </w14:textOutline>
              </w:rPr>
            </w:pPr>
            <w:r>
              <w:rPr>
                <w:rFonts w:cs="Times New Roman"/>
                <w:spacing w:val="5"/>
                <w:kern w:val="0"/>
                <w:sz w:val="21"/>
                <w:szCs w:val="21"/>
                <w:lang w:eastAsia="en-US"/>
                <w14:textOutline w14:w="3797" w14:cap="sq" w14:cmpd="sng" w14:algn="ctr">
                  <w14:solidFill>
                    <w14:srgbClr w14:val="000000"/>
                  </w14:solidFill>
                  <w14:prstDash w14:val="solid"/>
                  <w14:bevel/>
                </w14:textOutline>
              </w:rPr>
              <w:t>纬度</w:t>
            </w:r>
          </w:p>
        </w:tc>
        <w:tc>
          <w:tcPr>
            <w:tcW w:w="618" w:type="pct"/>
            <w:vMerge w:val="continue"/>
          </w:tcPr>
          <w:p w14:paraId="511395C8">
            <w:pPr>
              <w:ind w:firstLine="0" w:firstLineChars="0"/>
              <w:jc w:val="left"/>
              <w:rPr>
                <w:rFonts w:cs="Times New Roman"/>
                <w:kern w:val="0"/>
                <w:sz w:val="21"/>
                <w:szCs w:val="21"/>
                <w:lang w:eastAsia="en-US"/>
              </w:rPr>
            </w:pPr>
          </w:p>
        </w:tc>
        <w:tc>
          <w:tcPr>
            <w:tcW w:w="772" w:type="pct"/>
            <w:vMerge w:val="continue"/>
          </w:tcPr>
          <w:p w14:paraId="7765EEB2">
            <w:pPr>
              <w:ind w:firstLine="0" w:firstLineChars="0"/>
              <w:jc w:val="left"/>
              <w:rPr>
                <w:rFonts w:cs="Times New Roman"/>
                <w:kern w:val="0"/>
                <w:sz w:val="21"/>
                <w:szCs w:val="21"/>
                <w:lang w:eastAsia="en-US"/>
              </w:rPr>
            </w:pPr>
          </w:p>
        </w:tc>
        <w:tc>
          <w:tcPr>
            <w:tcW w:w="386" w:type="pct"/>
            <w:vMerge w:val="continue"/>
          </w:tcPr>
          <w:p w14:paraId="1C832917">
            <w:pPr>
              <w:ind w:firstLine="0" w:firstLineChars="0"/>
              <w:jc w:val="left"/>
              <w:rPr>
                <w:rFonts w:cs="Times New Roman"/>
                <w:kern w:val="0"/>
                <w:sz w:val="21"/>
                <w:szCs w:val="21"/>
                <w:lang w:eastAsia="en-US"/>
              </w:rPr>
            </w:pPr>
          </w:p>
        </w:tc>
        <w:tc>
          <w:tcPr>
            <w:tcW w:w="541" w:type="pct"/>
            <w:vMerge w:val="continue"/>
          </w:tcPr>
          <w:p w14:paraId="6ECC05BC">
            <w:pPr>
              <w:ind w:firstLine="0" w:firstLineChars="0"/>
              <w:jc w:val="left"/>
              <w:rPr>
                <w:rFonts w:ascii="Calibri" w:hAnsi="Calibri" w:cs="Calibri"/>
                <w:kern w:val="0"/>
                <w:sz w:val="21"/>
                <w:szCs w:val="21"/>
                <w:lang w:eastAsia="en-US"/>
              </w:rPr>
            </w:pPr>
          </w:p>
        </w:tc>
        <w:tc>
          <w:tcPr>
            <w:tcW w:w="463" w:type="pct"/>
            <w:vMerge w:val="continue"/>
          </w:tcPr>
          <w:p w14:paraId="2404E7D9">
            <w:pPr>
              <w:ind w:firstLine="0" w:firstLineChars="0"/>
              <w:jc w:val="left"/>
              <w:rPr>
                <w:rFonts w:cs="Times New Roman"/>
                <w:kern w:val="0"/>
                <w:sz w:val="21"/>
                <w:szCs w:val="21"/>
                <w:lang w:eastAsia="en-US"/>
              </w:rPr>
            </w:pPr>
          </w:p>
        </w:tc>
        <w:tc>
          <w:tcPr>
            <w:tcW w:w="368" w:type="pct"/>
            <w:vMerge w:val="continue"/>
          </w:tcPr>
          <w:p w14:paraId="6B3F2EB2">
            <w:pPr>
              <w:ind w:firstLine="0" w:firstLineChars="0"/>
              <w:jc w:val="left"/>
              <w:rPr>
                <w:rFonts w:cs="Times New Roman"/>
                <w:kern w:val="0"/>
                <w:sz w:val="21"/>
                <w:szCs w:val="21"/>
                <w:lang w:eastAsia="en-US"/>
              </w:rPr>
            </w:pPr>
          </w:p>
        </w:tc>
      </w:tr>
      <w:tr w14:paraId="4795A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15" w:type="pct"/>
          </w:tcPr>
          <w:p w14:paraId="04387870">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孟家前楼</w:t>
            </w:r>
          </w:p>
        </w:tc>
        <w:tc>
          <w:tcPr>
            <w:tcW w:w="597" w:type="pct"/>
          </w:tcPr>
          <w:p w14:paraId="057102C9">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115.970842</w:t>
            </w:r>
          </w:p>
        </w:tc>
        <w:tc>
          <w:tcPr>
            <w:tcW w:w="540" w:type="pct"/>
          </w:tcPr>
          <w:p w14:paraId="5B847EEF">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32.430953</w:t>
            </w:r>
          </w:p>
        </w:tc>
        <w:tc>
          <w:tcPr>
            <w:tcW w:w="618" w:type="pct"/>
          </w:tcPr>
          <w:p w14:paraId="05066D38">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6298C160">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193F7D62">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541" w:type="pct"/>
          </w:tcPr>
          <w:p w14:paraId="33B9D598">
            <w:pPr>
              <w:spacing w:before="72" w:line="228"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29</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93</w:t>
            </w:r>
          </w:p>
        </w:tc>
        <w:tc>
          <w:tcPr>
            <w:tcW w:w="463" w:type="pct"/>
          </w:tcPr>
          <w:p w14:paraId="7B43FC83">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SW</w:t>
            </w:r>
          </w:p>
        </w:tc>
        <w:tc>
          <w:tcPr>
            <w:tcW w:w="368" w:type="pct"/>
          </w:tcPr>
          <w:p w14:paraId="7A3B14B0">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520</w:t>
            </w:r>
          </w:p>
        </w:tc>
      </w:tr>
      <w:tr w14:paraId="39434D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526ACEF6">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腰庄</w:t>
            </w:r>
          </w:p>
        </w:tc>
        <w:tc>
          <w:tcPr>
            <w:tcW w:w="597" w:type="pct"/>
          </w:tcPr>
          <w:p w14:paraId="6692A482">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115.977687</w:t>
            </w:r>
          </w:p>
        </w:tc>
        <w:tc>
          <w:tcPr>
            <w:tcW w:w="540" w:type="pct"/>
          </w:tcPr>
          <w:p w14:paraId="22BDF3B5">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32.417006</w:t>
            </w:r>
          </w:p>
        </w:tc>
        <w:tc>
          <w:tcPr>
            <w:tcW w:w="618" w:type="pct"/>
          </w:tcPr>
          <w:p w14:paraId="6C3B307B">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35BFD4B2">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1B4F8DCD">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南辅助井</w:t>
            </w:r>
          </w:p>
        </w:tc>
        <w:tc>
          <w:tcPr>
            <w:tcW w:w="541" w:type="pct"/>
          </w:tcPr>
          <w:p w14:paraId="55FFC2D8">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72</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23</w:t>
            </w:r>
            <w:r>
              <w:rPr>
                <w:rFonts w:eastAsia="Times New Roman" w:cs="Times New Roman"/>
                <w:spacing w:val="3"/>
                <w:kern w:val="0"/>
                <w:position w:val="1"/>
                <w:sz w:val="20"/>
                <w:szCs w:val="20"/>
                <w:lang w:eastAsia="en-US"/>
              </w:rPr>
              <w:t>2</w:t>
            </w:r>
          </w:p>
        </w:tc>
        <w:tc>
          <w:tcPr>
            <w:tcW w:w="463" w:type="pct"/>
          </w:tcPr>
          <w:p w14:paraId="4FE2BC5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SW</w:t>
            </w:r>
          </w:p>
        </w:tc>
        <w:tc>
          <w:tcPr>
            <w:tcW w:w="368" w:type="pct"/>
          </w:tcPr>
          <w:p w14:paraId="4860810B">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370</w:t>
            </w:r>
          </w:p>
        </w:tc>
      </w:tr>
      <w:tr w14:paraId="58BFD2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65F76A50">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薛圩</w:t>
            </w:r>
          </w:p>
        </w:tc>
        <w:tc>
          <w:tcPr>
            <w:tcW w:w="597" w:type="pct"/>
          </w:tcPr>
          <w:p w14:paraId="5FB665A3">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115.975778</w:t>
            </w:r>
          </w:p>
        </w:tc>
        <w:tc>
          <w:tcPr>
            <w:tcW w:w="540" w:type="pct"/>
          </w:tcPr>
          <w:p w14:paraId="7366119A">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32.410955</w:t>
            </w:r>
          </w:p>
        </w:tc>
        <w:tc>
          <w:tcPr>
            <w:tcW w:w="618" w:type="pct"/>
          </w:tcPr>
          <w:p w14:paraId="2DBE36A9">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7543B2A7">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4129B8E3">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南风井</w:t>
            </w:r>
          </w:p>
        </w:tc>
        <w:tc>
          <w:tcPr>
            <w:tcW w:w="541" w:type="pct"/>
          </w:tcPr>
          <w:p w14:paraId="78A6BEFE">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71</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21</w:t>
            </w:r>
            <w:r>
              <w:rPr>
                <w:rFonts w:eastAsia="Times New Roman" w:cs="Times New Roman"/>
                <w:spacing w:val="3"/>
                <w:kern w:val="0"/>
                <w:position w:val="1"/>
                <w:sz w:val="20"/>
                <w:szCs w:val="20"/>
                <w:lang w:eastAsia="en-US"/>
              </w:rPr>
              <w:t>8</w:t>
            </w:r>
          </w:p>
        </w:tc>
        <w:tc>
          <w:tcPr>
            <w:tcW w:w="463" w:type="pct"/>
          </w:tcPr>
          <w:p w14:paraId="2FFA1102">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SW</w:t>
            </w:r>
          </w:p>
        </w:tc>
        <w:tc>
          <w:tcPr>
            <w:tcW w:w="368" w:type="pct"/>
          </w:tcPr>
          <w:p w14:paraId="276B419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200</w:t>
            </w:r>
          </w:p>
        </w:tc>
      </w:tr>
      <w:tr w14:paraId="4BB335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51F6F0F6">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张家夏楼</w:t>
            </w:r>
          </w:p>
        </w:tc>
        <w:tc>
          <w:tcPr>
            <w:tcW w:w="597" w:type="pct"/>
          </w:tcPr>
          <w:p w14:paraId="0986F4C6">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115.968954</w:t>
            </w:r>
          </w:p>
        </w:tc>
        <w:tc>
          <w:tcPr>
            <w:tcW w:w="540" w:type="pct"/>
          </w:tcPr>
          <w:p w14:paraId="1968F685">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32.445212</w:t>
            </w:r>
          </w:p>
        </w:tc>
        <w:tc>
          <w:tcPr>
            <w:tcW w:w="618" w:type="pct"/>
          </w:tcPr>
          <w:p w14:paraId="6AC614B2">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4C14DC56">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5755A9D4">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选厂</w:t>
            </w:r>
          </w:p>
        </w:tc>
        <w:tc>
          <w:tcPr>
            <w:tcW w:w="541" w:type="pct"/>
          </w:tcPr>
          <w:p w14:paraId="0C611B03">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2"/>
                <w:kern w:val="0"/>
                <w:position w:val="1"/>
                <w:sz w:val="20"/>
                <w:szCs w:val="20"/>
                <w:lang w:eastAsia="en-US"/>
              </w:rPr>
              <w:t>32/</w:t>
            </w:r>
            <w:r>
              <w:rPr>
                <w:rFonts w:eastAsia="Times New Roman" w:cs="Times New Roman"/>
                <w:spacing w:val="-21"/>
                <w:kern w:val="0"/>
                <w:position w:val="1"/>
                <w:sz w:val="20"/>
                <w:szCs w:val="20"/>
                <w:lang w:eastAsia="en-US"/>
              </w:rPr>
              <w:t xml:space="preserve"> </w:t>
            </w:r>
            <w:r>
              <w:rPr>
                <w:rFonts w:eastAsia="Times New Roman" w:cs="Times New Roman"/>
                <w:spacing w:val="-1"/>
                <w:kern w:val="0"/>
                <w:position w:val="1"/>
                <w:sz w:val="20"/>
                <w:szCs w:val="20"/>
                <w:lang w:eastAsia="en-US"/>
              </w:rPr>
              <w:t>108</w:t>
            </w:r>
          </w:p>
        </w:tc>
        <w:tc>
          <w:tcPr>
            <w:tcW w:w="463" w:type="pct"/>
          </w:tcPr>
          <w:p w14:paraId="0455F24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NW</w:t>
            </w:r>
          </w:p>
        </w:tc>
        <w:tc>
          <w:tcPr>
            <w:tcW w:w="368" w:type="pct"/>
          </w:tcPr>
          <w:p w14:paraId="703C130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2300</w:t>
            </w:r>
          </w:p>
        </w:tc>
      </w:tr>
      <w:tr w14:paraId="256778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35198696">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王旮旯</w:t>
            </w:r>
          </w:p>
        </w:tc>
        <w:tc>
          <w:tcPr>
            <w:tcW w:w="597" w:type="pct"/>
          </w:tcPr>
          <w:p w14:paraId="2F4CFCB7">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115.968106</w:t>
            </w:r>
          </w:p>
        </w:tc>
        <w:tc>
          <w:tcPr>
            <w:tcW w:w="540" w:type="pct"/>
          </w:tcPr>
          <w:p w14:paraId="3787B240">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32.435594</w:t>
            </w:r>
          </w:p>
        </w:tc>
        <w:tc>
          <w:tcPr>
            <w:tcW w:w="618" w:type="pct"/>
          </w:tcPr>
          <w:p w14:paraId="6BCE1CCF">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5D34300D">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3624507E">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选厂</w:t>
            </w:r>
          </w:p>
        </w:tc>
        <w:tc>
          <w:tcPr>
            <w:tcW w:w="541" w:type="pct"/>
          </w:tcPr>
          <w:p w14:paraId="2A30CF96">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2"/>
                <w:kern w:val="0"/>
                <w:position w:val="1"/>
                <w:sz w:val="20"/>
                <w:szCs w:val="20"/>
                <w:lang w:eastAsia="en-US"/>
              </w:rPr>
              <w:t>62/</w:t>
            </w:r>
            <w:r>
              <w:rPr>
                <w:rFonts w:eastAsia="Times New Roman" w:cs="Times New Roman"/>
                <w:spacing w:val="-22"/>
                <w:kern w:val="0"/>
                <w:position w:val="1"/>
                <w:sz w:val="20"/>
                <w:szCs w:val="20"/>
                <w:lang w:eastAsia="en-US"/>
              </w:rPr>
              <w:t xml:space="preserve"> </w:t>
            </w:r>
            <w:r>
              <w:rPr>
                <w:rFonts w:eastAsia="Times New Roman" w:cs="Times New Roman"/>
                <w:spacing w:val="-1"/>
                <w:kern w:val="0"/>
                <w:position w:val="1"/>
                <w:sz w:val="20"/>
                <w:szCs w:val="20"/>
                <w:lang w:eastAsia="en-US"/>
              </w:rPr>
              <w:t>192</w:t>
            </w:r>
          </w:p>
        </w:tc>
        <w:tc>
          <w:tcPr>
            <w:tcW w:w="463" w:type="pct"/>
          </w:tcPr>
          <w:p w14:paraId="2D9870DB">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NW</w:t>
            </w:r>
          </w:p>
        </w:tc>
        <w:tc>
          <w:tcPr>
            <w:tcW w:w="368" w:type="pct"/>
          </w:tcPr>
          <w:p w14:paraId="4C2E405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2000</w:t>
            </w:r>
          </w:p>
        </w:tc>
      </w:tr>
      <w:tr w14:paraId="0ED84C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0D834B6F">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西张郢子</w:t>
            </w:r>
          </w:p>
        </w:tc>
        <w:tc>
          <w:tcPr>
            <w:tcW w:w="597" w:type="pct"/>
          </w:tcPr>
          <w:p w14:paraId="00F19B66">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115.984940</w:t>
            </w:r>
          </w:p>
        </w:tc>
        <w:tc>
          <w:tcPr>
            <w:tcW w:w="540" w:type="pct"/>
          </w:tcPr>
          <w:p w14:paraId="4FE342C3">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32.449750</w:t>
            </w:r>
          </w:p>
        </w:tc>
        <w:tc>
          <w:tcPr>
            <w:tcW w:w="618" w:type="pct"/>
          </w:tcPr>
          <w:p w14:paraId="5C852135">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7A57E8E9">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198F19C0">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选厂</w:t>
            </w:r>
          </w:p>
        </w:tc>
        <w:tc>
          <w:tcPr>
            <w:tcW w:w="541" w:type="pct"/>
          </w:tcPr>
          <w:p w14:paraId="21DB8BD5">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2"/>
                <w:kern w:val="0"/>
                <w:position w:val="1"/>
                <w:sz w:val="20"/>
                <w:szCs w:val="20"/>
                <w:lang w:eastAsia="en-US"/>
              </w:rPr>
              <w:t>60/</w:t>
            </w:r>
            <w:r>
              <w:rPr>
                <w:rFonts w:eastAsia="Times New Roman" w:cs="Times New Roman"/>
                <w:spacing w:val="-22"/>
                <w:kern w:val="0"/>
                <w:position w:val="1"/>
                <w:sz w:val="20"/>
                <w:szCs w:val="20"/>
                <w:lang w:eastAsia="en-US"/>
              </w:rPr>
              <w:t xml:space="preserve"> </w:t>
            </w:r>
            <w:r>
              <w:rPr>
                <w:rFonts w:eastAsia="Times New Roman" w:cs="Times New Roman"/>
                <w:spacing w:val="-1"/>
                <w:kern w:val="0"/>
                <w:position w:val="1"/>
                <w:sz w:val="20"/>
                <w:szCs w:val="20"/>
                <w:lang w:eastAsia="en-US"/>
              </w:rPr>
              <w:t>185</w:t>
            </w:r>
          </w:p>
        </w:tc>
        <w:tc>
          <w:tcPr>
            <w:tcW w:w="463" w:type="pct"/>
          </w:tcPr>
          <w:p w14:paraId="7E901CE1">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N</w:t>
            </w:r>
          </w:p>
        </w:tc>
        <w:tc>
          <w:tcPr>
            <w:tcW w:w="368" w:type="pct"/>
          </w:tcPr>
          <w:p w14:paraId="79B0CDE9">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2133</w:t>
            </w:r>
          </w:p>
        </w:tc>
      </w:tr>
      <w:tr w14:paraId="578791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1AF4B631">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雷庄子</w:t>
            </w:r>
          </w:p>
        </w:tc>
        <w:tc>
          <w:tcPr>
            <w:tcW w:w="597" w:type="pct"/>
          </w:tcPr>
          <w:p w14:paraId="38FE2575">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115.980176</w:t>
            </w:r>
          </w:p>
        </w:tc>
        <w:tc>
          <w:tcPr>
            <w:tcW w:w="540" w:type="pct"/>
          </w:tcPr>
          <w:p w14:paraId="08EFC110">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32.444987</w:t>
            </w:r>
          </w:p>
        </w:tc>
        <w:tc>
          <w:tcPr>
            <w:tcW w:w="618" w:type="pct"/>
          </w:tcPr>
          <w:p w14:paraId="70CE4832">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34B487A6">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0CC4AAEC">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541" w:type="pct"/>
          </w:tcPr>
          <w:p w14:paraId="6FDDDB60">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29</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90</w:t>
            </w:r>
          </w:p>
        </w:tc>
        <w:tc>
          <w:tcPr>
            <w:tcW w:w="463" w:type="pct"/>
          </w:tcPr>
          <w:p w14:paraId="2D35E232">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N</w:t>
            </w:r>
          </w:p>
        </w:tc>
        <w:tc>
          <w:tcPr>
            <w:tcW w:w="368" w:type="pct"/>
          </w:tcPr>
          <w:p w14:paraId="0733566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930</w:t>
            </w:r>
          </w:p>
        </w:tc>
      </w:tr>
      <w:tr w14:paraId="5C3A52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06EA94E6">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张家南围</w:t>
            </w:r>
          </w:p>
        </w:tc>
        <w:tc>
          <w:tcPr>
            <w:tcW w:w="597" w:type="pct"/>
          </w:tcPr>
          <w:p w14:paraId="705EF300">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115.989897</w:t>
            </w:r>
          </w:p>
        </w:tc>
        <w:tc>
          <w:tcPr>
            <w:tcW w:w="540" w:type="pct"/>
          </w:tcPr>
          <w:p w14:paraId="059D30BA">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32.445266</w:t>
            </w:r>
          </w:p>
        </w:tc>
        <w:tc>
          <w:tcPr>
            <w:tcW w:w="618" w:type="pct"/>
          </w:tcPr>
          <w:p w14:paraId="7A630E6F">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452DA160">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0294ACD5">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选厂</w:t>
            </w:r>
          </w:p>
        </w:tc>
        <w:tc>
          <w:tcPr>
            <w:tcW w:w="541" w:type="pct"/>
          </w:tcPr>
          <w:p w14:paraId="1CB70966">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28</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88</w:t>
            </w:r>
          </w:p>
        </w:tc>
        <w:tc>
          <w:tcPr>
            <w:tcW w:w="463" w:type="pct"/>
          </w:tcPr>
          <w:p w14:paraId="34F0535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NE</w:t>
            </w:r>
          </w:p>
        </w:tc>
        <w:tc>
          <w:tcPr>
            <w:tcW w:w="368" w:type="pct"/>
          </w:tcPr>
          <w:p w14:paraId="02BB084E">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1725</w:t>
            </w:r>
          </w:p>
        </w:tc>
      </w:tr>
      <w:tr w14:paraId="7D786E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448C4FF3">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下园</w:t>
            </w:r>
          </w:p>
        </w:tc>
        <w:tc>
          <w:tcPr>
            <w:tcW w:w="597" w:type="pct"/>
          </w:tcPr>
          <w:p w14:paraId="55E405CD">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115.997214</w:t>
            </w:r>
          </w:p>
        </w:tc>
        <w:tc>
          <w:tcPr>
            <w:tcW w:w="540" w:type="pct"/>
          </w:tcPr>
          <w:p w14:paraId="27BF7239">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32.447519</w:t>
            </w:r>
          </w:p>
        </w:tc>
        <w:tc>
          <w:tcPr>
            <w:tcW w:w="618" w:type="pct"/>
          </w:tcPr>
          <w:p w14:paraId="768DCBFF">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38D7E6EE">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4DC30483">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选厂</w:t>
            </w:r>
          </w:p>
        </w:tc>
        <w:tc>
          <w:tcPr>
            <w:tcW w:w="541" w:type="pct"/>
          </w:tcPr>
          <w:p w14:paraId="4D90FD71">
            <w:pPr>
              <w:spacing w:before="72" w:line="228"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21</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65</w:t>
            </w:r>
          </w:p>
        </w:tc>
        <w:tc>
          <w:tcPr>
            <w:tcW w:w="463" w:type="pct"/>
          </w:tcPr>
          <w:p w14:paraId="4E57A873">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NE</w:t>
            </w:r>
          </w:p>
        </w:tc>
        <w:tc>
          <w:tcPr>
            <w:tcW w:w="368" w:type="pct"/>
          </w:tcPr>
          <w:p w14:paraId="13E619CC">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2221</w:t>
            </w:r>
          </w:p>
        </w:tc>
      </w:tr>
      <w:tr w14:paraId="1D8EE8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103A5B82">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庙西</w:t>
            </w:r>
          </w:p>
        </w:tc>
        <w:tc>
          <w:tcPr>
            <w:tcW w:w="597" w:type="pct"/>
          </w:tcPr>
          <w:p w14:paraId="29D5457F">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115.991034</w:t>
            </w:r>
          </w:p>
        </w:tc>
        <w:tc>
          <w:tcPr>
            <w:tcW w:w="540" w:type="pct"/>
          </w:tcPr>
          <w:p w14:paraId="75D7E69C">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32.437605</w:t>
            </w:r>
          </w:p>
        </w:tc>
        <w:tc>
          <w:tcPr>
            <w:tcW w:w="618" w:type="pct"/>
          </w:tcPr>
          <w:p w14:paraId="76B6E7D4">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61E8A547">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351978F9">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选厂</w:t>
            </w:r>
          </w:p>
        </w:tc>
        <w:tc>
          <w:tcPr>
            <w:tcW w:w="541" w:type="pct"/>
          </w:tcPr>
          <w:p w14:paraId="2D42BCAE">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21</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76</w:t>
            </w:r>
          </w:p>
        </w:tc>
        <w:tc>
          <w:tcPr>
            <w:tcW w:w="463" w:type="pct"/>
          </w:tcPr>
          <w:p w14:paraId="744D18FA">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NE</w:t>
            </w:r>
          </w:p>
        </w:tc>
        <w:tc>
          <w:tcPr>
            <w:tcW w:w="368" w:type="pct"/>
          </w:tcPr>
          <w:p w14:paraId="4CC430B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930</w:t>
            </w:r>
          </w:p>
        </w:tc>
      </w:tr>
      <w:tr w14:paraId="20DD71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15" w:type="pct"/>
          </w:tcPr>
          <w:p w14:paraId="0E6829D1">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庙东庄</w:t>
            </w:r>
          </w:p>
        </w:tc>
        <w:tc>
          <w:tcPr>
            <w:tcW w:w="597" w:type="pct"/>
          </w:tcPr>
          <w:p w14:paraId="4D18DF29">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115.998544</w:t>
            </w:r>
          </w:p>
        </w:tc>
        <w:tc>
          <w:tcPr>
            <w:tcW w:w="540" w:type="pct"/>
          </w:tcPr>
          <w:p w14:paraId="4E36167D">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32.435417</w:t>
            </w:r>
          </w:p>
        </w:tc>
        <w:tc>
          <w:tcPr>
            <w:tcW w:w="618" w:type="pct"/>
          </w:tcPr>
          <w:p w14:paraId="0C099726">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66F84932">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5E1CEC70">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选厂</w:t>
            </w:r>
          </w:p>
        </w:tc>
        <w:tc>
          <w:tcPr>
            <w:tcW w:w="541" w:type="pct"/>
          </w:tcPr>
          <w:p w14:paraId="16A76666">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23</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75</w:t>
            </w:r>
          </w:p>
        </w:tc>
        <w:tc>
          <w:tcPr>
            <w:tcW w:w="463" w:type="pct"/>
          </w:tcPr>
          <w:p w14:paraId="2F100523">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NE</w:t>
            </w:r>
          </w:p>
        </w:tc>
        <w:tc>
          <w:tcPr>
            <w:tcW w:w="368" w:type="pct"/>
          </w:tcPr>
          <w:p w14:paraId="14A1DE64">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1139</w:t>
            </w:r>
          </w:p>
        </w:tc>
      </w:tr>
      <w:tr w14:paraId="428E2A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6A5921A8">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范桥乡前楼小学</w:t>
            </w:r>
          </w:p>
        </w:tc>
        <w:tc>
          <w:tcPr>
            <w:tcW w:w="597" w:type="pct"/>
          </w:tcPr>
          <w:p w14:paraId="786D0D29">
            <w:pPr>
              <w:spacing w:before="72" w:line="191"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115.970971</w:t>
            </w:r>
          </w:p>
        </w:tc>
        <w:tc>
          <w:tcPr>
            <w:tcW w:w="540" w:type="pct"/>
          </w:tcPr>
          <w:p w14:paraId="0A9EC3A7">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32.436490</w:t>
            </w:r>
          </w:p>
        </w:tc>
        <w:tc>
          <w:tcPr>
            <w:tcW w:w="618" w:type="pct"/>
          </w:tcPr>
          <w:p w14:paraId="07C4848F">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191E1FD8">
            <w:pPr>
              <w:spacing w:before="72" w:line="23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33B8564B">
            <w:pPr>
              <w:spacing w:before="72" w:line="228"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541" w:type="pct"/>
          </w:tcPr>
          <w:p w14:paraId="41D35742">
            <w:pPr>
              <w:spacing w:before="72" w:line="190" w:lineRule="auto"/>
              <w:ind w:firstLine="0" w:firstLineChars="0"/>
              <w:jc w:val="center"/>
              <w:rPr>
                <w:rFonts w:ascii="Calibri" w:hAnsi="Calibri" w:cs="Calibri"/>
                <w:spacing w:val="8"/>
                <w:kern w:val="0"/>
                <w:sz w:val="21"/>
                <w:szCs w:val="21"/>
                <w:lang w:eastAsia="en-US"/>
              </w:rPr>
            </w:pPr>
            <w:r>
              <w:rPr>
                <w:rFonts w:hint="eastAsia" w:ascii="Calibri" w:hAnsi="Calibri" w:cs="Calibri"/>
                <w:spacing w:val="8"/>
                <w:kern w:val="0"/>
                <w:sz w:val="21"/>
                <w:szCs w:val="21"/>
                <w:lang w:eastAsia="en-US"/>
              </w:rPr>
              <w:t>约5</w:t>
            </w:r>
            <w:r>
              <w:rPr>
                <w:rFonts w:ascii="Calibri" w:hAnsi="Calibri" w:cs="Calibri"/>
                <w:spacing w:val="8"/>
                <w:kern w:val="0"/>
                <w:sz w:val="21"/>
                <w:szCs w:val="21"/>
                <w:lang w:eastAsia="en-US"/>
              </w:rPr>
              <w:t>00</w:t>
            </w:r>
            <w:r>
              <w:rPr>
                <w:rFonts w:hint="eastAsia" w:ascii="Calibri" w:hAnsi="Calibri" w:cs="Calibri"/>
                <w:spacing w:val="8"/>
                <w:kern w:val="0"/>
                <w:sz w:val="21"/>
                <w:szCs w:val="21"/>
                <w:lang w:eastAsia="en-US"/>
              </w:rPr>
              <w:t>人</w:t>
            </w:r>
          </w:p>
        </w:tc>
        <w:tc>
          <w:tcPr>
            <w:tcW w:w="463" w:type="pct"/>
          </w:tcPr>
          <w:p w14:paraId="63C75AE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WNW</w:t>
            </w:r>
          </w:p>
        </w:tc>
        <w:tc>
          <w:tcPr>
            <w:tcW w:w="368" w:type="pct"/>
          </w:tcPr>
          <w:p w14:paraId="71F797F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600</w:t>
            </w:r>
          </w:p>
        </w:tc>
      </w:tr>
      <w:tr w14:paraId="7396F0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6311056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双沟</w:t>
            </w:r>
          </w:p>
        </w:tc>
        <w:tc>
          <w:tcPr>
            <w:tcW w:w="597" w:type="pct"/>
          </w:tcPr>
          <w:p w14:paraId="1F0A5688">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115.962517</w:t>
            </w:r>
          </w:p>
        </w:tc>
        <w:tc>
          <w:tcPr>
            <w:tcW w:w="540" w:type="pct"/>
          </w:tcPr>
          <w:p w14:paraId="6AA665C3">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32.430057</w:t>
            </w:r>
          </w:p>
        </w:tc>
        <w:tc>
          <w:tcPr>
            <w:tcW w:w="618" w:type="pct"/>
          </w:tcPr>
          <w:p w14:paraId="0C9AD930">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2B8AB6C5">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03925D1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541" w:type="pct"/>
          </w:tcPr>
          <w:p w14:paraId="210AE832">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21</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76</w:t>
            </w:r>
          </w:p>
        </w:tc>
        <w:tc>
          <w:tcPr>
            <w:tcW w:w="463" w:type="pct"/>
          </w:tcPr>
          <w:p w14:paraId="3A7A84A8">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WSW</w:t>
            </w:r>
          </w:p>
        </w:tc>
        <w:tc>
          <w:tcPr>
            <w:tcW w:w="368" w:type="pct"/>
          </w:tcPr>
          <w:p w14:paraId="093FE73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1240</w:t>
            </w:r>
          </w:p>
        </w:tc>
      </w:tr>
      <w:tr w14:paraId="7BB9B6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0097C99D">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王土楼子</w:t>
            </w:r>
          </w:p>
        </w:tc>
        <w:tc>
          <w:tcPr>
            <w:tcW w:w="597" w:type="pct"/>
          </w:tcPr>
          <w:p w14:paraId="5A1E44E8">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115.961101</w:t>
            </w:r>
          </w:p>
        </w:tc>
        <w:tc>
          <w:tcPr>
            <w:tcW w:w="540" w:type="pct"/>
          </w:tcPr>
          <w:p w14:paraId="56464CF3">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32.428185</w:t>
            </w:r>
          </w:p>
        </w:tc>
        <w:tc>
          <w:tcPr>
            <w:tcW w:w="618" w:type="pct"/>
          </w:tcPr>
          <w:p w14:paraId="6202F552">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268A2BF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1DC5B97D">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541" w:type="pct"/>
          </w:tcPr>
          <w:p w14:paraId="4569B592">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28</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83</w:t>
            </w:r>
          </w:p>
        </w:tc>
        <w:tc>
          <w:tcPr>
            <w:tcW w:w="463" w:type="pct"/>
          </w:tcPr>
          <w:p w14:paraId="03676E9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WSW</w:t>
            </w:r>
          </w:p>
        </w:tc>
        <w:tc>
          <w:tcPr>
            <w:tcW w:w="368" w:type="pct"/>
          </w:tcPr>
          <w:p w14:paraId="320B6F4D">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1460</w:t>
            </w:r>
          </w:p>
        </w:tc>
      </w:tr>
      <w:tr w14:paraId="559075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1EA9FB1B">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万前村</w:t>
            </w:r>
          </w:p>
        </w:tc>
        <w:tc>
          <w:tcPr>
            <w:tcW w:w="597" w:type="pct"/>
          </w:tcPr>
          <w:p w14:paraId="7A13102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115.970821</w:t>
            </w:r>
          </w:p>
        </w:tc>
        <w:tc>
          <w:tcPr>
            <w:tcW w:w="540" w:type="pct"/>
          </w:tcPr>
          <w:p w14:paraId="485F7DBC">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32.427456</w:t>
            </w:r>
          </w:p>
        </w:tc>
        <w:tc>
          <w:tcPr>
            <w:tcW w:w="618" w:type="pct"/>
          </w:tcPr>
          <w:p w14:paraId="12677FEC">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27A3466B">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3DD14DDD">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541" w:type="pct"/>
          </w:tcPr>
          <w:p w14:paraId="21A4ECB5">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26</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80</w:t>
            </w:r>
          </w:p>
        </w:tc>
        <w:tc>
          <w:tcPr>
            <w:tcW w:w="463" w:type="pct"/>
          </w:tcPr>
          <w:p w14:paraId="4F1991ED">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SW</w:t>
            </w:r>
          </w:p>
        </w:tc>
        <w:tc>
          <w:tcPr>
            <w:tcW w:w="368" w:type="pct"/>
          </w:tcPr>
          <w:p w14:paraId="23001774">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598</w:t>
            </w:r>
          </w:p>
        </w:tc>
      </w:tr>
      <w:tr w14:paraId="543084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21EF670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邓行</w:t>
            </w:r>
          </w:p>
        </w:tc>
        <w:tc>
          <w:tcPr>
            <w:tcW w:w="597" w:type="pct"/>
          </w:tcPr>
          <w:p w14:paraId="7851442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115.971078</w:t>
            </w:r>
          </w:p>
        </w:tc>
        <w:tc>
          <w:tcPr>
            <w:tcW w:w="540" w:type="pct"/>
          </w:tcPr>
          <w:p w14:paraId="60B04B42">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32.424345</w:t>
            </w:r>
          </w:p>
        </w:tc>
        <w:tc>
          <w:tcPr>
            <w:tcW w:w="618" w:type="pct"/>
          </w:tcPr>
          <w:p w14:paraId="6643FAB7">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58F63338">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7817C508">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选厂</w:t>
            </w:r>
          </w:p>
        </w:tc>
        <w:tc>
          <w:tcPr>
            <w:tcW w:w="541" w:type="pct"/>
          </w:tcPr>
          <w:p w14:paraId="42EEAE01">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25</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80</w:t>
            </w:r>
          </w:p>
        </w:tc>
        <w:tc>
          <w:tcPr>
            <w:tcW w:w="463" w:type="pct"/>
          </w:tcPr>
          <w:p w14:paraId="59963DF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SW</w:t>
            </w:r>
          </w:p>
        </w:tc>
        <w:tc>
          <w:tcPr>
            <w:tcW w:w="368" w:type="pct"/>
          </w:tcPr>
          <w:p w14:paraId="73D52D1C">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990</w:t>
            </w:r>
          </w:p>
        </w:tc>
      </w:tr>
      <w:tr w14:paraId="5379E7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64517FC7">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王油坊</w:t>
            </w:r>
          </w:p>
        </w:tc>
        <w:tc>
          <w:tcPr>
            <w:tcW w:w="597" w:type="pct"/>
          </w:tcPr>
          <w:p w14:paraId="259FD96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115.974876</w:t>
            </w:r>
          </w:p>
        </w:tc>
        <w:tc>
          <w:tcPr>
            <w:tcW w:w="540" w:type="pct"/>
          </w:tcPr>
          <w:p w14:paraId="0063EB4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32.414581</w:t>
            </w:r>
          </w:p>
        </w:tc>
        <w:tc>
          <w:tcPr>
            <w:tcW w:w="618" w:type="pct"/>
          </w:tcPr>
          <w:p w14:paraId="1446F398">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00FBC30D">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55766760">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南风井</w:t>
            </w:r>
          </w:p>
        </w:tc>
        <w:tc>
          <w:tcPr>
            <w:tcW w:w="541" w:type="pct"/>
          </w:tcPr>
          <w:p w14:paraId="3A68ACDE">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21</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65</w:t>
            </w:r>
          </w:p>
        </w:tc>
        <w:tc>
          <w:tcPr>
            <w:tcW w:w="463" w:type="pct"/>
          </w:tcPr>
          <w:p w14:paraId="5CBC93B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NW</w:t>
            </w:r>
          </w:p>
        </w:tc>
        <w:tc>
          <w:tcPr>
            <w:tcW w:w="368" w:type="pct"/>
          </w:tcPr>
          <w:p w14:paraId="497CCAB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470</w:t>
            </w:r>
          </w:p>
        </w:tc>
      </w:tr>
      <w:tr w14:paraId="7D15FF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06C0B5CC">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南八大家</w:t>
            </w:r>
          </w:p>
        </w:tc>
        <w:tc>
          <w:tcPr>
            <w:tcW w:w="597" w:type="pct"/>
          </w:tcPr>
          <w:p w14:paraId="2A0B028A">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115.984672</w:t>
            </w:r>
          </w:p>
        </w:tc>
        <w:tc>
          <w:tcPr>
            <w:tcW w:w="540" w:type="pct"/>
          </w:tcPr>
          <w:p w14:paraId="036D4127">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32.409925</w:t>
            </w:r>
          </w:p>
        </w:tc>
        <w:tc>
          <w:tcPr>
            <w:tcW w:w="618" w:type="pct"/>
          </w:tcPr>
          <w:p w14:paraId="1169208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0912A19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2ACD9B3C">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南风井</w:t>
            </w:r>
          </w:p>
        </w:tc>
        <w:tc>
          <w:tcPr>
            <w:tcW w:w="541" w:type="pct"/>
          </w:tcPr>
          <w:p w14:paraId="2CC918ED">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4"/>
                <w:kern w:val="0"/>
                <w:position w:val="1"/>
                <w:sz w:val="20"/>
                <w:szCs w:val="20"/>
                <w:lang w:eastAsia="en-US"/>
              </w:rPr>
              <w:t>25</w:t>
            </w:r>
            <w:r>
              <w:rPr>
                <w:rFonts w:eastAsia="Times New Roman" w:cs="Times New Roman"/>
                <w:spacing w:val="2"/>
                <w:kern w:val="0"/>
                <w:position w:val="1"/>
                <w:sz w:val="20"/>
                <w:szCs w:val="20"/>
                <w:lang w:eastAsia="en-US"/>
              </w:rPr>
              <w:t>/</w:t>
            </w:r>
            <w:r>
              <w:rPr>
                <w:rFonts w:eastAsia="Times New Roman" w:cs="Times New Roman"/>
                <w:spacing w:val="4"/>
                <w:kern w:val="0"/>
                <w:position w:val="1"/>
                <w:sz w:val="20"/>
                <w:szCs w:val="20"/>
                <w:lang w:eastAsia="en-US"/>
              </w:rPr>
              <w:t>80</w:t>
            </w:r>
          </w:p>
        </w:tc>
        <w:tc>
          <w:tcPr>
            <w:tcW w:w="463" w:type="pct"/>
          </w:tcPr>
          <w:p w14:paraId="39CE048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E</w:t>
            </w:r>
          </w:p>
        </w:tc>
        <w:tc>
          <w:tcPr>
            <w:tcW w:w="368" w:type="pct"/>
          </w:tcPr>
          <w:p w14:paraId="2F9187DD">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253</w:t>
            </w:r>
          </w:p>
        </w:tc>
      </w:tr>
      <w:tr w14:paraId="7DF7B7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4FFE7A3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前郢和后郢</w:t>
            </w:r>
          </w:p>
        </w:tc>
        <w:tc>
          <w:tcPr>
            <w:tcW w:w="597" w:type="pct"/>
          </w:tcPr>
          <w:p w14:paraId="70A49A07">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115.987204</w:t>
            </w:r>
          </w:p>
        </w:tc>
        <w:tc>
          <w:tcPr>
            <w:tcW w:w="540" w:type="pct"/>
          </w:tcPr>
          <w:p w14:paraId="75B5E1E5">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32.407747</w:t>
            </w:r>
          </w:p>
        </w:tc>
        <w:tc>
          <w:tcPr>
            <w:tcW w:w="618" w:type="pct"/>
          </w:tcPr>
          <w:p w14:paraId="5DA808F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126E13C1">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23F882EB">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南风井</w:t>
            </w:r>
          </w:p>
        </w:tc>
        <w:tc>
          <w:tcPr>
            <w:tcW w:w="541" w:type="pct"/>
          </w:tcPr>
          <w:p w14:paraId="0FC346DE">
            <w:pPr>
              <w:spacing w:before="72" w:line="190" w:lineRule="auto"/>
              <w:ind w:firstLine="0" w:firstLineChars="0"/>
              <w:jc w:val="center"/>
              <w:rPr>
                <w:rFonts w:ascii="Calibri" w:hAnsi="Calibri" w:cs="Calibri"/>
                <w:spacing w:val="8"/>
                <w:kern w:val="0"/>
                <w:sz w:val="21"/>
                <w:szCs w:val="21"/>
                <w:lang w:eastAsia="en-US"/>
              </w:rPr>
            </w:pPr>
            <w:r>
              <w:rPr>
                <w:rFonts w:eastAsia="Times New Roman" w:cs="Times New Roman"/>
                <w:spacing w:val="-2"/>
                <w:kern w:val="0"/>
                <w:position w:val="1"/>
                <w:sz w:val="20"/>
                <w:szCs w:val="20"/>
                <w:lang w:eastAsia="en-US"/>
              </w:rPr>
              <w:t>63/</w:t>
            </w:r>
            <w:r>
              <w:rPr>
                <w:rFonts w:eastAsia="Times New Roman" w:cs="Times New Roman"/>
                <w:spacing w:val="-22"/>
                <w:kern w:val="0"/>
                <w:position w:val="1"/>
                <w:sz w:val="20"/>
                <w:szCs w:val="20"/>
                <w:lang w:eastAsia="en-US"/>
              </w:rPr>
              <w:t xml:space="preserve"> </w:t>
            </w:r>
            <w:r>
              <w:rPr>
                <w:rFonts w:eastAsia="Times New Roman" w:cs="Times New Roman"/>
                <w:spacing w:val="-1"/>
                <w:kern w:val="0"/>
                <w:position w:val="1"/>
                <w:sz w:val="20"/>
                <w:szCs w:val="20"/>
                <w:lang w:eastAsia="en-US"/>
              </w:rPr>
              <w:t>191</w:t>
            </w:r>
          </w:p>
        </w:tc>
        <w:tc>
          <w:tcPr>
            <w:tcW w:w="463" w:type="pct"/>
          </w:tcPr>
          <w:p w14:paraId="51826FCA">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SE</w:t>
            </w:r>
          </w:p>
        </w:tc>
        <w:tc>
          <w:tcPr>
            <w:tcW w:w="368" w:type="pct"/>
          </w:tcPr>
          <w:p w14:paraId="14077A9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632</w:t>
            </w:r>
          </w:p>
        </w:tc>
      </w:tr>
      <w:tr w14:paraId="55D379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2356A462">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范桥</w:t>
            </w:r>
          </w:p>
        </w:tc>
        <w:tc>
          <w:tcPr>
            <w:tcW w:w="597" w:type="pct"/>
          </w:tcPr>
          <w:p w14:paraId="4DED157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115.992279</w:t>
            </w:r>
          </w:p>
        </w:tc>
        <w:tc>
          <w:tcPr>
            <w:tcW w:w="540" w:type="pct"/>
          </w:tcPr>
          <w:p w14:paraId="1B5E976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32.412285</w:t>
            </w:r>
          </w:p>
        </w:tc>
        <w:tc>
          <w:tcPr>
            <w:tcW w:w="618" w:type="pct"/>
          </w:tcPr>
          <w:p w14:paraId="16E43F30">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4D58E150">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65C8A1D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南辅助井</w:t>
            </w:r>
          </w:p>
        </w:tc>
        <w:tc>
          <w:tcPr>
            <w:tcW w:w="541" w:type="pct"/>
          </w:tcPr>
          <w:p w14:paraId="5CF57E8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58/ 175</w:t>
            </w:r>
          </w:p>
        </w:tc>
        <w:tc>
          <w:tcPr>
            <w:tcW w:w="463" w:type="pct"/>
          </w:tcPr>
          <w:p w14:paraId="510427E8">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SE</w:t>
            </w:r>
          </w:p>
        </w:tc>
        <w:tc>
          <w:tcPr>
            <w:tcW w:w="368" w:type="pct"/>
          </w:tcPr>
          <w:p w14:paraId="277BDCD4">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912</w:t>
            </w:r>
          </w:p>
        </w:tc>
      </w:tr>
      <w:tr w14:paraId="3714EC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2CF92276">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移民安置区</w:t>
            </w:r>
          </w:p>
        </w:tc>
        <w:tc>
          <w:tcPr>
            <w:tcW w:w="597" w:type="pct"/>
          </w:tcPr>
          <w:p w14:paraId="6CABC688">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115.994656</w:t>
            </w:r>
          </w:p>
        </w:tc>
        <w:tc>
          <w:tcPr>
            <w:tcW w:w="540" w:type="pct"/>
          </w:tcPr>
          <w:p w14:paraId="14EC3C0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32.425456</w:t>
            </w:r>
          </w:p>
        </w:tc>
        <w:tc>
          <w:tcPr>
            <w:tcW w:w="618" w:type="pct"/>
          </w:tcPr>
          <w:p w14:paraId="45C8A73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2" w:type="pct"/>
          </w:tcPr>
          <w:p w14:paraId="3DC504A3">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GB3095-2012 二级</w:t>
            </w:r>
          </w:p>
        </w:tc>
        <w:tc>
          <w:tcPr>
            <w:tcW w:w="386" w:type="pct"/>
          </w:tcPr>
          <w:p w14:paraId="4A4FB882">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选厂</w:t>
            </w:r>
          </w:p>
        </w:tc>
        <w:tc>
          <w:tcPr>
            <w:tcW w:w="541" w:type="pct"/>
          </w:tcPr>
          <w:p w14:paraId="6F661E27">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6</w:t>
            </w:r>
            <w:r>
              <w:rPr>
                <w:rFonts w:cs="Times New Roman"/>
                <w:spacing w:val="8"/>
                <w:kern w:val="0"/>
                <w:sz w:val="21"/>
                <w:szCs w:val="21"/>
                <w:lang w:eastAsia="en-US"/>
              </w:rPr>
              <w:t>4/251</w:t>
            </w:r>
          </w:p>
        </w:tc>
        <w:tc>
          <w:tcPr>
            <w:tcW w:w="463" w:type="pct"/>
          </w:tcPr>
          <w:p w14:paraId="3B9FB09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SE</w:t>
            </w:r>
          </w:p>
        </w:tc>
        <w:tc>
          <w:tcPr>
            <w:tcW w:w="368" w:type="pct"/>
          </w:tcPr>
          <w:p w14:paraId="78462C0D">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1</w:t>
            </w:r>
            <w:r>
              <w:rPr>
                <w:rFonts w:cs="Times New Roman"/>
                <w:spacing w:val="8"/>
                <w:kern w:val="0"/>
                <w:sz w:val="21"/>
                <w:szCs w:val="21"/>
                <w:lang w:eastAsia="en-US"/>
              </w:rPr>
              <w:t>63</w:t>
            </w:r>
          </w:p>
        </w:tc>
      </w:tr>
    </w:tbl>
    <w:p w14:paraId="38BFF030">
      <w:pPr>
        <w:widowControl/>
        <w:ind w:firstLine="520"/>
        <w:jc w:val="left"/>
        <w:rPr>
          <w:rFonts w:cs="Times New Roman"/>
          <w:spacing w:val="10"/>
          <w:szCs w:val="24"/>
        </w:rPr>
      </w:pPr>
      <w:r>
        <w:rPr>
          <w:rFonts w:hint="eastAsia" w:cs="Times New Roman"/>
          <w:spacing w:val="10"/>
          <w:szCs w:val="24"/>
        </w:rPr>
        <w:t>（2）水环境保护目标</w:t>
      </w:r>
    </w:p>
    <w:p w14:paraId="366E374E">
      <w:pPr>
        <w:widowControl/>
        <w:ind w:firstLine="520"/>
        <w:jc w:val="left"/>
        <w:rPr>
          <w:rFonts w:cs="Times New Roman"/>
          <w:spacing w:val="10"/>
          <w:szCs w:val="24"/>
        </w:rPr>
      </w:pPr>
      <w:r>
        <w:rPr>
          <w:rFonts w:cs="Times New Roman"/>
          <w:spacing w:val="10"/>
          <w:szCs w:val="24"/>
        </w:rPr>
        <w:t>根据地表水导则，地表水保护目标包括饮用水水源保护区、饮用水取水口，涉水的自然保护区、风景名胜区，重要湿地、重点保护与珍稀水生生物的栖息地、重要水生生物的自然产卵场及索饵场、越冬场和洄游通道，天然渔场等渔业水体</w:t>
      </w:r>
      <w:r>
        <w:rPr>
          <w:rFonts w:hint="eastAsia" w:cs="Times New Roman"/>
          <w:spacing w:val="10"/>
          <w:szCs w:val="24"/>
        </w:rPr>
        <w:t>，</w:t>
      </w:r>
      <w:r>
        <w:rPr>
          <w:rFonts w:cs="Times New Roman"/>
          <w:spacing w:val="10"/>
          <w:szCs w:val="24"/>
        </w:rPr>
        <w:t>以及水产种质资源保护区等。</w:t>
      </w:r>
    </w:p>
    <w:p w14:paraId="3D4C8B52">
      <w:pPr>
        <w:widowControl/>
        <w:ind w:firstLine="520"/>
        <w:jc w:val="left"/>
        <w:rPr>
          <w:rFonts w:cs="Times New Roman"/>
          <w:spacing w:val="10"/>
          <w:szCs w:val="24"/>
        </w:rPr>
      </w:pPr>
      <w:r>
        <w:rPr>
          <w:rFonts w:cs="Times New Roman"/>
          <w:spacing w:val="10"/>
          <w:szCs w:val="24"/>
        </w:rPr>
        <w:t>本项目周边地表水为沿岗河，无饮用水功能，周边无其他需要特别保护的地表 水体。地下水环境保护目标</w:t>
      </w:r>
      <w:r>
        <w:rPr>
          <w:rFonts w:hint="eastAsia" w:cs="Times New Roman"/>
          <w:spacing w:val="10"/>
          <w:szCs w:val="24"/>
        </w:rPr>
        <w:t>主要为</w:t>
      </w:r>
      <w:r>
        <w:rPr>
          <w:rFonts w:cs="Times New Roman"/>
          <w:spacing w:val="10"/>
          <w:szCs w:val="24"/>
        </w:rPr>
        <w:t>尾矿库周边等影响区</w:t>
      </w:r>
      <w:r>
        <w:rPr>
          <w:rFonts w:hint="eastAsia" w:cs="Times New Roman"/>
          <w:spacing w:val="10"/>
          <w:szCs w:val="24"/>
        </w:rPr>
        <w:t>的</w:t>
      </w:r>
      <w:r>
        <w:rPr>
          <w:rFonts w:cs="Times New Roman"/>
          <w:spacing w:val="10"/>
          <w:szCs w:val="24"/>
        </w:rPr>
        <w:t>供水含水层</w:t>
      </w:r>
      <w:r>
        <w:rPr>
          <w:rFonts w:hint="eastAsia" w:cs="Times New Roman"/>
          <w:spacing w:val="10"/>
          <w:szCs w:val="24"/>
        </w:rPr>
        <w:t>。根据《霍邱县人民政府关于霍邱县农村集中式供水工程水源保护区调整划分 技术报告的批复》（霍政秘</w:t>
      </w:r>
      <w:r>
        <w:rPr>
          <w:rFonts w:cs="Times New Roman"/>
          <w:spacing w:val="10"/>
          <w:szCs w:val="24"/>
        </w:rPr>
        <w:t xml:space="preserve">(2020) 42 </w:t>
      </w:r>
      <w:r>
        <w:rPr>
          <w:rFonts w:hint="eastAsia" w:cs="Times New Roman"/>
          <w:spacing w:val="10"/>
          <w:szCs w:val="24"/>
        </w:rPr>
        <w:t>号），项目周边不涉及地表及地下饮用水源地保护区。</w:t>
      </w:r>
    </w:p>
    <w:p w14:paraId="3C89966A">
      <w:pPr>
        <w:widowControl/>
        <w:snapToGrid w:val="0"/>
        <w:ind w:firstLine="0" w:firstLineChars="0"/>
        <w:jc w:val="center"/>
        <w:rPr>
          <w:rFonts w:cs="Times New Roman"/>
          <w:b/>
          <w:bCs/>
          <w:szCs w:val="20"/>
        </w:rPr>
      </w:pPr>
      <w:r>
        <w:rPr>
          <w:rFonts w:cs="Times New Roman"/>
          <w:b/>
          <w:bCs/>
          <w:szCs w:val="20"/>
        </w:rPr>
        <w:t xml:space="preserve">表 </w:t>
      </w:r>
      <w:r>
        <w:rPr>
          <w:rFonts w:hint="eastAsia" w:cs="Times New Roman"/>
          <w:b/>
          <w:bCs/>
          <w:szCs w:val="20"/>
        </w:rPr>
        <w:t>1</w:t>
      </w:r>
      <w:r>
        <w:rPr>
          <w:rFonts w:cs="Times New Roman"/>
          <w:b/>
          <w:bCs/>
          <w:szCs w:val="20"/>
        </w:rPr>
        <w:t>.</w:t>
      </w:r>
      <w:r>
        <w:rPr>
          <w:rFonts w:hint="eastAsia" w:cs="Times New Roman"/>
          <w:b/>
          <w:bCs/>
          <w:szCs w:val="20"/>
        </w:rPr>
        <w:t>6</w:t>
      </w:r>
      <w:r>
        <w:rPr>
          <w:rFonts w:cs="Times New Roman"/>
          <w:b/>
          <w:bCs/>
          <w:szCs w:val="20"/>
        </w:rPr>
        <w:t>-2   地表水环境保护目标</w:t>
      </w:r>
    </w:p>
    <w:tbl>
      <w:tblPr>
        <w:tblStyle w:val="140"/>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67"/>
        <w:gridCol w:w="1266"/>
        <w:gridCol w:w="843"/>
        <w:gridCol w:w="1497"/>
        <w:gridCol w:w="1900"/>
        <w:gridCol w:w="2245"/>
      </w:tblGrid>
      <w:tr w14:paraId="18F1F9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2" w:hRule="atLeast"/>
          <w:jc w:val="center"/>
        </w:trPr>
        <w:tc>
          <w:tcPr>
            <w:tcW w:w="341" w:type="pct"/>
            <w:textDirection w:val="tbRlV"/>
            <w:vAlign w:val="center"/>
          </w:tcPr>
          <w:p w14:paraId="055C413F">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序 号</w:t>
            </w:r>
          </w:p>
        </w:tc>
        <w:tc>
          <w:tcPr>
            <w:tcW w:w="761" w:type="pct"/>
            <w:vAlign w:val="center"/>
          </w:tcPr>
          <w:p w14:paraId="3F3FAE1B">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保护目标名称</w:t>
            </w:r>
          </w:p>
        </w:tc>
        <w:tc>
          <w:tcPr>
            <w:tcW w:w="507" w:type="pct"/>
            <w:vAlign w:val="center"/>
          </w:tcPr>
          <w:p w14:paraId="09071FB3">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规模</w:t>
            </w:r>
          </w:p>
        </w:tc>
        <w:tc>
          <w:tcPr>
            <w:tcW w:w="900" w:type="pct"/>
            <w:vAlign w:val="center"/>
          </w:tcPr>
          <w:p w14:paraId="7157B9FE">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相对场地</w:t>
            </w:r>
          </w:p>
        </w:tc>
        <w:tc>
          <w:tcPr>
            <w:tcW w:w="1142" w:type="pct"/>
            <w:vAlign w:val="center"/>
          </w:tcPr>
          <w:p w14:paraId="4D87264E">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相对位置</w:t>
            </w:r>
          </w:p>
        </w:tc>
        <w:tc>
          <w:tcPr>
            <w:tcW w:w="1349" w:type="pct"/>
            <w:vAlign w:val="center"/>
          </w:tcPr>
          <w:p w14:paraId="54D560DE">
            <w:pPr>
              <w:spacing w:before="79" w:line="278" w:lineRule="exact"/>
              <w:ind w:right="131"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评价标准</w:t>
            </w:r>
          </w:p>
        </w:tc>
      </w:tr>
      <w:tr w14:paraId="72A6A1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341" w:type="pct"/>
            <w:vAlign w:val="center"/>
          </w:tcPr>
          <w:p w14:paraId="15EAFC87">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w:t>
            </w:r>
          </w:p>
        </w:tc>
        <w:tc>
          <w:tcPr>
            <w:tcW w:w="761" w:type="pct"/>
            <w:vAlign w:val="center"/>
          </w:tcPr>
          <w:p w14:paraId="72E673F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沿岗河</w:t>
            </w:r>
          </w:p>
        </w:tc>
        <w:tc>
          <w:tcPr>
            <w:tcW w:w="507" w:type="pct"/>
            <w:vAlign w:val="center"/>
          </w:tcPr>
          <w:p w14:paraId="0DFCFD3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小河</w:t>
            </w:r>
          </w:p>
        </w:tc>
        <w:tc>
          <w:tcPr>
            <w:tcW w:w="900" w:type="pct"/>
            <w:vAlign w:val="center"/>
          </w:tcPr>
          <w:p w14:paraId="3D8BF3E3">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1142" w:type="pct"/>
            <w:vAlign w:val="center"/>
          </w:tcPr>
          <w:p w14:paraId="3D18266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东侧约 4.7km</w:t>
            </w:r>
          </w:p>
        </w:tc>
        <w:tc>
          <w:tcPr>
            <w:tcW w:w="1349" w:type="pct"/>
            <w:vMerge w:val="restart"/>
            <w:vAlign w:val="center"/>
          </w:tcPr>
          <w:p w14:paraId="62871111">
            <w:pPr>
              <w:spacing w:before="72" w:line="190" w:lineRule="auto"/>
              <w:ind w:firstLine="0" w:firstLineChars="0"/>
              <w:jc w:val="center"/>
              <w:rPr>
                <w:rFonts w:cs="Times New Roman"/>
                <w:spacing w:val="8"/>
                <w:kern w:val="0"/>
                <w:sz w:val="21"/>
                <w:szCs w:val="21"/>
                <w:lang w:eastAsia="zh-CN"/>
              </w:rPr>
            </w:pPr>
            <w:r>
              <w:rPr>
                <w:rFonts w:cs="Times New Roman"/>
                <w:spacing w:val="8"/>
                <w:kern w:val="0"/>
                <w:sz w:val="21"/>
                <w:szCs w:val="21"/>
                <w:lang w:eastAsia="zh-CN"/>
              </w:rPr>
              <w:t>（GB3838-2002）地表水环境Ⅲ类标准</w:t>
            </w:r>
          </w:p>
        </w:tc>
      </w:tr>
      <w:tr w14:paraId="34D3D1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2" w:hRule="atLeast"/>
          <w:jc w:val="center"/>
        </w:trPr>
        <w:tc>
          <w:tcPr>
            <w:tcW w:w="341" w:type="pct"/>
            <w:vAlign w:val="center"/>
          </w:tcPr>
          <w:p w14:paraId="7D8D992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w:t>
            </w:r>
          </w:p>
        </w:tc>
        <w:tc>
          <w:tcPr>
            <w:tcW w:w="761" w:type="pct"/>
            <w:vAlign w:val="center"/>
          </w:tcPr>
          <w:p w14:paraId="3C39C3FD">
            <w:pPr>
              <w:spacing w:before="72" w:line="190" w:lineRule="auto"/>
              <w:ind w:left="173" w:right="187" w:firstLine="0" w:firstLineChars="0"/>
              <w:jc w:val="center"/>
              <w:rPr>
                <w:rFonts w:cs="Times New Roman"/>
                <w:spacing w:val="8"/>
                <w:kern w:val="0"/>
                <w:sz w:val="21"/>
                <w:szCs w:val="21"/>
                <w:lang w:eastAsia="en-US"/>
              </w:rPr>
            </w:pPr>
            <w:r>
              <w:rPr>
                <w:rFonts w:cs="Times New Roman"/>
                <w:spacing w:val="8"/>
                <w:kern w:val="0"/>
                <w:sz w:val="21"/>
                <w:szCs w:val="21"/>
                <w:lang w:eastAsia="en-US"/>
              </w:rPr>
              <w:t>陈大庄沟支流</w:t>
            </w:r>
          </w:p>
        </w:tc>
        <w:tc>
          <w:tcPr>
            <w:tcW w:w="507" w:type="pct"/>
            <w:vAlign w:val="center"/>
          </w:tcPr>
          <w:p w14:paraId="0F2091C3">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小河</w:t>
            </w:r>
          </w:p>
        </w:tc>
        <w:tc>
          <w:tcPr>
            <w:tcW w:w="900" w:type="pct"/>
            <w:vAlign w:val="center"/>
          </w:tcPr>
          <w:p w14:paraId="6F8498F0">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1142" w:type="pct"/>
            <w:vAlign w:val="center"/>
          </w:tcPr>
          <w:p w14:paraId="4CEC2AB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西北侧约 60m</w:t>
            </w:r>
          </w:p>
        </w:tc>
        <w:tc>
          <w:tcPr>
            <w:tcW w:w="1349" w:type="pct"/>
            <w:vMerge w:val="continue"/>
            <w:vAlign w:val="center"/>
          </w:tcPr>
          <w:p w14:paraId="1B30A918">
            <w:pPr>
              <w:ind w:firstLine="0" w:firstLineChars="0"/>
              <w:jc w:val="left"/>
              <w:rPr>
                <w:rFonts w:ascii="Calibri" w:hAnsi="Calibri" w:cs="Calibri"/>
                <w:kern w:val="0"/>
                <w:sz w:val="21"/>
                <w:szCs w:val="24"/>
                <w:lang w:eastAsia="en-US"/>
              </w:rPr>
            </w:pPr>
          </w:p>
        </w:tc>
      </w:tr>
    </w:tbl>
    <w:p w14:paraId="3D0745DF">
      <w:pPr>
        <w:widowControl/>
        <w:ind w:firstLine="520"/>
        <w:jc w:val="left"/>
        <w:rPr>
          <w:rFonts w:cs="Times New Roman"/>
          <w:spacing w:val="10"/>
          <w:szCs w:val="24"/>
        </w:rPr>
      </w:pPr>
      <w:r>
        <w:rPr>
          <w:rFonts w:hint="eastAsia" w:cs="Times New Roman"/>
          <w:spacing w:val="10"/>
          <w:szCs w:val="24"/>
        </w:rPr>
        <w:t>（3）声环境保护目标</w:t>
      </w:r>
    </w:p>
    <w:p w14:paraId="5B1062AA">
      <w:pPr>
        <w:widowControl/>
        <w:ind w:firstLine="520"/>
        <w:jc w:val="left"/>
        <w:rPr>
          <w:rFonts w:cs="Times New Roman"/>
          <w:spacing w:val="10"/>
          <w:szCs w:val="24"/>
        </w:rPr>
      </w:pPr>
      <w:r>
        <w:rPr>
          <w:rFonts w:hint="eastAsia" w:cs="Times New Roman"/>
          <w:spacing w:val="10"/>
          <w:szCs w:val="24"/>
        </w:rPr>
        <w:t>本次</w:t>
      </w:r>
      <w:r>
        <w:rPr>
          <w:rFonts w:cs="Times New Roman"/>
          <w:spacing w:val="10"/>
          <w:szCs w:val="24"/>
        </w:rPr>
        <w:t xml:space="preserve">评价阶段声环境保护目标情况如下表 </w:t>
      </w:r>
      <w:r>
        <w:rPr>
          <w:rFonts w:hint="eastAsia" w:cs="Times New Roman"/>
          <w:spacing w:val="10"/>
          <w:szCs w:val="24"/>
        </w:rPr>
        <w:t>1</w:t>
      </w:r>
      <w:r>
        <w:rPr>
          <w:rFonts w:cs="Times New Roman"/>
          <w:spacing w:val="10"/>
          <w:szCs w:val="24"/>
        </w:rPr>
        <w:t>.</w:t>
      </w:r>
      <w:r>
        <w:rPr>
          <w:rFonts w:hint="eastAsia" w:cs="Times New Roman"/>
          <w:spacing w:val="10"/>
          <w:szCs w:val="24"/>
        </w:rPr>
        <w:t>6</w:t>
      </w:r>
      <w:r>
        <w:rPr>
          <w:rFonts w:cs="Times New Roman"/>
          <w:spacing w:val="10"/>
          <w:szCs w:val="24"/>
        </w:rPr>
        <w:t xml:space="preserve">-3，声环境保护目标见图 </w:t>
      </w:r>
      <w:r>
        <w:rPr>
          <w:rFonts w:hint="eastAsia" w:cs="Times New Roman"/>
          <w:spacing w:val="10"/>
          <w:szCs w:val="24"/>
        </w:rPr>
        <w:t>1</w:t>
      </w:r>
      <w:r>
        <w:rPr>
          <w:rFonts w:cs="Times New Roman"/>
          <w:spacing w:val="10"/>
          <w:szCs w:val="24"/>
        </w:rPr>
        <w:t>.</w:t>
      </w:r>
      <w:r>
        <w:rPr>
          <w:rFonts w:hint="eastAsia" w:cs="Times New Roman"/>
          <w:spacing w:val="10"/>
          <w:szCs w:val="24"/>
        </w:rPr>
        <w:t>6</w:t>
      </w:r>
      <w:r>
        <w:rPr>
          <w:rFonts w:cs="Times New Roman"/>
          <w:spacing w:val="10"/>
          <w:szCs w:val="24"/>
        </w:rPr>
        <w:t>-3。</w:t>
      </w:r>
    </w:p>
    <w:p w14:paraId="1EA5E7C1">
      <w:pPr>
        <w:widowControl/>
        <w:snapToGrid w:val="0"/>
        <w:ind w:firstLine="0" w:firstLineChars="0"/>
        <w:jc w:val="center"/>
        <w:rPr>
          <w:rFonts w:cs="Times New Roman"/>
          <w:b/>
          <w:bCs/>
          <w:szCs w:val="20"/>
        </w:rPr>
      </w:pPr>
      <w:r>
        <w:rPr>
          <w:rFonts w:cs="Times New Roman"/>
          <w:b/>
          <w:bCs/>
          <w:szCs w:val="20"/>
        </w:rPr>
        <w:t xml:space="preserve">表 </w:t>
      </w:r>
      <w:r>
        <w:rPr>
          <w:rFonts w:hint="eastAsia" w:cs="Times New Roman"/>
          <w:b/>
          <w:bCs/>
          <w:szCs w:val="20"/>
        </w:rPr>
        <w:t>1</w:t>
      </w:r>
      <w:r>
        <w:rPr>
          <w:rFonts w:cs="Times New Roman"/>
          <w:b/>
          <w:bCs/>
          <w:szCs w:val="20"/>
        </w:rPr>
        <w:t>.</w:t>
      </w:r>
      <w:r>
        <w:rPr>
          <w:rFonts w:hint="eastAsia" w:cs="Times New Roman"/>
          <w:b/>
          <w:bCs/>
          <w:szCs w:val="20"/>
        </w:rPr>
        <w:t>6</w:t>
      </w:r>
      <w:r>
        <w:rPr>
          <w:rFonts w:cs="Times New Roman"/>
          <w:b/>
          <w:bCs/>
          <w:szCs w:val="20"/>
        </w:rPr>
        <w:t>-3   声环境保护目标情况表</w:t>
      </w:r>
    </w:p>
    <w:tbl>
      <w:tblPr>
        <w:tblStyle w:val="140"/>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15"/>
        <w:gridCol w:w="1166"/>
        <w:gridCol w:w="938"/>
        <w:gridCol w:w="1286"/>
        <w:gridCol w:w="1028"/>
        <w:gridCol w:w="1416"/>
        <w:gridCol w:w="1769"/>
      </w:tblGrid>
      <w:tr w14:paraId="69C145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jc w:val="center"/>
        </w:trPr>
        <w:tc>
          <w:tcPr>
            <w:tcW w:w="430" w:type="pct"/>
            <w:vAlign w:val="center"/>
          </w:tcPr>
          <w:p w14:paraId="5DB8A257">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序号</w:t>
            </w:r>
          </w:p>
        </w:tc>
        <w:tc>
          <w:tcPr>
            <w:tcW w:w="701" w:type="pct"/>
            <w:vAlign w:val="center"/>
          </w:tcPr>
          <w:p w14:paraId="0F38CB89">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名称</w:t>
            </w:r>
          </w:p>
        </w:tc>
        <w:tc>
          <w:tcPr>
            <w:tcW w:w="564" w:type="pct"/>
            <w:vAlign w:val="center"/>
          </w:tcPr>
          <w:p w14:paraId="10E4F7C7">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保护对象</w:t>
            </w:r>
          </w:p>
        </w:tc>
        <w:tc>
          <w:tcPr>
            <w:tcW w:w="773" w:type="pct"/>
            <w:vAlign w:val="center"/>
          </w:tcPr>
          <w:p w14:paraId="3B0238D4">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保护内容</w:t>
            </w:r>
          </w:p>
        </w:tc>
        <w:tc>
          <w:tcPr>
            <w:tcW w:w="618" w:type="pct"/>
            <w:vAlign w:val="center"/>
          </w:tcPr>
          <w:p w14:paraId="5F4AE4F2">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相对场地</w:t>
            </w:r>
          </w:p>
        </w:tc>
        <w:tc>
          <w:tcPr>
            <w:tcW w:w="851" w:type="pct"/>
            <w:vAlign w:val="center"/>
          </w:tcPr>
          <w:p w14:paraId="573E0023">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相对位置</w:t>
            </w:r>
          </w:p>
        </w:tc>
        <w:tc>
          <w:tcPr>
            <w:tcW w:w="1063" w:type="pct"/>
            <w:vAlign w:val="center"/>
          </w:tcPr>
          <w:p w14:paraId="009831F5">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保护要求</w:t>
            </w:r>
          </w:p>
        </w:tc>
      </w:tr>
      <w:tr w14:paraId="1E67A0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430" w:type="pct"/>
            <w:vAlign w:val="center"/>
          </w:tcPr>
          <w:p w14:paraId="3690E34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w:t>
            </w:r>
          </w:p>
        </w:tc>
        <w:tc>
          <w:tcPr>
            <w:tcW w:w="701" w:type="pct"/>
            <w:vAlign w:val="center"/>
          </w:tcPr>
          <w:p w14:paraId="6F6CE693">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孟家前楼</w:t>
            </w:r>
          </w:p>
        </w:tc>
        <w:tc>
          <w:tcPr>
            <w:tcW w:w="564" w:type="pct"/>
            <w:vAlign w:val="center"/>
          </w:tcPr>
          <w:p w14:paraId="3FD67AE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3" w:type="pct"/>
            <w:vAlign w:val="center"/>
          </w:tcPr>
          <w:p w14:paraId="2236DB19">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32户 148人</w:t>
            </w:r>
          </w:p>
        </w:tc>
        <w:tc>
          <w:tcPr>
            <w:tcW w:w="618" w:type="pct"/>
            <w:vAlign w:val="center"/>
          </w:tcPr>
          <w:p w14:paraId="2D80115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北辅助井</w:t>
            </w:r>
          </w:p>
        </w:tc>
        <w:tc>
          <w:tcPr>
            <w:tcW w:w="851" w:type="pct"/>
            <w:vAlign w:val="center"/>
          </w:tcPr>
          <w:p w14:paraId="2527215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西南 190 米</w:t>
            </w:r>
          </w:p>
        </w:tc>
        <w:tc>
          <w:tcPr>
            <w:tcW w:w="1063" w:type="pct"/>
            <w:vMerge w:val="restart"/>
            <w:vAlign w:val="center"/>
          </w:tcPr>
          <w:p w14:paraId="6936A014">
            <w:pPr>
              <w:spacing w:before="65" w:line="251" w:lineRule="auto"/>
              <w:ind w:left="236" w:right="109" w:hanging="98" w:firstLineChars="0"/>
              <w:jc w:val="left"/>
              <w:rPr>
                <w:rFonts w:cs="Times New Roman"/>
                <w:spacing w:val="8"/>
                <w:kern w:val="0"/>
                <w:sz w:val="21"/>
                <w:szCs w:val="21"/>
                <w:lang w:eastAsia="zh-CN"/>
              </w:rPr>
            </w:pPr>
            <w:r>
              <w:rPr>
                <w:rFonts w:cs="Times New Roman"/>
                <w:spacing w:val="8"/>
                <w:kern w:val="0"/>
                <w:sz w:val="21"/>
                <w:szCs w:val="21"/>
                <w:lang w:eastAsia="zh-CN"/>
              </w:rPr>
              <w:t>《声环境 质量标</w:t>
            </w:r>
          </w:p>
          <w:p w14:paraId="6FA8162D">
            <w:pPr>
              <w:ind w:firstLine="0" w:firstLineChars="0"/>
              <w:jc w:val="left"/>
              <w:rPr>
                <w:rFonts w:cs="Times New Roman"/>
                <w:spacing w:val="8"/>
                <w:kern w:val="0"/>
                <w:sz w:val="21"/>
                <w:szCs w:val="21"/>
                <w:lang w:eastAsia="zh-CN"/>
              </w:rPr>
            </w:pPr>
            <w:r>
              <w:rPr>
                <w:rFonts w:cs="Times New Roman"/>
                <w:spacing w:val="8"/>
                <w:kern w:val="0"/>
                <w:sz w:val="21"/>
                <w:szCs w:val="21"/>
                <w:lang w:eastAsia="zh-CN"/>
              </w:rPr>
              <w:t>准》（GB3096</w:t>
            </w:r>
            <w:r>
              <w:rPr>
                <w:rFonts w:hint="eastAsia" w:cs="Times New Roman"/>
                <w:spacing w:val="8"/>
                <w:kern w:val="0"/>
                <w:sz w:val="21"/>
                <w:szCs w:val="21"/>
                <w:lang w:eastAsia="zh-CN"/>
              </w:rPr>
              <w:t>-</w:t>
            </w:r>
            <w:r>
              <w:rPr>
                <w:rFonts w:cs="Times New Roman"/>
                <w:spacing w:val="8"/>
                <w:kern w:val="0"/>
                <w:sz w:val="21"/>
                <w:szCs w:val="21"/>
                <w:lang w:eastAsia="zh-CN"/>
              </w:rPr>
              <w:t>2008）中 2 类标准</w:t>
            </w:r>
          </w:p>
        </w:tc>
      </w:tr>
      <w:tr w14:paraId="69B541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430" w:type="pct"/>
            <w:vAlign w:val="center"/>
          </w:tcPr>
          <w:p w14:paraId="087D8FCE">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w:t>
            </w:r>
          </w:p>
        </w:tc>
        <w:tc>
          <w:tcPr>
            <w:tcW w:w="701" w:type="pct"/>
            <w:vAlign w:val="center"/>
          </w:tcPr>
          <w:p w14:paraId="54027F8B">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腰庄</w:t>
            </w:r>
          </w:p>
        </w:tc>
        <w:tc>
          <w:tcPr>
            <w:tcW w:w="564" w:type="pct"/>
            <w:vAlign w:val="center"/>
          </w:tcPr>
          <w:p w14:paraId="7EE3C9B0">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3" w:type="pct"/>
            <w:vAlign w:val="center"/>
          </w:tcPr>
          <w:p w14:paraId="03BD6F1C">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27户 140人</w:t>
            </w:r>
          </w:p>
        </w:tc>
        <w:tc>
          <w:tcPr>
            <w:tcW w:w="618" w:type="pct"/>
            <w:vAlign w:val="center"/>
          </w:tcPr>
          <w:p w14:paraId="155C368D">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南辅助井</w:t>
            </w:r>
          </w:p>
        </w:tc>
        <w:tc>
          <w:tcPr>
            <w:tcW w:w="851" w:type="pct"/>
            <w:vAlign w:val="center"/>
          </w:tcPr>
          <w:p w14:paraId="0DA58D9A">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西南 370 米</w:t>
            </w:r>
          </w:p>
        </w:tc>
        <w:tc>
          <w:tcPr>
            <w:tcW w:w="1063" w:type="pct"/>
            <w:vMerge w:val="continue"/>
            <w:vAlign w:val="center"/>
          </w:tcPr>
          <w:p w14:paraId="23360046">
            <w:pPr>
              <w:ind w:firstLine="0" w:firstLineChars="0"/>
              <w:jc w:val="left"/>
              <w:rPr>
                <w:rFonts w:ascii="Calibri" w:hAnsi="Calibri" w:cs="Calibri"/>
                <w:kern w:val="0"/>
                <w:sz w:val="21"/>
                <w:szCs w:val="24"/>
                <w:lang w:eastAsia="en-US"/>
              </w:rPr>
            </w:pPr>
          </w:p>
        </w:tc>
      </w:tr>
      <w:tr w14:paraId="09A910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430" w:type="pct"/>
            <w:vAlign w:val="center"/>
          </w:tcPr>
          <w:p w14:paraId="6991C9E3">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w:t>
            </w:r>
          </w:p>
        </w:tc>
        <w:tc>
          <w:tcPr>
            <w:tcW w:w="701" w:type="pct"/>
            <w:vAlign w:val="center"/>
          </w:tcPr>
          <w:p w14:paraId="18FAFD4F">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薛圩</w:t>
            </w:r>
          </w:p>
        </w:tc>
        <w:tc>
          <w:tcPr>
            <w:tcW w:w="564" w:type="pct"/>
            <w:vAlign w:val="center"/>
          </w:tcPr>
          <w:p w14:paraId="6FD46C21">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3" w:type="pct"/>
            <w:vAlign w:val="center"/>
          </w:tcPr>
          <w:p w14:paraId="4345232D">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39户217人</w:t>
            </w:r>
          </w:p>
        </w:tc>
        <w:tc>
          <w:tcPr>
            <w:tcW w:w="618" w:type="pct"/>
            <w:vAlign w:val="center"/>
          </w:tcPr>
          <w:p w14:paraId="4E63527C">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南风井</w:t>
            </w:r>
          </w:p>
        </w:tc>
        <w:tc>
          <w:tcPr>
            <w:tcW w:w="851" w:type="pct"/>
            <w:vAlign w:val="center"/>
          </w:tcPr>
          <w:p w14:paraId="5360306B">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西南 200 米</w:t>
            </w:r>
          </w:p>
        </w:tc>
        <w:tc>
          <w:tcPr>
            <w:tcW w:w="1063" w:type="pct"/>
            <w:vMerge w:val="continue"/>
            <w:vAlign w:val="center"/>
          </w:tcPr>
          <w:p w14:paraId="2C2E5CC1">
            <w:pPr>
              <w:ind w:firstLine="0" w:firstLineChars="0"/>
              <w:jc w:val="left"/>
              <w:rPr>
                <w:rFonts w:ascii="Calibri" w:hAnsi="Calibri" w:cs="Calibri"/>
                <w:kern w:val="0"/>
                <w:sz w:val="21"/>
                <w:szCs w:val="24"/>
                <w:lang w:eastAsia="en-US"/>
              </w:rPr>
            </w:pPr>
          </w:p>
        </w:tc>
      </w:tr>
      <w:tr w14:paraId="2337CF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430" w:type="pct"/>
            <w:vAlign w:val="center"/>
          </w:tcPr>
          <w:p w14:paraId="35E9491F">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4</w:t>
            </w:r>
          </w:p>
        </w:tc>
        <w:tc>
          <w:tcPr>
            <w:tcW w:w="701" w:type="pct"/>
            <w:vAlign w:val="center"/>
          </w:tcPr>
          <w:p w14:paraId="51A70453">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移民安置区</w:t>
            </w:r>
          </w:p>
        </w:tc>
        <w:tc>
          <w:tcPr>
            <w:tcW w:w="564" w:type="pct"/>
            <w:vAlign w:val="center"/>
          </w:tcPr>
          <w:p w14:paraId="0F5DCABC">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773" w:type="pct"/>
            <w:vAlign w:val="center"/>
          </w:tcPr>
          <w:p w14:paraId="1C3734F6">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64户 251 人</w:t>
            </w:r>
          </w:p>
        </w:tc>
        <w:tc>
          <w:tcPr>
            <w:tcW w:w="618" w:type="pct"/>
            <w:vAlign w:val="center"/>
          </w:tcPr>
          <w:p w14:paraId="0CF790B8">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选厂</w:t>
            </w:r>
          </w:p>
        </w:tc>
        <w:tc>
          <w:tcPr>
            <w:tcW w:w="851" w:type="pct"/>
            <w:vAlign w:val="center"/>
          </w:tcPr>
          <w:p w14:paraId="1077A409">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西南1</w:t>
            </w:r>
            <w:r>
              <w:rPr>
                <w:rFonts w:cs="Times New Roman"/>
                <w:spacing w:val="8"/>
                <w:kern w:val="0"/>
                <w:sz w:val="21"/>
                <w:szCs w:val="21"/>
                <w:lang w:eastAsia="en-US"/>
              </w:rPr>
              <w:t>63m</w:t>
            </w:r>
          </w:p>
        </w:tc>
        <w:tc>
          <w:tcPr>
            <w:tcW w:w="1063" w:type="pct"/>
            <w:vMerge w:val="continue"/>
            <w:vAlign w:val="center"/>
          </w:tcPr>
          <w:p w14:paraId="58DCA1CB">
            <w:pPr>
              <w:ind w:firstLine="0" w:firstLineChars="0"/>
              <w:jc w:val="left"/>
              <w:rPr>
                <w:rFonts w:ascii="Calibri" w:hAnsi="Calibri" w:cs="Calibri"/>
                <w:kern w:val="0"/>
                <w:sz w:val="21"/>
                <w:szCs w:val="24"/>
                <w:lang w:eastAsia="en-US"/>
              </w:rPr>
            </w:pPr>
          </w:p>
        </w:tc>
      </w:tr>
    </w:tbl>
    <w:p w14:paraId="2F16904F">
      <w:pPr>
        <w:widowControl/>
        <w:ind w:firstLine="520"/>
        <w:jc w:val="left"/>
        <w:rPr>
          <w:rFonts w:cs="Times New Roman"/>
          <w:spacing w:val="10"/>
          <w:szCs w:val="24"/>
        </w:rPr>
      </w:pPr>
      <w:r>
        <w:rPr>
          <w:rFonts w:hint="eastAsia" w:cs="Times New Roman"/>
          <w:spacing w:val="10"/>
          <w:szCs w:val="24"/>
        </w:rPr>
        <w:t>（4）生态环境保护目标</w:t>
      </w:r>
    </w:p>
    <w:p w14:paraId="0FAAFA2C">
      <w:pPr>
        <w:widowControl/>
        <w:ind w:firstLine="520"/>
        <w:jc w:val="left"/>
        <w:rPr>
          <w:rFonts w:cs="Times New Roman"/>
          <w:spacing w:val="10"/>
          <w:szCs w:val="24"/>
        </w:rPr>
      </w:pPr>
      <w:r>
        <w:rPr>
          <w:rFonts w:cs="Times New Roman"/>
          <w:spacing w:val="10"/>
          <w:szCs w:val="24"/>
        </w:rPr>
        <w:t>根据《环境影响评价技术导则 生态影响》（HJ19-2011）</w:t>
      </w:r>
      <w:r>
        <w:rPr>
          <w:rFonts w:hint="eastAsia" w:cs="Times New Roman"/>
          <w:spacing w:val="10"/>
          <w:szCs w:val="24"/>
        </w:rPr>
        <w:t>，</w:t>
      </w:r>
      <w:r>
        <w:rPr>
          <w:rFonts w:cs="Times New Roman"/>
          <w:spacing w:val="10"/>
          <w:szCs w:val="24"/>
        </w:rPr>
        <w:t>项目生态环境评价范围内不存在特殊生态敏感区和重要生态敏感区</w:t>
      </w:r>
      <w:r>
        <w:rPr>
          <w:rFonts w:hint="eastAsia" w:cs="Times New Roman"/>
          <w:spacing w:val="10"/>
          <w:szCs w:val="24"/>
        </w:rPr>
        <w:t>。</w:t>
      </w:r>
      <w:r>
        <w:rPr>
          <w:rFonts w:cs="Times New Roman"/>
          <w:spacing w:val="10"/>
          <w:szCs w:val="24"/>
        </w:rPr>
        <w:t>主要的生态环境保护目标为选厂及尾矿周边的土壤、植被、农业生态环境、地下水文地质环境。</w:t>
      </w:r>
    </w:p>
    <w:p w14:paraId="2D4C2ACC">
      <w:pPr>
        <w:widowControl/>
        <w:ind w:firstLine="520"/>
        <w:jc w:val="left"/>
        <w:rPr>
          <w:rFonts w:cs="Times New Roman"/>
          <w:spacing w:val="10"/>
          <w:szCs w:val="24"/>
        </w:rPr>
      </w:pPr>
      <w:r>
        <w:rPr>
          <w:rFonts w:hint="eastAsia" w:cs="Times New Roman"/>
          <w:spacing w:val="10"/>
          <w:szCs w:val="24"/>
        </w:rPr>
        <w:t>（</w:t>
      </w:r>
      <w:r>
        <w:rPr>
          <w:rFonts w:cs="Times New Roman"/>
          <w:spacing w:val="10"/>
          <w:szCs w:val="24"/>
        </w:rPr>
        <w:t>5</w:t>
      </w:r>
      <w:r>
        <w:rPr>
          <w:rFonts w:hint="eastAsia" w:cs="Times New Roman"/>
          <w:spacing w:val="10"/>
          <w:szCs w:val="24"/>
        </w:rPr>
        <w:t>）环境风险保护目标</w:t>
      </w:r>
    </w:p>
    <w:p w14:paraId="5E12B284">
      <w:pPr>
        <w:widowControl/>
        <w:ind w:firstLine="520"/>
        <w:jc w:val="left"/>
        <w:rPr>
          <w:rFonts w:cs="Times New Roman"/>
          <w:spacing w:val="10"/>
          <w:szCs w:val="24"/>
        </w:rPr>
      </w:pPr>
      <w:r>
        <w:rPr>
          <w:rFonts w:cs="Times New Roman"/>
          <w:spacing w:val="10"/>
          <w:szCs w:val="24"/>
        </w:rPr>
        <w:t xml:space="preserve">环境风险保护目标主要为周边的村庄，主要保护目标如下表 </w:t>
      </w:r>
      <w:r>
        <w:rPr>
          <w:rFonts w:hint="eastAsia" w:cs="Times New Roman"/>
          <w:spacing w:val="10"/>
          <w:szCs w:val="24"/>
        </w:rPr>
        <w:t>1</w:t>
      </w:r>
      <w:r>
        <w:rPr>
          <w:rFonts w:cs="Times New Roman"/>
          <w:spacing w:val="10"/>
          <w:szCs w:val="24"/>
        </w:rPr>
        <w:t>.</w:t>
      </w:r>
      <w:r>
        <w:rPr>
          <w:rFonts w:hint="eastAsia" w:cs="Times New Roman"/>
          <w:spacing w:val="10"/>
          <w:szCs w:val="24"/>
        </w:rPr>
        <w:t>6</w:t>
      </w:r>
      <w:r>
        <w:rPr>
          <w:rFonts w:cs="Times New Roman"/>
          <w:spacing w:val="10"/>
          <w:szCs w:val="24"/>
        </w:rPr>
        <w:t xml:space="preserve">-4 和图 </w:t>
      </w:r>
      <w:r>
        <w:rPr>
          <w:rFonts w:hint="eastAsia" w:cs="Times New Roman"/>
          <w:spacing w:val="10"/>
          <w:szCs w:val="24"/>
        </w:rPr>
        <w:t>1</w:t>
      </w:r>
      <w:r>
        <w:rPr>
          <w:rFonts w:cs="Times New Roman"/>
          <w:spacing w:val="10"/>
          <w:szCs w:val="24"/>
        </w:rPr>
        <w:t>.</w:t>
      </w:r>
      <w:r>
        <w:rPr>
          <w:rFonts w:hint="eastAsia" w:cs="Times New Roman"/>
          <w:spacing w:val="10"/>
          <w:szCs w:val="24"/>
        </w:rPr>
        <w:t>6</w:t>
      </w:r>
      <w:r>
        <w:rPr>
          <w:rFonts w:cs="Times New Roman"/>
          <w:spacing w:val="10"/>
          <w:szCs w:val="24"/>
        </w:rPr>
        <w:t>-4。</w:t>
      </w:r>
    </w:p>
    <w:p w14:paraId="0E576D10">
      <w:pPr>
        <w:widowControl/>
        <w:snapToGrid w:val="0"/>
        <w:ind w:firstLine="0" w:firstLineChars="0"/>
        <w:jc w:val="center"/>
        <w:rPr>
          <w:rFonts w:cs="Times New Roman"/>
          <w:b/>
          <w:bCs/>
          <w:szCs w:val="20"/>
        </w:rPr>
      </w:pPr>
      <w:r>
        <w:rPr>
          <w:rFonts w:cs="Times New Roman"/>
          <w:b/>
          <w:bCs/>
          <w:szCs w:val="20"/>
        </w:rPr>
        <w:t>表</w:t>
      </w:r>
      <w:r>
        <w:rPr>
          <w:rFonts w:hint="eastAsia" w:cs="Times New Roman"/>
          <w:b/>
          <w:bCs/>
          <w:szCs w:val="20"/>
        </w:rPr>
        <w:t>1</w:t>
      </w:r>
      <w:r>
        <w:rPr>
          <w:rFonts w:cs="Times New Roman"/>
          <w:b/>
          <w:bCs/>
          <w:szCs w:val="20"/>
        </w:rPr>
        <w:t>.</w:t>
      </w:r>
      <w:r>
        <w:rPr>
          <w:rFonts w:hint="eastAsia" w:cs="Times New Roman"/>
          <w:b/>
          <w:bCs/>
          <w:szCs w:val="20"/>
        </w:rPr>
        <w:t>6</w:t>
      </w:r>
      <w:r>
        <w:rPr>
          <w:rFonts w:cs="Times New Roman"/>
          <w:b/>
          <w:bCs/>
          <w:szCs w:val="20"/>
        </w:rPr>
        <w:t>-4  环境风险保护目标变化情况表</w:t>
      </w:r>
    </w:p>
    <w:tbl>
      <w:tblPr>
        <w:tblStyle w:val="140"/>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23"/>
        <w:gridCol w:w="1208"/>
        <w:gridCol w:w="1128"/>
        <w:gridCol w:w="1446"/>
        <w:gridCol w:w="1223"/>
        <w:gridCol w:w="1266"/>
        <w:gridCol w:w="1324"/>
      </w:tblGrid>
      <w:tr w14:paraId="4A9645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jc w:val="center"/>
        </w:trPr>
        <w:tc>
          <w:tcPr>
            <w:tcW w:w="435" w:type="pct"/>
            <w:vAlign w:val="center"/>
          </w:tcPr>
          <w:p w14:paraId="4AFFC2FF">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序号</w:t>
            </w:r>
          </w:p>
        </w:tc>
        <w:tc>
          <w:tcPr>
            <w:tcW w:w="726" w:type="pct"/>
            <w:vAlign w:val="center"/>
          </w:tcPr>
          <w:p w14:paraId="50E895B7">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名称</w:t>
            </w:r>
          </w:p>
        </w:tc>
        <w:tc>
          <w:tcPr>
            <w:tcW w:w="678" w:type="pct"/>
            <w:vAlign w:val="center"/>
          </w:tcPr>
          <w:p w14:paraId="05C46899">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保护对象</w:t>
            </w:r>
          </w:p>
        </w:tc>
        <w:tc>
          <w:tcPr>
            <w:tcW w:w="869" w:type="pct"/>
            <w:vAlign w:val="center"/>
          </w:tcPr>
          <w:p w14:paraId="5AED6443">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保护内容</w:t>
            </w:r>
          </w:p>
        </w:tc>
        <w:tc>
          <w:tcPr>
            <w:tcW w:w="735" w:type="pct"/>
            <w:vAlign w:val="center"/>
          </w:tcPr>
          <w:p w14:paraId="602C3E65">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相对场地</w:t>
            </w:r>
          </w:p>
        </w:tc>
        <w:tc>
          <w:tcPr>
            <w:tcW w:w="761" w:type="pct"/>
            <w:vAlign w:val="center"/>
          </w:tcPr>
          <w:p w14:paraId="1C62A3A7">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相对位置</w:t>
            </w:r>
          </w:p>
        </w:tc>
        <w:tc>
          <w:tcPr>
            <w:tcW w:w="796" w:type="pct"/>
            <w:vAlign w:val="center"/>
          </w:tcPr>
          <w:p w14:paraId="0F2CF3EB">
            <w:pPr>
              <w:spacing w:before="79" w:line="278" w:lineRule="exact"/>
              <w:ind w:firstLine="115" w:firstLineChars="0"/>
              <w:jc w:val="center"/>
              <w:rPr>
                <w:rFonts w:hint="eastAsia"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pPr>
            <w:r>
              <w:rPr>
                <w:rFonts w:ascii="宋体" w:hAnsi="宋体" w:cs="宋体"/>
                <w:spacing w:val="9"/>
                <w:kern w:val="0"/>
                <w:position w:val="2"/>
                <w:sz w:val="21"/>
                <w:szCs w:val="21"/>
                <w:lang w:eastAsia="en-US"/>
                <w14:textOutline w14:w="3797" w14:cap="sq" w14:cmpd="sng" w14:algn="ctr">
                  <w14:solidFill>
                    <w14:srgbClr w14:val="000000"/>
                  </w14:solidFill>
                  <w14:prstDash w14:val="solid"/>
                  <w14:bevel/>
                </w14:textOutline>
              </w:rPr>
              <w:t>保护要求</w:t>
            </w:r>
          </w:p>
        </w:tc>
      </w:tr>
      <w:tr w14:paraId="5D3BDF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435" w:type="pct"/>
            <w:vAlign w:val="center"/>
          </w:tcPr>
          <w:p w14:paraId="01EE81E2">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1</w:t>
            </w:r>
          </w:p>
        </w:tc>
        <w:tc>
          <w:tcPr>
            <w:tcW w:w="726" w:type="pct"/>
            <w:vAlign w:val="center"/>
          </w:tcPr>
          <w:p w14:paraId="35F970D3">
            <w:pPr>
              <w:spacing w:before="72" w:line="190" w:lineRule="auto"/>
              <w:ind w:left="56" w:right="172" w:firstLine="0" w:firstLineChars="0"/>
              <w:jc w:val="center"/>
              <w:rPr>
                <w:rFonts w:cs="Times New Roman"/>
                <w:spacing w:val="8"/>
                <w:kern w:val="0"/>
                <w:sz w:val="21"/>
                <w:szCs w:val="21"/>
                <w:lang w:eastAsia="en-US"/>
              </w:rPr>
            </w:pPr>
            <w:r>
              <w:rPr>
                <w:rFonts w:cs="Times New Roman"/>
                <w:spacing w:val="8"/>
                <w:kern w:val="0"/>
                <w:sz w:val="21"/>
                <w:szCs w:val="21"/>
                <w:lang w:eastAsia="en-US"/>
              </w:rPr>
              <w:t>王旮沓</w:t>
            </w:r>
          </w:p>
        </w:tc>
        <w:tc>
          <w:tcPr>
            <w:tcW w:w="678" w:type="pct"/>
            <w:vMerge w:val="restart"/>
            <w:vAlign w:val="center"/>
          </w:tcPr>
          <w:p w14:paraId="3D6A318F">
            <w:pPr>
              <w:spacing w:before="72" w:line="190" w:lineRule="auto"/>
              <w:ind w:left="56" w:right="172" w:firstLine="0" w:firstLineChars="0"/>
              <w:jc w:val="center"/>
              <w:rPr>
                <w:rFonts w:cs="Times New Roman"/>
                <w:spacing w:val="8"/>
                <w:kern w:val="0"/>
                <w:sz w:val="21"/>
                <w:szCs w:val="21"/>
                <w:lang w:eastAsia="en-US"/>
              </w:rPr>
            </w:pPr>
            <w:r>
              <w:rPr>
                <w:rFonts w:cs="Times New Roman"/>
                <w:spacing w:val="8"/>
                <w:kern w:val="0"/>
                <w:sz w:val="21"/>
                <w:szCs w:val="21"/>
                <w:lang w:eastAsia="en-US"/>
              </w:rPr>
              <w:t>人群</w:t>
            </w:r>
          </w:p>
        </w:tc>
        <w:tc>
          <w:tcPr>
            <w:tcW w:w="869" w:type="pct"/>
            <w:vAlign w:val="center"/>
          </w:tcPr>
          <w:p w14:paraId="2DFC22CD">
            <w:pPr>
              <w:spacing w:before="72" w:line="190" w:lineRule="auto"/>
              <w:ind w:left="56" w:right="172" w:firstLine="0" w:firstLineChars="0"/>
              <w:jc w:val="center"/>
              <w:rPr>
                <w:rFonts w:cs="Times New Roman"/>
                <w:spacing w:val="8"/>
                <w:kern w:val="0"/>
                <w:sz w:val="21"/>
                <w:szCs w:val="21"/>
                <w:lang w:eastAsia="en-US"/>
              </w:rPr>
            </w:pPr>
            <w:r>
              <w:rPr>
                <w:rFonts w:cs="Times New Roman"/>
                <w:spacing w:val="8"/>
                <w:kern w:val="0"/>
                <w:sz w:val="21"/>
                <w:szCs w:val="21"/>
                <w:lang w:eastAsia="en-US"/>
              </w:rPr>
              <w:t>17 户 87 人</w:t>
            </w:r>
          </w:p>
        </w:tc>
        <w:tc>
          <w:tcPr>
            <w:tcW w:w="735" w:type="pct"/>
            <w:vMerge w:val="restart"/>
            <w:vAlign w:val="center"/>
          </w:tcPr>
          <w:p w14:paraId="3CCFE2DF">
            <w:pPr>
              <w:spacing w:before="72" w:line="190" w:lineRule="auto"/>
              <w:ind w:left="56" w:right="172" w:firstLine="0"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761" w:type="pct"/>
            <w:vAlign w:val="center"/>
          </w:tcPr>
          <w:p w14:paraId="0E3F5B08">
            <w:pPr>
              <w:spacing w:before="72" w:line="190" w:lineRule="auto"/>
              <w:ind w:left="56" w:right="172" w:firstLine="0" w:firstLineChars="0"/>
              <w:jc w:val="center"/>
              <w:rPr>
                <w:rFonts w:cs="Times New Roman"/>
                <w:spacing w:val="8"/>
                <w:kern w:val="0"/>
                <w:sz w:val="21"/>
                <w:szCs w:val="21"/>
                <w:lang w:eastAsia="en-US"/>
              </w:rPr>
            </w:pPr>
            <w:r>
              <w:rPr>
                <w:rFonts w:cs="Times New Roman"/>
                <w:spacing w:val="8"/>
                <w:kern w:val="0"/>
                <w:sz w:val="21"/>
                <w:szCs w:val="21"/>
                <w:lang w:eastAsia="en-US"/>
              </w:rPr>
              <w:t>西北偏西 833m</w:t>
            </w:r>
          </w:p>
        </w:tc>
        <w:tc>
          <w:tcPr>
            <w:tcW w:w="796" w:type="pct"/>
            <w:vMerge w:val="restart"/>
            <w:vAlign w:val="center"/>
          </w:tcPr>
          <w:p w14:paraId="2F940977">
            <w:pPr>
              <w:spacing w:before="72" w:line="190" w:lineRule="auto"/>
              <w:ind w:firstLine="0" w:firstLineChars="0"/>
              <w:jc w:val="center"/>
              <w:rPr>
                <w:rFonts w:hint="eastAsia" w:ascii="宋体" w:hAnsi="宋体" w:cs="宋体"/>
                <w:kern w:val="0"/>
                <w:sz w:val="20"/>
                <w:szCs w:val="20"/>
                <w:lang w:eastAsia="zh-CN"/>
              </w:rPr>
            </w:pPr>
            <w:r>
              <w:rPr>
                <w:rFonts w:ascii="宋体" w:hAnsi="宋体" w:cs="宋体"/>
                <w:spacing w:val="8"/>
                <w:kern w:val="0"/>
                <w:sz w:val="20"/>
                <w:szCs w:val="20"/>
                <w:lang w:eastAsia="zh-CN"/>
              </w:rPr>
              <w:t>避</w:t>
            </w:r>
            <w:r>
              <w:rPr>
                <w:rFonts w:cs="Times New Roman"/>
                <w:spacing w:val="8"/>
                <w:kern w:val="0"/>
                <w:sz w:val="21"/>
                <w:szCs w:val="21"/>
                <w:lang w:eastAsia="zh-CN"/>
              </w:rPr>
              <w:t>免尾矿库溃坝对存在造成影响</w:t>
            </w:r>
          </w:p>
        </w:tc>
      </w:tr>
      <w:tr w14:paraId="3A7DC5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3" w:hRule="atLeast"/>
          <w:jc w:val="center"/>
        </w:trPr>
        <w:tc>
          <w:tcPr>
            <w:tcW w:w="435" w:type="pct"/>
            <w:vAlign w:val="center"/>
          </w:tcPr>
          <w:p w14:paraId="5CFE6B84">
            <w:pPr>
              <w:spacing w:before="72" w:line="190" w:lineRule="auto"/>
              <w:ind w:firstLine="0" w:firstLineChars="0"/>
              <w:jc w:val="center"/>
              <w:rPr>
                <w:rFonts w:cs="Times New Roman"/>
                <w:spacing w:val="8"/>
                <w:kern w:val="0"/>
                <w:sz w:val="21"/>
                <w:szCs w:val="21"/>
                <w:lang w:eastAsia="en-US"/>
              </w:rPr>
            </w:pPr>
            <w:r>
              <w:rPr>
                <w:rFonts w:cs="Times New Roman"/>
                <w:spacing w:val="8"/>
                <w:kern w:val="0"/>
                <w:sz w:val="21"/>
                <w:szCs w:val="21"/>
                <w:lang w:eastAsia="en-US"/>
              </w:rPr>
              <w:t>2</w:t>
            </w:r>
          </w:p>
        </w:tc>
        <w:tc>
          <w:tcPr>
            <w:tcW w:w="726" w:type="pct"/>
            <w:vAlign w:val="center"/>
          </w:tcPr>
          <w:p w14:paraId="276F8CDC">
            <w:pPr>
              <w:spacing w:before="72" w:line="190" w:lineRule="auto"/>
              <w:ind w:left="56" w:right="172" w:firstLine="0" w:firstLineChars="0"/>
              <w:jc w:val="center"/>
              <w:rPr>
                <w:rFonts w:cs="Times New Roman"/>
                <w:spacing w:val="8"/>
                <w:kern w:val="0"/>
                <w:sz w:val="21"/>
                <w:szCs w:val="21"/>
                <w:lang w:eastAsia="en-US"/>
              </w:rPr>
            </w:pPr>
            <w:r>
              <w:rPr>
                <w:rFonts w:cs="Times New Roman"/>
                <w:spacing w:val="8"/>
                <w:kern w:val="0"/>
                <w:sz w:val="21"/>
                <w:szCs w:val="21"/>
                <w:lang w:eastAsia="en-US"/>
              </w:rPr>
              <w:t>孟家前楼</w:t>
            </w:r>
          </w:p>
        </w:tc>
        <w:tc>
          <w:tcPr>
            <w:tcW w:w="678" w:type="pct"/>
            <w:vMerge w:val="continue"/>
            <w:vAlign w:val="center"/>
          </w:tcPr>
          <w:p w14:paraId="7D7B8898">
            <w:pPr>
              <w:spacing w:before="72" w:line="190" w:lineRule="auto"/>
              <w:ind w:left="56" w:right="172" w:firstLine="0" w:firstLineChars="0"/>
              <w:jc w:val="left"/>
              <w:rPr>
                <w:rFonts w:cs="Times New Roman"/>
                <w:spacing w:val="8"/>
                <w:kern w:val="0"/>
                <w:sz w:val="21"/>
                <w:szCs w:val="21"/>
                <w:lang w:eastAsia="en-US"/>
              </w:rPr>
            </w:pPr>
          </w:p>
        </w:tc>
        <w:tc>
          <w:tcPr>
            <w:tcW w:w="869" w:type="pct"/>
            <w:vAlign w:val="center"/>
          </w:tcPr>
          <w:p w14:paraId="073423A9">
            <w:pPr>
              <w:spacing w:before="72" w:line="190" w:lineRule="auto"/>
              <w:ind w:left="56" w:right="172" w:firstLine="0" w:firstLineChars="0"/>
              <w:jc w:val="center"/>
              <w:rPr>
                <w:rFonts w:cs="Times New Roman"/>
                <w:spacing w:val="8"/>
                <w:kern w:val="0"/>
                <w:sz w:val="21"/>
                <w:szCs w:val="21"/>
                <w:lang w:eastAsia="en-US"/>
              </w:rPr>
            </w:pPr>
            <w:r>
              <w:rPr>
                <w:rFonts w:cs="Times New Roman"/>
                <w:spacing w:val="8"/>
                <w:kern w:val="0"/>
                <w:sz w:val="21"/>
                <w:szCs w:val="21"/>
                <w:lang w:eastAsia="en-US"/>
              </w:rPr>
              <w:t>32 户 148 人</w:t>
            </w:r>
          </w:p>
        </w:tc>
        <w:tc>
          <w:tcPr>
            <w:tcW w:w="735" w:type="pct"/>
            <w:vMerge w:val="continue"/>
            <w:vAlign w:val="center"/>
          </w:tcPr>
          <w:p w14:paraId="7648C85B">
            <w:pPr>
              <w:spacing w:before="72" w:line="190" w:lineRule="auto"/>
              <w:ind w:left="56" w:right="172" w:firstLine="0" w:firstLineChars="0"/>
              <w:jc w:val="center"/>
              <w:rPr>
                <w:rFonts w:cs="Times New Roman"/>
                <w:spacing w:val="8"/>
                <w:kern w:val="0"/>
                <w:sz w:val="21"/>
                <w:szCs w:val="21"/>
                <w:lang w:eastAsia="en-US"/>
              </w:rPr>
            </w:pPr>
          </w:p>
        </w:tc>
        <w:tc>
          <w:tcPr>
            <w:tcW w:w="761" w:type="pct"/>
            <w:vAlign w:val="center"/>
          </w:tcPr>
          <w:p w14:paraId="613B5394">
            <w:pPr>
              <w:spacing w:before="72" w:line="190" w:lineRule="auto"/>
              <w:ind w:left="56" w:right="172" w:firstLine="0" w:firstLineChars="0"/>
              <w:jc w:val="center"/>
              <w:rPr>
                <w:rFonts w:cs="Times New Roman"/>
                <w:spacing w:val="8"/>
                <w:kern w:val="0"/>
                <w:sz w:val="21"/>
                <w:szCs w:val="21"/>
                <w:lang w:eastAsia="en-US"/>
              </w:rPr>
            </w:pPr>
            <w:r>
              <w:rPr>
                <w:rFonts w:cs="Times New Roman"/>
                <w:spacing w:val="8"/>
                <w:kern w:val="0"/>
                <w:sz w:val="21"/>
                <w:szCs w:val="21"/>
                <w:lang w:eastAsia="en-US"/>
              </w:rPr>
              <w:t>西南 520m</w:t>
            </w:r>
          </w:p>
        </w:tc>
        <w:tc>
          <w:tcPr>
            <w:tcW w:w="796" w:type="pct"/>
            <w:vMerge w:val="continue"/>
            <w:vAlign w:val="center"/>
          </w:tcPr>
          <w:p w14:paraId="3C022CCF">
            <w:pPr>
              <w:ind w:firstLine="0" w:firstLineChars="0"/>
              <w:jc w:val="left"/>
              <w:rPr>
                <w:rFonts w:ascii="Calibri" w:hAnsi="Calibri" w:cs="Calibri"/>
                <w:kern w:val="0"/>
                <w:sz w:val="21"/>
                <w:szCs w:val="24"/>
                <w:lang w:eastAsia="en-US"/>
              </w:rPr>
            </w:pPr>
          </w:p>
        </w:tc>
      </w:tr>
      <w:tr w14:paraId="6228F2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3" w:hRule="atLeast"/>
          <w:jc w:val="center"/>
        </w:trPr>
        <w:tc>
          <w:tcPr>
            <w:tcW w:w="435" w:type="pct"/>
            <w:vAlign w:val="center"/>
          </w:tcPr>
          <w:p w14:paraId="05FEA633">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3</w:t>
            </w:r>
          </w:p>
        </w:tc>
        <w:tc>
          <w:tcPr>
            <w:tcW w:w="726" w:type="pct"/>
            <w:vAlign w:val="center"/>
          </w:tcPr>
          <w:p w14:paraId="153AB7C4">
            <w:pPr>
              <w:spacing w:before="72" w:line="190" w:lineRule="auto"/>
              <w:ind w:left="56" w:right="172"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废弃公司楼房</w:t>
            </w:r>
          </w:p>
        </w:tc>
        <w:tc>
          <w:tcPr>
            <w:tcW w:w="678" w:type="pct"/>
            <w:vMerge w:val="continue"/>
            <w:vAlign w:val="center"/>
          </w:tcPr>
          <w:p w14:paraId="08A88763">
            <w:pPr>
              <w:spacing w:before="72" w:line="190" w:lineRule="auto"/>
              <w:ind w:left="56" w:right="172" w:firstLine="0" w:firstLineChars="0"/>
              <w:jc w:val="left"/>
              <w:rPr>
                <w:rFonts w:cs="Times New Roman"/>
                <w:spacing w:val="8"/>
                <w:kern w:val="0"/>
                <w:sz w:val="21"/>
                <w:szCs w:val="21"/>
                <w:lang w:eastAsia="en-US"/>
              </w:rPr>
            </w:pPr>
          </w:p>
        </w:tc>
        <w:tc>
          <w:tcPr>
            <w:tcW w:w="869" w:type="pct"/>
            <w:vAlign w:val="center"/>
          </w:tcPr>
          <w:p w14:paraId="445EA8BF">
            <w:pPr>
              <w:spacing w:before="72" w:line="190" w:lineRule="auto"/>
              <w:ind w:left="56" w:right="172"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废弃，无人居住办公</w:t>
            </w:r>
          </w:p>
        </w:tc>
        <w:tc>
          <w:tcPr>
            <w:tcW w:w="735" w:type="pct"/>
            <w:vMerge w:val="continue"/>
            <w:vAlign w:val="center"/>
          </w:tcPr>
          <w:p w14:paraId="7E7C81AC">
            <w:pPr>
              <w:spacing w:before="72" w:line="190" w:lineRule="auto"/>
              <w:ind w:left="56" w:right="172" w:firstLine="0" w:firstLineChars="0"/>
              <w:jc w:val="center"/>
              <w:rPr>
                <w:rFonts w:cs="Times New Roman"/>
                <w:spacing w:val="8"/>
                <w:kern w:val="0"/>
                <w:sz w:val="21"/>
                <w:szCs w:val="21"/>
                <w:lang w:eastAsia="en-US"/>
              </w:rPr>
            </w:pPr>
          </w:p>
        </w:tc>
        <w:tc>
          <w:tcPr>
            <w:tcW w:w="761" w:type="pct"/>
            <w:vAlign w:val="center"/>
          </w:tcPr>
          <w:p w14:paraId="09879EF8">
            <w:pPr>
              <w:spacing w:before="72" w:line="190" w:lineRule="auto"/>
              <w:ind w:left="56" w:right="172"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北2</w:t>
            </w:r>
            <w:r>
              <w:rPr>
                <w:rFonts w:cs="Times New Roman"/>
                <w:spacing w:val="8"/>
                <w:kern w:val="0"/>
                <w:sz w:val="21"/>
                <w:szCs w:val="21"/>
                <w:lang w:eastAsia="en-US"/>
              </w:rPr>
              <w:t>40m</w:t>
            </w:r>
          </w:p>
        </w:tc>
        <w:tc>
          <w:tcPr>
            <w:tcW w:w="796" w:type="pct"/>
            <w:vMerge w:val="continue"/>
            <w:vAlign w:val="center"/>
          </w:tcPr>
          <w:p w14:paraId="32EA50C2">
            <w:pPr>
              <w:ind w:firstLine="0" w:firstLineChars="0"/>
              <w:jc w:val="left"/>
              <w:rPr>
                <w:rFonts w:ascii="Calibri" w:hAnsi="Calibri" w:cs="Calibri"/>
                <w:kern w:val="0"/>
                <w:sz w:val="21"/>
                <w:szCs w:val="24"/>
                <w:lang w:eastAsia="en-US"/>
              </w:rPr>
            </w:pPr>
          </w:p>
        </w:tc>
      </w:tr>
      <w:tr w14:paraId="671B37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3" w:hRule="atLeast"/>
          <w:jc w:val="center"/>
        </w:trPr>
        <w:tc>
          <w:tcPr>
            <w:tcW w:w="435" w:type="pct"/>
            <w:vAlign w:val="center"/>
          </w:tcPr>
          <w:p w14:paraId="57FD3143">
            <w:pPr>
              <w:spacing w:before="72" w:line="190" w:lineRule="auto"/>
              <w:ind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4</w:t>
            </w:r>
          </w:p>
        </w:tc>
        <w:tc>
          <w:tcPr>
            <w:tcW w:w="726" w:type="pct"/>
            <w:vAlign w:val="center"/>
          </w:tcPr>
          <w:p w14:paraId="2757C124">
            <w:pPr>
              <w:spacing w:before="72" w:line="190" w:lineRule="auto"/>
              <w:ind w:left="56" w:right="172"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移民安置区</w:t>
            </w:r>
          </w:p>
        </w:tc>
        <w:tc>
          <w:tcPr>
            <w:tcW w:w="678" w:type="pct"/>
            <w:vMerge w:val="continue"/>
            <w:vAlign w:val="center"/>
          </w:tcPr>
          <w:p w14:paraId="6C9947D5">
            <w:pPr>
              <w:spacing w:before="72" w:line="190" w:lineRule="auto"/>
              <w:ind w:left="56" w:right="172" w:firstLine="0" w:firstLineChars="0"/>
              <w:jc w:val="left"/>
              <w:rPr>
                <w:rFonts w:cs="Times New Roman"/>
                <w:spacing w:val="8"/>
                <w:kern w:val="0"/>
                <w:sz w:val="21"/>
                <w:szCs w:val="21"/>
                <w:lang w:eastAsia="en-US"/>
              </w:rPr>
            </w:pPr>
          </w:p>
        </w:tc>
        <w:tc>
          <w:tcPr>
            <w:tcW w:w="869" w:type="pct"/>
            <w:vAlign w:val="center"/>
          </w:tcPr>
          <w:p w14:paraId="4F65BAB4">
            <w:pPr>
              <w:spacing w:before="72" w:line="190" w:lineRule="auto"/>
              <w:ind w:left="56" w:right="172" w:firstLine="0" w:firstLineChars="0"/>
              <w:jc w:val="center"/>
              <w:rPr>
                <w:rFonts w:cs="Times New Roman"/>
                <w:spacing w:val="8"/>
                <w:kern w:val="0"/>
                <w:sz w:val="21"/>
                <w:szCs w:val="21"/>
                <w:lang w:eastAsia="en-US"/>
              </w:rPr>
            </w:pPr>
            <w:r>
              <w:rPr>
                <w:rFonts w:cs="Times New Roman"/>
                <w:spacing w:val="8"/>
                <w:kern w:val="0"/>
                <w:sz w:val="21"/>
                <w:szCs w:val="21"/>
                <w:lang w:eastAsia="en-US"/>
              </w:rPr>
              <w:t>64户 251 人</w:t>
            </w:r>
          </w:p>
        </w:tc>
        <w:tc>
          <w:tcPr>
            <w:tcW w:w="735" w:type="pct"/>
            <w:vMerge w:val="continue"/>
            <w:vAlign w:val="center"/>
          </w:tcPr>
          <w:p w14:paraId="0CB85CD7">
            <w:pPr>
              <w:spacing w:before="72" w:line="190" w:lineRule="auto"/>
              <w:ind w:left="56" w:right="172" w:firstLine="0" w:firstLineChars="0"/>
              <w:jc w:val="center"/>
              <w:rPr>
                <w:rFonts w:cs="Times New Roman"/>
                <w:spacing w:val="8"/>
                <w:kern w:val="0"/>
                <w:sz w:val="21"/>
                <w:szCs w:val="21"/>
                <w:lang w:eastAsia="en-US"/>
              </w:rPr>
            </w:pPr>
          </w:p>
        </w:tc>
        <w:tc>
          <w:tcPr>
            <w:tcW w:w="761" w:type="pct"/>
            <w:vAlign w:val="center"/>
          </w:tcPr>
          <w:p w14:paraId="17CE6898">
            <w:pPr>
              <w:spacing w:before="72" w:line="190" w:lineRule="auto"/>
              <w:ind w:left="56" w:right="172" w:firstLine="0" w:firstLineChars="0"/>
              <w:jc w:val="center"/>
              <w:rPr>
                <w:rFonts w:cs="Times New Roman"/>
                <w:spacing w:val="8"/>
                <w:kern w:val="0"/>
                <w:sz w:val="21"/>
                <w:szCs w:val="21"/>
                <w:lang w:eastAsia="en-US"/>
              </w:rPr>
            </w:pPr>
            <w:r>
              <w:rPr>
                <w:rFonts w:hint="eastAsia" w:cs="Times New Roman"/>
                <w:spacing w:val="8"/>
                <w:kern w:val="0"/>
                <w:sz w:val="21"/>
                <w:szCs w:val="21"/>
                <w:lang w:eastAsia="en-US"/>
              </w:rPr>
              <w:t>东南6</w:t>
            </w:r>
            <w:r>
              <w:rPr>
                <w:rFonts w:cs="Times New Roman"/>
                <w:spacing w:val="8"/>
                <w:kern w:val="0"/>
                <w:sz w:val="21"/>
                <w:szCs w:val="21"/>
                <w:lang w:eastAsia="en-US"/>
              </w:rPr>
              <w:t>55m</w:t>
            </w:r>
          </w:p>
        </w:tc>
        <w:tc>
          <w:tcPr>
            <w:tcW w:w="796" w:type="pct"/>
            <w:vMerge w:val="continue"/>
            <w:vAlign w:val="center"/>
          </w:tcPr>
          <w:p w14:paraId="648F4371">
            <w:pPr>
              <w:ind w:firstLine="0" w:firstLineChars="0"/>
              <w:jc w:val="left"/>
              <w:rPr>
                <w:rFonts w:ascii="Calibri" w:hAnsi="Calibri" w:cs="Calibri"/>
                <w:kern w:val="0"/>
                <w:sz w:val="21"/>
                <w:szCs w:val="24"/>
                <w:lang w:eastAsia="en-US"/>
              </w:rPr>
            </w:pPr>
          </w:p>
        </w:tc>
      </w:tr>
    </w:tbl>
    <w:p w14:paraId="02B74213">
      <w:pPr>
        <w:spacing w:line="400" w:lineRule="exact"/>
        <w:ind w:firstLine="480"/>
      </w:pPr>
    </w:p>
    <w:p w14:paraId="0C88FE91">
      <w:pPr>
        <w:ind w:firstLine="480"/>
      </w:pPr>
    </w:p>
    <w:p w14:paraId="22904D6D">
      <w:pPr>
        <w:ind w:firstLine="480"/>
        <w:sectPr>
          <w:pgSz w:w="11906" w:h="16838"/>
          <w:pgMar w:top="1440" w:right="1797" w:bottom="1440" w:left="1797" w:header="851" w:footer="992" w:gutter="0"/>
          <w:cols w:space="425" w:num="1"/>
          <w:docGrid w:type="lines" w:linePitch="312" w:charSpace="0"/>
        </w:sectPr>
      </w:pPr>
    </w:p>
    <w:p w14:paraId="1497C1A7">
      <w:pPr>
        <w:snapToGrid w:val="0"/>
        <w:ind w:firstLine="480"/>
        <w:jc w:val="center"/>
        <w:rPr>
          <w:b/>
          <w:bCs/>
          <w:szCs w:val="20"/>
        </w:rPr>
      </w:pPr>
      <w:r>
        <w:drawing>
          <wp:inline distT="0" distB="0" distL="0" distR="0">
            <wp:extent cx="7552055" cy="4943475"/>
            <wp:effectExtent l="0" t="0" r="0" b="0"/>
            <wp:docPr id="1242232279" name="图片 124223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32279" name="图片 124223227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7576422" cy="4959160"/>
                    </a:xfrm>
                    <a:prstGeom prst="rect">
                      <a:avLst/>
                    </a:prstGeom>
                    <a:noFill/>
                    <a:ln>
                      <a:noFill/>
                    </a:ln>
                  </pic:spPr>
                </pic:pic>
              </a:graphicData>
            </a:graphic>
          </wp:inline>
        </w:drawing>
      </w:r>
    </w:p>
    <w:p w14:paraId="1CECF26C">
      <w:pPr>
        <w:snapToGrid w:val="0"/>
        <w:ind w:firstLine="482"/>
        <w:jc w:val="center"/>
        <w:rPr>
          <w:b/>
          <w:bCs/>
          <w:szCs w:val="20"/>
        </w:rPr>
      </w:pPr>
      <w:r>
        <w:rPr>
          <w:b/>
          <w:bCs/>
          <w:szCs w:val="20"/>
        </w:rPr>
        <w:t>图2.5-1 环境空气保护目标</w:t>
      </w:r>
    </w:p>
    <w:p w14:paraId="491CC90A">
      <w:pPr>
        <w:snapToGrid w:val="0"/>
        <w:ind w:firstLine="480"/>
        <w:jc w:val="center"/>
        <w:rPr>
          <w:b/>
          <w:bCs/>
          <w:szCs w:val="20"/>
        </w:rPr>
      </w:pPr>
      <w:r>
        <w:drawing>
          <wp:inline distT="0" distB="0" distL="0" distR="0">
            <wp:extent cx="7078980" cy="4857750"/>
            <wp:effectExtent l="0" t="0" r="7620" b="0"/>
            <wp:docPr id="1778176512" name="IM 109"/>
            <wp:cNvGraphicFramePr/>
            <a:graphic xmlns:a="http://schemas.openxmlformats.org/drawingml/2006/main">
              <a:graphicData uri="http://schemas.openxmlformats.org/drawingml/2006/picture">
                <pic:pic xmlns:pic="http://schemas.openxmlformats.org/drawingml/2006/picture">
                  <pic:nvPicPr>
                    <pic:cNvPr id="1778176512" name="IM 109"/>
                    <pic:cNvPicPr/>
                  </pic:nvPicPr>
                  <pic:blipFill>
                    <a:blip r:embed="rId17"/>
                    <a:stretch>
                      <a:fillRect/>
                    </a:stretch>
                  </pic:blipFill>
                  <pic:spPr>
                    <a:xfrm>
                      <a:off x="0" y="0"/>
                      <a:ext cx="7082678" cy="4860093"/>
                    </a:xfrm>
                    <a:prstGeom prst="rect">
                      <a:avLst/>
                    </a:prstGeom>
                  </pic:spPr>
                </pic:pic>
              </a:graphicData>
            </a:graphic>
          </wp:inline>
        </w:drawing>
      </w:r>
    </w:p>
    <w:p w14:paraId="70595A20">
      <w:pPr>
        <w:snapToGrid w:val="0"/>
        <w:ind w:firstLine="482"/>
        <w:jc w:val="center"/>
        <w:rPr>
          <w:b/>
          <w:bCs/>
          <w:szCs w:val="20"/>
        </w:rPr>
      </w:pPr>
      <w:r>
        <w:rPr>
          <w:b/>
          <w:bCs/>
          <w:szCs w:val="20"/>
        </w:rPr>
        <w:t>图 2.5-2  地表水环境保护目标图</w:t>
      </w:r>
    </w:p>
    <w:p w14:paraId="2EE36122">
      <w:pPr>
        <w:snapToGrid w:val="0"/>
        <w:ind w:firstLine="482"/>
        <w:jc w:val="center"/>
        <w:rPr>
          <w:b/>
          <w:bCs/>
          <w:szCs w:val="20"/>
        </w:rPr>
      </w:pPr>
      <w:r>
        <w:rPr>
          <w:b/>
          <w:bCs/>
          <w:szCs w:val="20"/>
        </w:rPr>
        <w:drawing>
          <wp:inline distT="0" distB="0" distL="0" distR="0">
            <wp:extent cx="6696075" cy="4676775"/>
            <wp:effectExtent l="0" t="0" r="9525" b="0"/>
            <wp:docPr id="1838271306" name="图片 183827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71306" name="图片 183827130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702701" cy="4681289"/>
                    </a:xfrm>
                    <a:prstGeom prst="rect">
                      <a:avLst/>
                    </a:prstGeom>
                    <a:noFill/>
                    <a:ln>
                      <a:noFill/>
                    </a:ln>
                  </pic:spPr>
                </pic:pic>
              </a:graphicData>
            </a:graphic>
          </wp:inline>
        </w:drawing>
      </w:r>
    </w:p>
    <w:p w14:paraId="64121138">
      <w:pPr>
        <w:snapToGrid w:val="0"/>
        <w:ind w:firstLine="482"/>
        <w:jc w:val="center"/>
        <w:rPr>
          <w:b/>
          <w:bCs/>
          <w:szCs w:val="20"/>
        </w:rPr>
      </w:pPr>
      <w:r>
        <w:rPr>
          <w:b/>
          <w:bCs/>
          <w:szCs w:val="20"/>
        </w:rPr>
        <w:t>图 2.5-3 声环境保护目标</w:t>
      </w:r>
    </w:p>
    <w:p w14:paraId="242B7034">
      <w:pPr>
        <w:snapToGrid w:val="0"/>
        <w:ind w:firstLine="482"/>
        <w:jc w:val="center"/>
        <w:rPr>
          <w:b/>
          <w:bCs/>
          <w:szCs w:val="20"/>
        </w:rPr>
      </w:pPr>
      <w:r>
        <w:rPr>
          <w:b/>
          <w:bCs/>
          <w:szCs w:val="20"/>
        </w:rPr>
        <w:drawing>
          <wp:inline distT="0" distB="0" distL="0" distR="0">
            <wp:extent cx="6859905" cy="4886325"/>
            <wp:effectExtent l="0" t="0" r="0" b="0"/>
            <wp:docPr id="1528236508" name="图片 152823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36508" name="图片 152823650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872770" cy="4895120"/>
                    </a:xfrm>
                    <a:prstGeom prst="rect">
                      <a:avLst/>
                    </a:prstGeom>
                    <a:noFill/>
                    <a:ln>
                      <a:noFill/>
                    </a:ln>
                  </pic:spPr>
                </pic:pic>
              </a:graphicData>
            </a:graphic>
          </wp:inline>
        </w:drawing>
      </w:r>
    </w:p>
    <w:p w14:paraId="317C5315">
      <w:pPr>
        <w:snapToGrid w:val="0"/>
        <w:ind w:firstLine="482"/>
        <w:jc w:val="center"/>
        <w:rPr>
          <w:b/>
          <w:bCs/>
          <w:szCs w:val="20"/>
        </w:rPr>
      </w:pPr>
      <w:r>
        <w:rPr>
          <w:b/>
          <w:bCs/>
          <w:szCs w:val="20"/>
        </w:rPr>
        <w:t>图 2.5-4  环境风险保护目标图</w:t>
      </w:r>
    </w:p>
    <w:p w14:paraId="5F23E829">
      <w:pPr>
        <w:ind w:firstLine="480"/>
        <w:sectPr>
          <w:pgSz w:w="16838" w:h="11906" w:orient="landscape"/>
          <w:pgMar w:top="1797" w:right="1440" w:bottom="1797" w:left="1440" w:header="851" w:footer="992" w:gutter="0"/>
          <w:cols w:space="425" w:num="1"/>
          <w:docGrid w:type="lines" w:linePitch="326" w:charSpace="0"/>
        </w:sectPr>
      </w:pPr>
    </w:p>
    <w:p w14:paraId="21493A8D">
      <w:pPr>
        <w:pStyle w:val="2"/>
        <w:ind w:firstLine="883"/>
      </w:pPr>
      <w:bookmarkStart w:id="23" w:name="_Toc85213489"/>
      <w:r>
        <w:rPr>
          <w:rFonts w:hint="eastAsia"/>
        </w:rPr>
        <w:t>2</w:t>
      </w:r>
      <w:r>
        <w:t xml:space="preserve"> </w:t>
      </w:r>
      <w:r>
        <w:rPr>
          <w:rFonts w:hint="eastAsia"/>
        </w:rPr>
        <w:t>建设项目过程回顾</w:t>
      </w:r>
      <w:bookmarkEnd w:id="23"/>
    </w:p>
    <w:p w14:paraId="75B5A1A0">
      <w:pPr>
        <w:pStyle w:val="3"/>
      </w:pPr>
      <w:bookmarkStart w:id="24" w:name="_Toc85213490"/>
      <w:r>
        <w:rPr>
          <w:rFonts w:hint="eastAsia"/>
        </w:rPr>
        <w:t>2.1</w:t>
      </w:r>
      <w:r>
        <w:t xml:space="preserve"> </w:t>
      </w:r>
      <w:r>
        <w:rPr>
          <w:rFonts w:hint="eastAsia"/>
        </w:rPr>
        <w:t>环境影响评价回顾</w:t>
      </w:r>
      <w:bookmarkEnd w:id="24"/>
    </w:p>
    <w:p w14:paraId="62758439">
      <w:pPr>
        <w:ind w:firstLine="480"/>
      </w:pPr>
      <w:r>
        <w:t>安徽金安矿业有限公司草楼铁矿 300 万吨/年工程</w:t>
      </w:r>
      <w:r>
        <w:rPr>
          <w:rFonts w:hint="eastAsia"/>
        </w:rPr>
        <w:t>及深部开拓工程</w:t>
      </w:r>
      <w:r>
        <w:t>建设地点位于安徽省霍邱县范桥乡境内， 占地面积 56.01hm</w:t>
      </w:r>
      <w:r>
        <w:rPr>
          <w:vertAlign w:val="superscript"/>
        </w:rPr>
        <w:t>2</w:t>
      </w:r>
      <w:r>
        <w:t xml:space="preserve"> ，采矿规模：年采出原矿 300 万吨，平均品位： TFe26.62%；选矿规模为：300 万 t/a，年产铁精矿（TFe66.5%）96.06 万吨。工作制度：年工作 330 天，每天三班，每班 8 小时。</w:t>
      </w:r>
    </w:p>
    <w:p w14:paraId="034DA6B4">
      <w:pPr>
        <w:pStyle w:val="3"/>
      </w:pPr>
      <w:r>
        <w:t>2.2 项目环评手续履行情况</w:t>
      </w:r>
    </w:p>
    <w:p w14:paraId="5174579C">
      <w:pPr>
        <w:widowControl/>
        <w:kinsoku w:val="0"/>
        <w:autoSpaceDE w:val="0"/>
        <w:autoSpaceDN w:val="0"/>
        <w:adjustRightInd w:val="0"/>
        <w:snapToGrid w:val="0"/>
        <w:spacing w:before="75" w:line="221" w:lineRule="auto"/>
        <w:ind w:firstLineChars="0"/>
        <w:jc w:val="center"/>
        <w:textAlignment w:val="baseline"/>
        <w:rPr>
          <w:rFonts w:hint="eastAsia" w:ascii="宋体" w:hAnsi="宋体" w:cs="宋体"/>
          <w:snapToGrid w:val="0"/>
          <w:kern w:val="0"/>
          <w:sz w:val="23"/>
          <w:szCs w:val="23"/>
        </w:rPr>
      </w:pPr>
      <w:r>
        <w:rPr>
          <w:rFonts w:ascii="宋体" w:hAnsi="宋体" w:cs="宋体"/>
          <w:snapToGrid w:val="0"/>
          <w:spacing w:val="9"/>
          <w:kern w:val="0"/>
          <w:sz w:val="23"/>
          <w:szCs w:val="23"/>
          <w14:textOutline w14:w="4356" w14:cap="sq" w14:cmpd="sng" w14:algn="ctr">
            <w14:solidFill>
              <w14:srgbClr w14:val="000000"/>
            </w14:solidFill>
            <w14:prstDash w14:val="solid"/>
            <w14:bevel/>
          </w14:textOutline>
        </w:rPr>
        <w:t>表</w:t>
      </w:r>
      <w:r>
        <w:rPr>
          <w:rFonts w:ascii="宋体" w:hAnsi="宋体" w:cs="宋体"/>
          <w:snapToGrid w:val="0"/>
          <w:spacing w:val="5"/>
          <w:kern w:val="0"/>
          <w:sz w:val="23"/>
          <w:szCs w:val="23"/>
        </w:rPr>
        <w:t xml:space="preserve"> </w:t>
      </w:r>
      <w:r>
        <w:rPr>
          <w:rFonts w:ascii="宋体" w:hAnsi="宋体" w:cs="宋体"/>
          <w:snapToGrid w:val="0"/>
          <w:spacing w:val="5"/>
          <w:kern w:val="0"/>
          <w:sz w:val="23"/>
          <w:szCs w:val="23"/>
          <w14:textOutline w14:w="4356" w14:cap="sq" w14:cmpd="sng" w14:algn="ctr">
            <w14:solidFill>
              <w14:srgbClr w14:val="000000"/>
            </w14:solidFill>
            <w14:prstDash w14:val="solid"/>
            <w14:bevel/>
          </w14:textOutline>
        </w:rPr>
        <w:t>2.2</w:t>
      </w:r>
      <w:r>
        <w:rPr>
          <w:rFonts w:ascii="宋体" w:hAnsi="宋体" w:cs="宋体"/>
          <w:snapToGrid w:val="0"/>
          <w:spacing w:val="4"/>
          <w:kern w:val="0"/>
          <w:sz w:val="23"/>
          <w:szCs w:val="23"/>
          <w14:textOutline w14:w="4356" w14:cap="sq" w14:cmpd="sng" w14:algn="ctr">
            <w14:solidFill>
              <w14:srgbClr w14:val="000000"/>
            </w14:solidFill>
            <w14:prstDash w14:val="solid"/>
            <w14:bevel/>
          </w14:textOutline>
        </w:rPr>
        <w:t>-1</w:t>
      </w:r>
      <w:r>
        <w:rPr>
          <w:rFonts w:ascii="宋体" w:hAnsi="宋体" w:cs="宋体"/>
          <w:snapToGrid w:val="0"/>
          <w:spacing w:val="5"/>
          <w:kern w:val="0"/>
          <w:sz w:val="23"/>
          <w:szCs w:val="23"/>
        </w:rPr>
        <w:t xml:space="preserve">  </w:t>
      </w:r>
      <w:r>
        <w:rPr>
          <w:rFonts w:ascii="宋体" w:hAnsi="宋体" w:cs="宋体"/>
          <w:snapToGrid w:val="0"/>
          <w:spacing w:val="8"/>
          <w:kern w:val="0"/>
          <w:sz w:val="23"/>
          <w:szCs w:val="23"/>
          <w14:textOutline w14:w="4356" w14:cap="sq" w14:cmpd="sng" w14:algn="ctr">
            <w14:solidFill>
              <w14:srgbClr w14:val="000000"/>
            </w14:solidFill>
            <w14:prstDash w14:val="solid"/>
            <w14:bevel/>
          </w14:textOutline>
        </w:rPr>
        <w:t>环境影响评价情况一览表</w:t>
      </w:r>
    </w:p>
    <w:tbl>
      <w:tblPr>
        <w:tblStyle w:val="139"/>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585"/>
        <w:gridCol w:w="1824"/>
        <w:gridCol w:w="1207"/>
        <w:gridCol w:w="1722"/>
      </w:tblGrid>
      <w:tr w14:paraId="078424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4" w:hRule="atLeast"/>
          <w:jc w:val="center"/>
        </w:trPr>
        <w:tc>
          <w:tcPr>
            <w:tcW w:w="2150" w:type="pct"/>
            <w:tcBorders>
              <w:left w:val="single" w:color="000000" w:sz="10" w:space="0"/>
            </w:tcBorders>
          </w:tcPr>
          <w:p w14:paraId="7751D3DC">
            <w:pPr>
              <w:spacing w:before="79" w:line="278" w:lineRule="exact"/>
              <w:ind w:firstLine="115" w:firstLineChars="0"/>
              <w:jc w:val="center"/>
              <w:rPr>
                <w:rFonts w:hint="eastAsia"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pPr>
            <w:r>
              <w:rPr>
                <w:rFonts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t>名称</w:t>
            </w:r>
          </w:p>
        </w:tc>
        <w:tc>
          <w:tcPr>
            <w:tcW w:w="1094" w:type="pct"/>
          </w:tcPr>
          <w:p w14:paraId="1F18D188">
            <w:pPr>
              <w:spacing w:before="79" w:line="278" w:lineRule="exact"/>
              <w:ind w:firstLine="115" w:firstLineChars="0"/>
              <w:jc w:val="center"/>
              <w:rPr>
                <w:rFonts w:hint="eastAsia"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pPr>
            <w:r>
              <w:rPr>
                <w:rFonts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t>批复部门</w:t>
            </w:r>
          </w:p>
        </w:tc>
        <w:tc>
          <w:tcPr>
            <w:tcW w:w="724" w:type="pct"/>
          </w:tcPr>
          <w:p w14:paraId="162B136B">
            <w:pPr>
              <w:spacing w:before="79" w:line="278" w:lineRule="exact"/>
              <w:ind w:firstLine="115" w:firstLineChars="0"/>
              <w:jc w:val="center"/>
              <w:rPr>
                <w:rFonts w:hint="eastAsia"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pPr>
            <w:r>
              <w:rPr>
                <w:rFonts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t>批复</w:t>
            </w:r>
          </w:p>
          <w:p w14:paraId="0D94AE84">
            <w:pPr>
              <w:spacing w:before="79" w:line="278" w:lineRule="exact"/>
              <w:ind w:firstLine="115" w:firstLineChars="0"/>
              <w:jc w:val="center"/>
              <w:rPr>
                <w:rFonts w:hint="eastAsia"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pPr>
            <w:r>
              <w:rPr>
                <w:rFonts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t>时间</w:t>
            </w:r>
          </w:p>
        </w:tc>
        <w:tc>
          <w:tcPr>
            <w:tcW w:w="1032" w:type="pct"/>
            <w:tcBorders>
              <w:right w:val="single" w:color="000000" w:sz="10" w:space="0"/>
            </w:tcBorders>
          </w:tcPr>
          <w:p w14:paraId="1BF7ABBD">
            <w:pPr>
              <w:spacing w:before="79" w:line="278" w:lineRule="exact"/>
              <w:ind w:firstLine="115" w:firstLineChars="0"/>
              <w:jc w:val="center"/>
              <w:rPr>
                <w:rFonts w:hint="eastAsia"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pPr>
            <w:r>
              <w:rPr>
                <w:rFonts w:ascii="宋体" w:hAnsi="宋体" w:cs="宋体"/>
                <w:snapToGrid w:val="0"/>
                <w:color w:val="auto"/>
                <w:spacing w:val="9"/>
                <w:kern w:val="0"/>
                <w:position w:val="2"/>
                <w:sz w:val="21"/>
                <w:szCs w:val="21"/>
                <w14:textOutline w14:w="3797" w14:cap="sq" w14:cmpd="sng" w14:algn="ctr">
                  <w14:solidFill>
                    <w14:srgbClr w14:val="000000"/>
                  </w14:solidFill>
                  <w14:prstDash w14:val="solid"/>
                  <w14:bevel/>
                </w14:textOutline>
              </w:rPr>
              <w:t>批复文号</w:t>
            </w:r>
          </w:p>
        </w:tc>
      </w:tr>
      <w:tr w14:paraId="482FF1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jc w:val="center"/>
        </w:trPr>
        <w:tc>
          <w:tcPr>
            <w:tcW w:w="2150" w:type="pct"/>
            <w:tcBorders>
              <w:left w:val="single" w:color="000000" w:sz="10" w:space="0"/>
            </w:tcBorders>
            <w:vAlign w:val="center"/>
          </w:tcPr>
          <w:p w14:paraId="7377A28C">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安徽草楼矿业有限责任公司草楼铁矿开发环境影响报告书</w:t>
            </w:r>
          </w:p>
        </w:tc>
        <w:tc>
          <w:tcPr>
            <w:tcW w:w="1094" w:type="pct"/>
            <w:vAlign w:val="center"/>
          </w:tcPr>
          <w:p w14:paraId="306022F4">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原安徽省环境保护局</w:t>
            </w:r>
          </w:p>
        </w:tc>
        <w:tc>
          <w:tcPr>
            <w:tcW w:w="724" w:type="pct"/>
            <w:vAlign w:val="center"/>
          </w:tcPr>
          <w:p w14:paraId="7329B03F">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2004.11</w:t>
            </w:r>
          </w:p>
        </w:tc>
        <w:tc>
          <w:tcPr>
            <w:tcW w:w="1032" w:type="pct"/>
            <w:tcBorders>
              <w:right w:val="single" w:color="000000" w:sz="10" w:space="0"/>
            </w:tcBorders>
            <w:vAlign w:val="center"/>
          </w:tcPr>
          <w:p w14:paraId="215B574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环监函   [2004]429 号</w:t>
            </w:r>
          </w:p>
        </w:tc>
      </w:tr>
      <w:tr w14:paraId="124AF8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1" w:hRule="atLeast"/>
          <w:jc w:val="center"/>
        </w:trPr>
        <w:tc>
          <w:tcPr>
            <w:tcW w:w="2150" w:type="pct"/>
            <w:tcBorders>
              <w:left w:val="single" w:color="000000" w:sz="10" w:space="0"/>
            </w:tcBorders>
            <w:vAlign w:val="center"/>
          </w:tcPr>
          <w:p w14:paraId="7262934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安徽草楼矿业有限责任公司草</w:t>
            </w:r>
          </w:p>
          <w:p w14:paraId="4AB80E7D">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楼铁矿开发竣工环境保护验收</w:t>
            </w:r>
          </w:p>
          <w:p w14:paraId="12109E3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调查报告</w:t>
            </w:r>
          </w:p>
        </w:tc>
        <w:tc>
          <w:tcPr>
            <w:tcW w:w="1094" w:type="pct"/>
            <w:vAlign w:val="center"/>
          </w:tcPr>
          <w:p w14:paraId="448C0589">
            <w:pPr>
              <w:tabs>
                <w:tab w:val="center" w:pos="4153"/>
                <w:tab w:val="right" w:pos="8306"/>
              </w:tabs>
              <w:snapToGrid w:val="0"/>
              <w:spacing w:line="240" w:lineRule="auto"/>
              <w:ind w:right="121" w:firstLine="0" w:firstLineChars="0"/>
              <w:jc w:val="center"/>
              <w:rPr>
                <w:rFonts w:cstheme="minorBidi"/>
                <w:snapToGrid w:val="0"/>
                <w:color w:val="auto"/>
                <w:kern w:val="2"/>
                <w:sz w:val="21"/>
                <w:szCs w:val="21"/>
              </w:rPr>
            </w:pPr>
            <w:r>
              <w:rPr>
                <w:rFonts w:cstheme="minorBidi"/>
                <w:snapToGrid w:val="0"/>
                <w:color w:val="auto"/>
                <w:kern w:val="2"/>
                <w:sz w:val="21"/>
                <w:szCs w:val="21"/>
              </w:rPr>
              <w:t>原安徽省环境保护局</w:t>
            </w:r>
          </w:p>
        </w:tc>
        <w:tc>
          <w:tcPr>
            <w:tcW w:w="724" w:type="pct"/>
            <w:vAlign w:val="center"/>
          </w:tcPr>
          <w:p w14:paraId="557F7109">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2008.5</w:t>
            </w:r>
          </w:p>
        </w:tc>
        <w:tc>
          <w:tcPr>
            <w:tcW w:w="1032" w:type="pct"/>
            <w:tcBorders>
              <w:right w:val="single" w:color="000000" w:sz="10" w:space="0"/>
            </w:tcBorders>
            <w:vAlign w:val="center"/>
          </w:tcPr>
          <w:p w14:paraId="152046DB">
            <w:pPr>
              <w:tabs>
                <w:tab w:val="center" w:pos="4153"/>
                <w:tab w:val="right" w:pos="8306"/>
              </w:tabs>
              <w:snapToGrid w:val="0"/>
              <w:spacing w:line="240" w:lineRule="auto"/>
              <w:ind w:left="204" w:right="147" w:firstLine="0" w:firstLineChars="0"/>
              <w:jc w:val="center"/>
              <w:rPr>
                <w:rFonts w:cstheme="minorBidi"/>
                <w:snapToGrid w:val="0"/>
                <w:color w:val="auto"/>
                <w:kern w:val="2"/>
                <w:sz w:val="21"/>
                <w:szCs w:val="21"/>
              </w:rPr>
            </w:pPr>
            <w:r>
              <w:rPr>
                <w:rFonts w:cstheme="minorBidi"/>
                <w:snapToGrid w:val="0"/>
                <w:color w:val="auto"/>
                <w:kern w:val="2"/>
                <w:sz w:val="21"/>
                <w:szCs w:val="21"/>
              </w:rPr>
              <w:t>环监验  [2008]37 号</w:t>
            </w:r>
          </w:p>
        </w:tc>
      </w:tr>
      <w:tr w14:paraId="226F89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1" w:hRule="atLeast"/>
          <w:jc w:val="center"/>
        </w:trPr>
        <w:tc>
          <w:tcPr>
            <w:tcW w:w="2150" w:type="pct"/>
            <w:tcBorders>
              <w:left w:val="single" w:color="000000" w:sz="10" w:space="0"/>
            </w:tcBorders>
            <w:vAlign w:val="center"/>
          </w:tcPr>
          <w:p w14:paraId="6120C904">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安徽金安矿业有限公司草楼铁</w:t>
            </w:r>
          </w:p>
          <w:p w14:paraId="41CC8E65">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矿 300 万吨/年扩建工程环境</w:t>
            </w:r>
          </w:p>
          <w:p w14:paraId="5F7FA0C4">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影响报告书</w:t>
            </w:r>
          </w:p>
        </w:tc>
        <w:tc>
          <w:tcPr>
            <w:tcW w:w="1094" w:type="pct"/>
            <w:vAlign w:val="center"/>
          </w:tcPr>
          <w:p w14:paraId="2BCF7FD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中华人民共和国环境保护部</w:t>
            </w:r>
          </w:p>
        </w:tc>
        <w:tc>
          <w:tcPr>
            <w:tcW w:w="724" w:type="pct"/>
            <w:vAlign w:val="center"/>
          </w:tcPr>
          <w:p w14:paraId="006854C0">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2010.4</w:t>
            </w:r>
          </w:p>
        </w:tc>
        <w:tc>
          <w:tcPr>
            <w:tcW w:w="1032" w:type="pct"/>
            <w:tcBorders>
              <w:right w:val="single" w:color="000000" w:sz="10" w:space="0"/>
            </w:tcBorders>
            <w:vAlign w:val="center"/>
          </w:tcPr>
          <w:p w14:paraId="3D87EBD8">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环审    [2010]123号</w:t>
            </w:r>
          </w:p>
        </w:tc>
      </w:tr>
      <w:tr w14:paraId="1D339A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2150" w:type="pct"/>
            <w:tcBorders>
              <w:left w:val="single" w:color="000000" w:sz="10" w:space="0"/>
            </w:tcBorders>
            <w:vAlign w:val="center"/>
          </w:tcPr>
          <w:p w14:paraId="2C04492B">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安徽金安矿业有限公司草楼铁</w:t>
            </w:r>
          </w:p>
          <w:p w14:paraId="3B77B5DC">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矿300万吨/年扩建工程竣工</w:t>
            </w:r>
          </w:p>
          <w:p w14:paraId="7A889E72">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环境保护验收调查报告</w:t>
            </w:r>
          </w:p>
        </w:tc>
        <w:tc>
          <w:tcPr>
            <w:tcW w:w="1094" w:type="pct"/>
            <w:vAlign w:val="center"/>
          </w:tcPr>
          <w:p w14:paraId="4B9D941F">
            <w:pPr>
              <w:tabs>
                <w:tab w:val="center" w:pos="4153"/>
                <w:tab w:val="right" w:pos="8306"/>
              </w:tabs>
              <w:snapToGrid w:val="0"/>
              <w:spacing w:line="240" w:lineRule="auto"/>
              <w:ind w:right="121" w:firstLine="0" w:firstLineChars="0"/>
              <w:jc w:val="center"/>
              <w:rPr>
                <w:rFonts w:cstheme="minorBidi"/>
                <w:snapToGrid w:val="0"/>
                <w:color w:val="auto"/>
                <w:kern w:val="2"/>
                <w:sz w:val="21"/>
                <w:szCs w:val="21"/>
              </w:rPr>
            </w:pPr>
            <w:r>
              <w:rPr>
                <w:rFonts w:cstheme="minorBidi"/>
                <w:snapToGrid w:val="0"/>
                <w:color w:val="auto"/>
                <w:kern w:val="2"/>
                <w:sz w:val="21"/>
                <w:szCs w:val="21"/>
              </w:rPr>
              <w:t>中华人民共和国环境保护部</w:t>
            </w:r>
          </w:p>
        </w:tc>
        <w:tc>
          <w:tcPr>
            <w:tcW w:w="724" w:type="pct"/>
            <w:vAlign w:val="center"/>
          </w:tcPr>
          <w:p w14:paraId="2B5438D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2013.11</w:t>
            </w:r>
          </w:p>
        </w:tc>
        <w:tc>
          <w:tcPr>
            <w:tcW w:w="1032" w:type="pct"/>
            <w:tcBorders>
              <w:right w:val="single" w:color="000000" w:sz="10" w:space="0"/>
            </w:tcBorders>
            <w:vAlign w:val="center"/>
          </w:tcPr>
          <w:p w14:paraId="59153232">
            <w:pPr>
              <w:tabs>
                <w:tab w:val="center" w:pos="4153"/>
                <w:tab w:val="right" w:pos="8306"/>
              </w:tabs>
              <w:snapToGrid w:val="0"/>
              <w:spacing w:line="240" w:lineRule="auto"/>
              <w:ind w:left="153" w:right="97" w:firstLine="0" w:firstLineChars="0"/>
              <w:jc w:val="center"/>
              <w:rPr>
                <w:rFonts w:cstheme="minorBidi"/>
                <w:snapToGrid w:val="0"/>
                <w:color w:val="auto"/>
                <w:kern w:val="2"/>
                <w:sz w:val="21"/>
                <w:szCs w:val="21"/>
              </w:rPr>
            </w:pPr>
            <w:r>
              <w:rPr>
                <w:rFonts w:cstheme="minorBidi"/>
                <w:snapToGrid w:val="0"/>
                <w:color w:val="auto"/>
                <w:kern w:val="2"/>
                <w:sz w:val="21"/>
                <w:szCs w:val="21"/>
              </w:rPr>
              <w:t>环验    [2013]272 号</w:t>
            </w:r>
          </w:p>
        </w:tc>
      </w:tr>
      <w:tr w14:paraId="7CBF3C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2150" w:type="pct"/>
            <w:tcBorders>
              <w:left w:val="single" w:color="000000" w:sz="10" w:space="0"/>
            </w:tcBorders>
            <w:vAlign w:val="center"/>
          </w:tcPr>
          <w:p w14:paraId="7FF6F3A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年产100万吨矿山充填胶结剂项目环境影响报告表</w:t>
            </w:r>
          </w:p>
        </w:tc>
        <w:tc>
          <w:tcPr>
            <w:tcW w:w="1094" w:type="pct"/>
            <w:vAlign w:val="center"/>
          </w:tcPr>
          <w:p w14:paraId="213DDC36">
            <w:pPr>
              <w:tabs>
                <w:tab w:val="center" w:pos="4153"/>
                <w:tab w:val="right" w:pos="8306"/>
              </w:tabs>
              <w:snapToGrid w:val="0"/>
              <w:spacing w:line="240" w:lineRule="auto"/>
              <w:ind w:right="121"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六安市环境保护局</w:t>
            </w:r>
          </w:p>
        </w:tc>
        <w:tc>
          <w:tcPr>
            <w:tcW w:w="724" w:type="pct"/>
            <w:vAlign w:val="center"/>
          </w:tcPr>
          <w:p w14:paraId="5D35C68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2009.1</w:t>
            </w:r>
          </w:p>
        </w:tc>
        <w:tc>
          <w:tcPr>
            <w:tcW w:w="1032" w:type="pct"/>
            <w:tcBorders>
              <w:right w:val="single" w:color="000000" w:sz="10" w:space="0"/>
            </w:tcBorders>
            <w:vAlign w:val="center"/>
          </w:tcPr>
          <w:p w14:paraId="730E0ABF">
            <w:pPr>
              <w:tabs>
                <w:tab w:val="center" w:pos="4153"/>
                <w:tab w:val="right" w:pos="8306"/>
              </w:tabs>
              <w:snapToGrid w:val="0"/>
              <w:spacing w:line="240" w:lineRule="auto"/>
              <w:ind w:left="153" w:right="97"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环监</w:t>
            </w:r>
            <w:r>
              <w:rPr>
                <w:rFonts w:cstheme="minorBidi"/>
                <w:snapToGrid w:val="0"/>
                <w:color w:val="auto"/>
                <w:kern w:val="2"/>
                <w:sz w:val="21"/>
                <w:szCs w:val="21"/>
              </w:rPr>
              <w:t>[20</w:t>
            </w:r>
            <w:r>
              <w:rPr>
                <w:rFonts w:hint="eastAsia" w:cstheme="minorBidi"/>
                <w:snapToGrid w:val="0"/>
                <w:color w:val="auto"/>
                <w:kern w:val="2"/>
                <w:sz w:val="21"/>
                <w:szCs w:val="21"/>
              </w:rPr>
              <w:t>09</w:t>
            </w:r>
            <w:r>
              <w:rPr>
                <w:rFonts w:cstheme="minorBidi"/>
                <w:snapToGrid w:val="0"/>
                <w:color w:val="auto"/>
                <w:kern w:val="2"/>
                <w:sz w:val="21"/>
                <w:szCs w:val="21"/>
              </w:rPr>
              <w:t>]</w:t>
            </w:r>
            <w:r>
              <w:rPr>
                <w:rFonts w:hint="eastAsia" w:cstheme="minorBidi"/>
                <w:snapToGrid w:val="0"/>
                <w:color w:val="auto"/>
                <w:kern w:val="2"/>
                <w:sz w:val="21"/>
                <w:szCs w:val="21"/>
              </w:rPr>
              <w:t>9号</w:t>
            </w:r>
          </w:p>
        </w:tc>
      </w:tr>
      <w:tr w14:paraId="278E37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2150" w:type="pct"/>
            <w:tcBorders>
              <w:left w:val="single" w:color="000000" w:sz="10" w:space="0"/>
            </w:tcBorders>
            <w:vAlign w:val="center"/>
          </w:tcPr>
          <w:p w14:paraId="05A66D20">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年产 100万吨矿山充填胶结剂项目一期工程竣工环境保护验</w:t>
            </w:r>
          </w:p>
        </w:tc>
        <w:tc>
          <w:tcPr>
            <w:tcW w:w="1094" w:type="pct"/>
            <w:vAlign w:val="center"/>
          </w:tcPr>
          <w:p w14:paraId="24C9977F">
            <w:pPr>
              <w:tabs>
                <w:tab w:val="center" w:pos="4153"/>
                <w:tab w:val="right" w:pos="8306"/>
              </w:tabs>
              <w:snapToGrid w:val="0"/>
              <w:spacing w:line="240" w:lineRule="auto"/>
              <w:ind w:right="121"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六安市环境保护局</w:t>
            </w:r>
          </w:p>
        </w:tc>
        <w:tc>
          <w:tcPr>
            <w:tcW w:w="724" w:type="pct"/>
            <w:vAlign w:val="center"/>
          </w:tcPr>
          <w:p w14:paraId="64C59EDA">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2012.3</w:t>
            </w:r>
          </w:p>
        </w:tc>
        <w:tc>
          <w:tcPr>
            <w:tcW w:w="1032" w:type="pct"/>
            <w:tcBorders>
              <w:right w:val="single" w:color="000000" w:sz="10" w:space="0"/>
            </w:tcBorders>
            <w:vAlign w:val="center"/>
          </w:tcPr>
          <w:p w14:paraId="0C6C087C">
            <w:pPr>
              <w:tabs>
                <w:tab w:val="center" w:pos="4153"/>
                <w:tab w:val="right" w:pos="8306"/>
              </w:tabs>
              <w:snapToGrid w:val="0"/>
              <w:spacing w:line="240" w:lineRule="auto"/>
              <w:ind w:left="153" w:right="97"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六环评〔2013]29号</w:t>
            </w:r>
          </w:p>
        </w:tc>
      </w:tr>
      <w:tr w14:paraId="0B0E10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2150" w:type="pct"/>
            <w:tcBorders>
              <w:left w:val="single" w:color="000000" w:sz="10" w:space="0"/>
            </w:tcBorders>
            <w:vAlign w:val="center"/>
          </w:tcPr>
          <w:p w14:paraId="2938DC94">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安徽金安矿业有限公司草楼铁矿-410m以下深部开拓采矿工程环境影响报告书</w:t>
            </w:r>
          </w:p>
        </w:tc>
        <w:tc>
          <w:tcPr>
            <w:tcW w:w="1094" w:type="pct"/>
            <w:vAlign w:val="center"/>
          </w:tcPr>
          <w:p w14:paraId="339B5A47">
            <w:pPr>
              <w:tabs>
                <w:tab w:val="center" w:pos="4153"/>
                <w:tab w:val="right" w:pos="8306"/>
              </w:tabs>
              <w:snapToGrid w:val="0"/>
              <w:spacing w:line="240" w:lineRule="auto"/>
              <w:ind w:right="121"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安徽省生态环境厅</w:t>
            </w:r>
          </w:p>
        </w:tc>
        <w:tc>
          <w:tcPr>
            <w:tcW w:w="724" w:type="pct"/>
            <w:vAlign w:val="center"/>
          </w:tcPr>
          <w:p w14:paraId="69E320DE">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2022.8</w:t>
            </w:r>
          </w:p>
        </w:tc>
        <w:tc>
          <w:tcPr>
            <w:tcW w:w="1032" w:type="pct"/>
            <w:tcBorders>
              <w:right w:val="single" w:color="000000" w:sz="10" w:space="0"/>
            </w:tcBorders>
            <w:vAlign w:val="center"/>
          </w:tcPr>
          <w:p w14:paraId="4970E500">
            <w:pPr>
              <w:tabs>
                <w:tab w:val="center" w:pos="4153"/>
                <w:tab w:val="right" w:pos="8306"/>
              </w:tabs>
              <w:snapToGrid w:val="0"/>
              <w:spacing w:line="240" w:lineRule="auto"/>
              <w:ind w:left="153" w:right="97"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皖环函〔2022〕975 号</w:t>
            </w:r>
          </w:p>
        </w:tc>
      </w:tr>
    </w:tbl>
    <w:p w14:paraId="2D7D2D41">
      <w:pPr>
        <w:ind w:firstLine="480"/>
      </w:pPr>
    </w:p>
    <w:p w14:paraId="7F3EBAD4">
      <w:pPr>
        <w:ind w:firstLine="480"/>
      </w:pPr>
    </w:p>
    <w:p w14:paraId="1DC9C9DA">
      <w:pPr>
        <w:ind w:firstLine="480"/>
      </w:pPr>
    </w:p>
    <w:p w14:paraId="01BDBDDF">
      <w:pPr>
        <w:pStyle w:val="4"/>
      </w:pPr>
      <w:r>
        <w:rPr>
          <w:rFonts w:hint="eastAsia"/>
        </w:rPr>
        <w:t>2.2.</w:t>
      </w:r>
      <w:r>
        <w:t xml:space="preserve">1 </w:t>
      </w:r>
      <w:r>
        <w:rPr>
          <w:rFonts w:hint="eastAsia"/>
        </w:rPr>
        <w:t>环境影响评价结论</w:t>
      </w:r>
    </w:p>
    <w:p w14:paraId="7ABF9807">
      <w:pPr>
        <w:ind w:firstLine="480"/>
      </w:pPr>
      <w:bookmarkStart w:id="25" w:name="_Toc85213491"/>
      <w:r>
        <w:rPr>
          <w:rFonts w:hint="eastAsia"/>
        </w:rPr>
        <w:t>（1）</w:t>
      </w:r>
      <w:r>
        <w:t>安徽金安矿业有限公司草楼铁矿300万t/a扩建工程</w:t>
      </w:r>
    </w:p>
    <w:p w14:paraId="23383DA1">
      <w:pPr>
        <w:ind w:firstLine="480"/>
      </w:pPr>
      <w:r>
        <w:t>安徽金安矿业有限公司草楼铁矿300万t/a扩建工程符合国家产业政策，厂址位置符合当地发展规划和环保要求。工程建成后，具有良好的社会、经济和环境效益。 本工程在采取本评价报告所提出的各项环保措施与方案后，可实现大气污染物的稳 定达标排放，生产废水、生活污水收集处理后循环利用不外排，同时对各类固废均 采取了合理可靠的处理处置措施。工程各类污染物的排放总量满足当地环保部门下 达的总量控制指标的要求，工程所造成的大气、水体、噪声环境影响均不超标，对周边环境影响较小。综上所述，本扩建项目从环保角度分析是可行的。</w:t>
      </w:r>
    </w:p>
    <w:p w14:paraId="36767640">
      <w:pPr>
        <w:ind w:firstLine="480"/>
      </w:pPr>
      <w:r>
        <w:rPr>
          <w:rFonts w:hint="eastAsia"/>
        </w:rPr>
        <w:t>（2）安徽金安矿业有限公司草楼铁矿-410m以下深部开拓采矿工程</w:t>
      </w:r>
    </w:p>
    <w:p w14:paraId="69CF1985">
      <w:pPr>
        <w:ind w:firstLine="480"/>
      </w:pPr>
      <w:r>
        <w:rPr>
          <w:rFonts w:hint="eastAsia"/>
        </w:rPr>
        <w:t>安徽金安矿业有限公司草楼铁矿-410m以下深部开拓</w:t>
      </w:r>
      <w:r>
        <w:t>采矿工程的建设符合国家的产业政策，符合当地环境与经济发展规划，符合环保政策。对于综合开发利用铁矿资源、提高我国矿石自给率等具有重要意义。项目建设条件比较好，防治污染的环保措施完善、具体可行，可实现稳定达标排放；根据项目预测评价，本项目建设投产后的环境影响比较小，维持现状水平，对生态环境的影响在可接受范围；污染物排放量满足总量控制指标的要求；无公众对项目建设持反对意见；项目建设符合清洁生产要求。本项目建设具有明显的社会、环境和经济效益。因此，从环境保护角度，本项目建设可行。</w:t>
      </w:r>
    </w:p>
    <w:p w14:paraId="4E40A50B">
      <w:pPr>
        <w:pStyle w:val="3"/>
      </w:pPr>
      <w:r>
        <w:rPr>
          <w:rFonts w:hint="eastAsia"/>
        </w:rPr>
        <w:t>2.</w:t>
      </w:r>
      <w:r>
        <w:t xml:space="preserve">2 </w:t>
      </w:r>
      <w:r>
        <w:rPr>
          <w:rFonts w:hint="eastAsia"/>
        </w:rPr>
        <w:t>环境保护设施</w:t>
      </w:r>
      <w:bookmarkStart w:id="26" w:name="_Hlk52109220"/>
      <w:r>
        <w:rPr>
          <w:rFonts w:hint="eastAsia"/>
        </w:rPr>
        <w:t>竣工验收</w:t>
      </w:r>
      <w:bookmarkEnd w:id="26"/>
      <w:r>
        <w:rPr>
          <w:rFonts w:hint="eastAsia"/>
        </w:rPr>
        <w:t>回顾</w:t>
      </w:r>
      <w:bookmarkEnd w:id="25"/>
    </w:p>
    <w:p w14:paraId="0D6C6CE3">
      <w:pPr>
        <w:ind w:firstLine="480"/>
      </w:pPr>
      <w:r>
        <w:rPr>
          <w:rFonts w:hint="eastAsia"/>
        </w:rPr>
        <w:t>本章节内容引自《</w:t>
      </w:r>
      <w:r>
        <w:t>安徽金安矿业有限公司草楼铁矿300万t/a工程</w:t>
      </w:r>
      <w:r>
        <w:rPr>
          <w:rFonts w:hint="eastAsia"/>
        </w:rPr>
        <w:t>验收调查报告》。安徽金安矿业有限公司草楼铁矿-410m以下深部开拓采矿工程尚未建成运行，目前处于建设期。</w:t>
      </w:r>
    </w:p>
    <w:p w14:paraId="747CA040">
      <w:pPr>
        <w:pStyle w:val="4"/>
      </w:pPr>
      <w:r>
        <w:rPr>
          <w:rFonts w:hint="eastAsia"/>
        </w:rPr>
        <w:t>2.</w:t>
      </w:r>
      <w:r>
        <w:t>2.</w:t>
      </w:r>
      <w:r>
        <w:rPr>
          <w:rFonts w:hint="eastAsia"/>
        </w:rPr>
        <w:t>1</w:t>
      </w:r>
      <w:r>
        <w:t xml:space="preserve"> </w:t>
      </w:r>
      <w:r>
        <w:rPr>
          <w:rFonts w:hint="eastAsia"/>
        </w:rPr>
        <w:t>验收阶段措施落实回顾</w:t>
      </w:r>
    </w:p>
    <w:p w14:paraId="6C1CB14E">
      <w:pPr>
        <w:ind w:firstLine="480"/>
      </w:pPr>
      <w:r>
        <w:rPr>
          <w:rFonts w:hint="eastAsia"/>
        </w:rPr>
        <w:t>通过与环评报告中环境保护措施的对比，项目验收阶段环境保护措施落实情况如下表2.</w:t>
      </w:r>
      <w:r>
        <w:t>2</w:t>
      </w:r>
      <w:r>
        <w:rPr>
          <w:rFonts w:hint="eastAsia"/>
        </w:rPr>
        <w:t>-1。</w:t>
      </w:r>
    </w:p>
    <w:p w14:paraId="23CAF97F">
      <w:pPr>
        <w:ind w:firstLine="480"/>
      </w:pPr>
      <w:r>
        <w:rPr>
          <w:rFonts w:hint="eastAsia"/>
        </w:rPr>
        <w:t>由表2.</w:t>
      </w:r>
      <w:r>
        <w:t>2</w:t>
      </w:r>
      <w:r>
        <w:rPr>
          <w:rFonts w:hint="eastAsia"/>
        </w:rPr>
        <w:t>-1可知，项目环评及批复中要求的环境保护措施均得到了有效落实。</w:t>
      </w:r>
    </w:p>
    <w:p w14:paraId="699DFB9D">
      <w:pPr>
        <w:ind w:firstLine="480"/>
        <w:sectPr>
          <w:pgSz w:w="11906" w:h="16838"/>
          <w:pgMar w:top="1440" w:right="1797" w:bottom="1440" w:left="1797" w:header="851" w:footer="992" w:gutter="0"/>
          <w:cols w:space="425" w:num="1"/>
          <w:docGrid w:type="lines" w:linePitch="312" w:charSpace="0"/>
        </w:sectPr>
      </w:pPr>
    </w:p>
    <w:p w14:paraId="66830A00">
      <w:pPr>
        <w:pStyle w:val="18"/>
        <w:ind w:firstLine="482"/>
        <w:jc w:val="center"/>
        <w:rPr>
          <w:b/>
          <w:bCs/>
          <w:sz w:val="24"/>
          <w:szCs w:val="24"/>
        </w:rPr>
      </w:pPr>
      <w:r>
        <w:rPr>
          <w:rFonts w:hint="eastAsia"/>
          <w:b/>
          <w:bCs/>
          <w:sz w:val="24"/>
          <w:szCs w:val="24"/>
        </w:rPr>
        <w:t>表2.2-1</w:t>
      </w:r>
      <w:r>
        <w:rPr>
          <w:b/>
          <w:bCs/>
          <w:sz w:val="24"/>
          <w:szCs w:val="24"/>
        </w:rPr>
        <w:t xml:space="preserve">  </w:t>
      </w:r>
      <w:r>
        <w:rPr>
          <w:rFonts w:hint="eastAsia"/>
          <w:b/>
          <w:bCs/>
          <w:sz w:val="24"/>
          <w:szCs w:val="24"/>
        </w:rPr>
        <w:t>环境保护措施验收阶段落实情况表</w:t>
      </w:r>
    </w:p>
    <w:tbl>
      <w:tblPr>
        <w:tblStyle w:val="139"/>
        <w:tblW w:w="1422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6"/>
        <w:gridCol w:w="1337"/>
        <w:gridCol w:w="6903"/>
        <w:gridCol w:w="5307"/>
      </w:tblGrid>
      <w:tr w14:paraId="12E659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3" w:hRule="atLeast"/>
          <w:jc w:val="center"/>
        </w:trPr>
        <w:tc>
          <w:tcPr>
            <w:tcW w:w="676" w:type="dxa"/>
            <w:tcBorders>
              <w:left w:val="single" w:color="000000" w:sz="10" w:space="0"/>
            </w:tcBorders>
            <w:vAlign w:val="center"/>
          </w:tcPr>
          <w:p w14:paraId="4F6D04B3">
            <w:pPr>
              <w:widowControl/>
              <w:kinsoku w:val="0"/>
              <w:autoSpaceDE w:val="0"/>
              <w:autoSpaceDN w:val="0"/>
              <w:adjustRightInd w:val="0"/>
              <w:snapToGrid w:val="0"/>
              <w:spacing w:before="97" w:line="228" w:lineRule="auto"/>
              <w:ind w:firstLine="0" w:firstLineChars="0"/>
              <w:jc w:val="center"/>
              <w:textAlignment w:val="baseline"/>
              <w:rPr>
                <w:rFonts w:hint="eastAsia" w:ascii="宋体" w:hAnsi="宋体" w:cs="宋体"/>
                <w:snapToGrid w:val="0"/>
                <w:color w:val="auto"/>
                <w:kern w:val="0"/>
                <w:sz w:val="20"/>
                <w:szCs w:val="20"/>
              </w:rPr>
            </w:pPr>
            <w:r>
              <w:rPr>
                <w:rFonts w:ascii="宋体" w:hAnsi="宋体" w:cs="宋体"/>
                <w:snapToGrid w:val="0"/>
                <w:color w:val="auto"/>
                <w:spacing w:val="4"/>
                <w:kern w:val="0"/>
                <w:sz w:val="20"/>
                <w:szCs w:val="20"/>
                <w14:textOutline w14:w="3797" w14:cap="sq" w14:cmpd="sng" w14:algn="ctr">
                  <w14:solidFill>
                    <w14:srgbClr w14:val="000000"/>
                  </w14:solidFill>
                  <w14:prstDash w14:val="solid"/>
                  <w14:bevel/>
                </w14:textOutline>
              </w:rPr>
              <w:t>项目</w:t>
            </w:r>
          </w:p>
        </w:tc>
        <w:tc>
          <w:tcPr>
            <w:tcW w:w="1337" w:type="dxa"/>
            <w:vAlign w:val="center"/>
          </w:tcPr>
          <w:p w14:paraId="245A2477">
            <w:pPr>
              <w:widowControl/>
              <w:kinsoku w:val="0"/>
              <w:autoSpaceDE w:val="0"/>
              <w:autoSpaceDN w:val="0"/>
              <w:adjustRightInd w:val="0"/>
              <w:snapToGrid w:val="0"/>
              <w:spacing w:before="97" w:line="228" w:lineRule="auto"/>
              <w:ind w:firstLine="0" w:firstLineChars="0"/>
              <w:jc w:val="center"/>
              <w:textAlignment w:val="baseline"/>
              <w:rPr>
                <w:rFonts w:hint="eastAsia" w:ascii="宋体" w:hAnsi="宋体" w:cs="宋体"/>
                <w:snapToGrid w:val="0"/>
                <w:color w:val="auto"/>
                <w:spacing w:val="4"/>
                <w:kern w:val="0"/>
                <w:sz w:val="20"/>
                <w:szCs w:val="20"/>
                <w14:textOutline w14:w="3797" w14:cap="sq" w14:cmpd="sng" w14:algn="ctr">
                  <w14:solidFill>
                    <w14:srgbClr w14:val="000000"/>
                  </w14:solidFill>
                  <w14:prstDash w14:val="solid"/>
                  <w14:bevel/>
                </w14:textOutline>
              </w:rPr>
            </w:pPr>
            <w:r>
              <w:rPr>
                <w:rFonts w:ascii="宋体" w:hAnsi="宋体" w:cs="宋体"/>
                <w:snapToGrid w:val="0"/>
                <w:color w:val="auto"/>
                <w:spacing w:val="4"/>
                <w:kern w:val="0"/>
                <w:sz w:val="20"/>
                <w:szCs w:val="20"/>
                <w14:textOutline w14:w="3797" w14:cap="sq" w14:cmpd="sng" w14:algn="ctr">
                  <w14:solidFill>
                    <w14:srgbClr w14:val="000000"/>
                  </w14:solidFill>
                  <w14:prstDash w14:val="solid"/>
                  <w14:bevel/>
                </w14:textOutline>
              </w:rPr>
              <w:t>要素</w:t>
            </w:r>
          </w:p>
        </w:tc>
        <w:tc>
          <w:tcPr>
            <w:tcW w:w="6903" w:type="dxa"/>
            <w:vAlign w:val="center"/>
          </w:tcPr>
          <w:p w14:paraId="3135B01D">
            <w:pPr>
              <w:widowControl/>
              <w:kinsoku w:val="0"/>
              <w:autoSpaceDE w:val="0"/>
              <w:autoSpaceDN w:val="0"/>
              <w:adjustRightInd w:val="0"/>
              <w:snapToGrid w:val="0"/>
              <w:spacing w:before="97" w:line="226" w:lineRule="auto"/>
              <w:ind w:firstLine="0" w:firstLineChars="0"/>
              <w:jc w:val="center"/>
              <w:textAlignment w:val="baseline"/>
              <w:rPr>
                <w:rFonts w:hint="eastAsia" w:ascii="宋体" w:hAnsi="宋体" w:cs="宋体"/>
                <w:snapToGrid w:val="0"/>
                <w:color w:val="auto"/>
                <w:spacing w:val="4"/>
                <w:kern w:val="0"/>
                <w:sz w:val="20"/>
                <w:szCs w:val="20"/>
                <w14:textOutline w14:w="3797" w14:cap="sq" w14:cmpd="sng" w14:algn="ctr">
                  <w14:solidFill>
                    <w14:srgbClr w14:val="000000"/>
                  </w14:solidFill>
                  <w14:prstDash w14:val="solid"/>
                  <w14:bevel/>
                </w14:textOutline>
              </w:rPr>
            </w:pPr>
            <w:r>
              <w:rPr>
                <w:rFonts w:ascii="宋体" w:hAnsi="宋体" w:cs="宋体"/>
                <w:snapToGrid w:val="0"/>
                <w:color w:val="auto"/>
                <w:spacing w:val="4"/>
                <w:kern w:val="0"/>
                <w:sz w:val="20"/>
                <w:szCs w:val="20"/>
                <w14:textOutline w14:w="3797" w14:cap="sq" w14:cmpd="sng" w14:algn="ctr">
                  <w14:solidFill>
                    <w14:srgbClr w14:val="000000"/>
                  </w14:solidFill>
                  <w14:prstDash w14:val="solid"/>
                  <w14:bevel/>
                </w14:textOutline>
              </w:rPr>
              <w:t>环评报告书及批复要求措施</w:t>
            </w:r>
          </w:p>
        </w:tc>
        <w:tc>
          <w:tcPr>
            <w:tcW w:w="5307" w:type="dxa"/>
            <w:tcBorders>
              <w:right w:val="single" w:color="000000" w:sz="10" w:space="0"/>
            </w:tcBorders>
            <w:vAlign w:val="center"/>
          </w:tcPr>
          <w:p w14:paraId="73B21BED">
            <w:pPr>
              <w:widowControl/>
              <w:kinsoku w:val="0"/>
              <w:autoSpaceDE w:val="0"/>
              <w:autoSpaceDN w:val="0"/>
              <w:adjustRightInd w:val="0"/>
              <w:snapToGrid w:val="0"/>
              <w:spacing w:before="97" w:line="228" w:lineRule="auto"/>
              <w:ind w:firstLine="0" w:firstLineChars="0"/>
              <w:jc w:val="center"/>
              <w:textAlignment w:val="baseline"/>
              <w:rPr>
                <w:rFonts w:hint="eastAsia" w:ascii="宋体" w:hAnsi="宋体" w:cs="宋体"/>
                <w:snapToGrid w:val="0"/>
                <w:color w:val="auto"/>
                <w:spacing w:val="4"/>
                <w:kern w:val="0"/>
                <w:sz w:val="20"/>
                <w:szCs w:val="20"/>
                <w14:textOutline w14:w="3797" w14:cap="sq" w14:cmpd="sng" w14:algn="ctr">
                  <w14:solidFill>
                    <w14:srgbClr w14:val="000000"/>
                  </w14:solidFill>
                  <w14:prstDash w14:val="solid"/>
                  <w14:bevel/>
                </w14:textOutline>
              </w:rPr>
            </w:pPr>
            <w:r>
              <w:rPr>
                <w:rFonts w:ascii="宋体" w:hAnsi="宋体" w:cs="宋体"/>
                <w:snapToGrid w:val="0"/>
                <w:color w:val="auto"/>
                <w:spacing w:val="4"/>
                <w:kern w:val="0"/>
                <w:sz w:val="20"/>
                <w:szCs w:val="20"/>
                <w14:textOutline w14:w="3797" w14:cap="sq" w14:cmpd="sng" w14:algn="ctr">
                  <w14:solidFill>
                    <w14:srgbClr w14:val="000000"/>
                  </w14:solidFill>
                  <w14:prstDash w14:val="solid"/>
                  <w14:bevel/>
                </w14:textOutline>
              </w:rPr>
              <w:t>落实情况（验收阶段）</w:t>
            </w:r>
          </w:p>
        </w:tc>
      </w:tr>
      <w:tr w14:paraId="0EE10C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3" w:hRule="atLeast"/>
          <w:jc w:val="center"/>
        </w:trPr>
        <w:tc>
          <w:tcPr>
            <w:tcW w:w="676" w:type="dxa"/>
            <w:vMerge w:val="restart"/>
            <w:tcBorders>
              <w:left w:val="single" w:color="000000" w:sz="10" w:space="0"/>
              <w:bottom w:val="nil"/>
            </w:tcBorders>
            <w:vAlign w:val="center"/>
          </w:tcPr>
          <w:p w14:paraId="25FF2D4E">
            <w:pPr>
              <w:tabs>
                <w:tab w:val="center" w:pos="4153"/>
                <w:tab w:val="right" w:pos="8306"/>
              </w:tabs>
              <w:snapToGrid w:val="0"/>
              <w:spacing w:line="240" w:lineRule="auto"/>
              <w:ind w:firstLine="0" w:firstLineChars="0"/>
              <w:jc w:val="center"/>
              <w:rPr>
                <w:rFonts w:hint="eastAsia" w:ascii="宋体" w:hAnsi="宋体" w:cs="宋体"/>
                <w:snapToGrid w:val="0"/>
                <w:color w:val="auto"/>
                <w:kern w:val="0"/>
                <w:sz w:val="20"/>
                <w:szCs w:val="20"/>
              </w:rPr>
            </w:pPr>
            <w:r>
              <w:rPr>
                <w:rFonts w:cstheme="minorBidi"/>
                <w:snapToGrid w:val="0"/>
                <w:color w:val="auto"/>
                <w:kern w:val="2"/>
                <w:sz w:val="21"/>
                <w:szCs w:val="21"/>
              </w:rPr>
              <w:t>废水</w:t>
            </w:r>
          </w:p>
        </w:tc>
        <w:tc>
          <w:tcPr>
            <w:tcW w:w="1337" w:type="dxa"/>
            <w:vAlign w:val="center"/>
          </w:tcPr>
          <w:p w14:paraId="62CB158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井下排水</w:t>
            </w:r>
          </w:p>
        </w:tc>
        <w:tc>
          <w:tcPr>
            <w:tcW w:w="6903" w:type="dxa"/>
            <w:vAlign w:val="center"/>
          </w:tcPr>
          <w:p w14:paraId="2404D074">
            <w:pPr>
              <w:tabs>
                <w:tab w:val="center" w:pos="4153"/>
                <w:tab w:val="right" w:pos="8306"/>
              </w:tabs>
              <w:snapToGrid w:val="0"/>
              <w:spacing w:line="240" w:lineRule="auto"/>
              <w:ind w:left="102" w:right="103" w:firstLine="452" w:firstLineChars="0"/>
              <w:rPr>
                <w:rFonts w:cstheme="minorBidi"/>
                <w:snapToGrid w:val="0"/>
                <w:color w:val="auto"/>
                <w:kern w:val="2"/>
                <w:sz w:val="21"/>
                <w:szCs w:val="21"/>
              </w:rPr>
            </w:pPr>
            <w:r>
              <w:rPr>
                <w:rFonts w:cstheme="minorBidi"/>
                <w:snapToGrid w:val="0"/>
                <w:color w:val="auto"/>
                <w:kern w:val="2"/>
                <w:sz w:val="21"/>
                <w:szCs w:val="21"/>
              </w:rPr>
              <w:t>上部-170m、-230m阶段的地下涌水下泄到-290m阶段水仓，集中由水泵排至地表。-350m、-410m阶段开采时，需在各自的井底车场附近设置排水设施，将地下涌水排至-290m水仓，再由该阶段泵房中的水泵接力排至地表 进入万吨水池，正常全部作为生产供水水源，不外排。</w:t>
            </w:r>
          </w:p>
        </w:tc>
        <w:tc>
          <w:tcPr>
            <w:tcW w:w="5307" w:type="dxa"/>
            <w:tcBorders>
              <w:right w:val="single" w:color="000000" w:sz="10" w:space="0"/>
            </w:tcBorders>
            <w:vAlign w:val="center"/>
          </w:tcPr>
          <w:p w14:paraId="67BDBCC4">
            <w:pPr>
              <w:tabs>
                <w:tab w:val="center" w:pos="4153"/>
                <w:tab w:val="right" w:pos="8306"/>
              </w:tabs>
              <w:snapToGrid w:val="0"/>
              <w:spacing w:line="240" w:lineRule="auto"/>
              <w:ind w:firstLine="400" w:firstLineChars="0"/>
              <w:jc w:val="center"/>
              <w:rPr>
                <w:rFonts w:cstheme="minorBidi"/>
                <w:snapToGrid w:val="0"/>
                <w:color w:val="auto"/>
                <w:kern w:val="2"/>
                <w:sz w:val="21"/>
                <w:szCs w:val="21"/>
              </w:rPr>
            </w:pPr>
            <w:r>
              <w:rPr>
                <w:rFonts w:cstheme="minorBidi"/>
                <w:snapToGrid w:val="0"/>
                <w:color w:val="auto"/>
                <w:kern w:val="2"/>
                <w:sz w:val="21"/>
                <w:szCs w:val="21"/>
              </w:rPr>
              <w:t>已落实。</w:t>
            </w:r>
          </w:p>
          <w:p w14:paraId="74FFA81B">
            <w:pPr>
              <w:tabs>
                <w:tab w:val="center" w:pos="4153"/>
                <w:tab w:val="right" w:pos="8306"/>
              </w:tabs>
              <w:snapToGrid w:val="0"/>
              <w:spacing w:line="240" w:lineRule="auto"/>
              <w:ind w:left="120" w:right="96" w:firstLine="432" w:firstLineChars="0"/>
              <w:rPr>
                <w:rFonts w:cstheme="minorBidi"/>
                <w:snapToGrid w:val="0"/>
                <w:color w:val="auto"/>
                <w:kern w:val="2"/>
                <w:sz w:val="21"/>
                <w:szCs w:val="21"/>
              </w:rPr>
            </w:pPr>
            <w:r>
              <w:rPr>
                <w:rFonts w:cstheme="minorBidi"/>
                <w:snapToGrid w:val="0"/>
                <w:color w:val="auto"/>
                <w:kern w:val="2"/>
                <w:sz w:val="21"/>
                <w:szCs w:val="21"/>
              </w:rPr>
              <w:t>井底车场附近设置了排水设施，井下排水均汇集至-290m 阶段水仓，再由该阶段泵房中的水泵接力排至地表万吨水池，全部供选矿厂生产用水。</w:t>
            </w:r>
          </w:p>
        </w:tc>
      </w:tr>
      <w:tr w14:paraId="341BA2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3" w:hRule="atLeast"/>
          <w:jc w:val="center"/>
        </w:trPr>
        <w:tc>
          <w:tcPr>
            <w:tcW w:w="676" w:type="dxa"/>
            <w:vMerge w:val="continue"/>
            <w:tcBorders>
              <w:top w:val="nil"/>
              <w:left w:val="single" w:color="000000" w:sz="10" w:space="0"/>
              <w:bottom w:val="nil"/>
            </w:tcBorders>
            <w:vAlign w:val="center"/>
          </w:tcPr>
          <w:p w14:paraId="6A9BB67D">
            <w:pPr>
              <w:widowControl/>
              <w:kinsoku w:val="0"/>
              <w:autoSpaceDE w:val="0"/>
              <w:autoSpaceDN w:val="0"/>
              <w:adjustRightInd w:val="0"/>
              <w:snapToGrid w:val="0"/>
              <w:spacing w:line="240" w:lineRule="auto"/>
              <w:ind w:firstLine="480" w:firstLineChars="0"/>
              <w:jc w:val="left"/>
              <w:textAlignment w:val="baseline"/>
              <w:rPr>
                <w:rFonts w:ascii="Arial" w:hAnsi="Arial" w:cs="Arial" w:eastAsiaTheme="minorEastAsia"/>
                <w:snapToGrid w:val="0"/>
                <w:color w:val="auto"/>
                <w:kern w:val="0"/>
                <w:sz w:val="21"/>
                <w:szCs w:val="21"/>
              </w:rPr>
            </w:pPr>
          </w:p>
        </w:tc>
        <w:tc>
          <w:tcPr>
            <w:tcW w:w="1337" w:type="dxa"/>
            <w:vAlign w:val="center"/>
          </w:tcPr>
          <w:p w14:paraId="1CEDE62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选矿系统水</w:t>
            </w:r>
          </w:p>
        </w:tc>
        <w:tc>
          <w:tcPr>
            <w:tcW w:w="6903" w:type="dxa"/>
            <w:vAlign w:val="center"/>
          </w:tcPr>
          <w:p w14:paraId="6DA324E1">
            <w:pPr>
              <w:tabs>
                <w:tab w:val="center" w:pos="4153"/>
                <w:tab w:val="right" w:pos="8306"/>
              </w:tabs>
              <w:snapToGrid w:val="0"/>
              <w:spacing w:line="240" w:lineRule="auto"/>
              <w:ind w:left="107" w:right="32" w:firstLine="420" w:firstLineChars="0"/>
              <w:rPr>
                <w:rFonts w:cstheme="minorBidi"/>
                <w:snapToGrid w:val="0"/>
                <w:color w:val="auto"/>
                <w:kern w:val="2"/>
                <w:sz w:val="21"/>
                <w:szCs w:val="21"/>
              </w:rPr>
            </w:pPr>
            <w:r>
              <w:rPr>
                <w:rFonts w:cstheme="minorBidi"/>
                <w:snapToGrid w:val="0"/>
                <w:color w:val="auto"/>
                <w:kern w:val="2"/>
                <w:sz w:val="21"/>
                <w:szCs w:val="21"/>
              </w:rPr>
              <w:t>净循环水系统：压气站等设备冷却水为净废水，收集冷却后直接循环利用。 除尘、冲洗地面产生的废水排往尾矿库坝外回水池，和尾矿库溢流澄清水一起由回水泵站打回选矿厂万吨循环水池重复利用，正常工况不外排。</w:t>
            </w:r>
          </w:p>
        </w:tc>
        <w:tc>
          <w:tcPr>
            <w:tcW w:w="5307" w:type="dxa"/>
            <w:tcBorders>
              <w:right w:val="single" w:color="000000" w:sz="10" w:space="0"/>
            </w:tcBorders>
            <w:vAlign w:val="center"/>
          </w:tcPr>
          <w:p w14:paraId="26CACD37">
            <w:pPr>
              <w:tabs>
                <w:tab w:val="center" w:pos="4153"/>
                <w:tab w:val="right" w:pos="8306"/>
              </w:tabs>
              <w:snapToGrid w:val="0"/>
              <w:spacing w:line="240" w:lineRule="auto"/>
              <w:ind w:firstLine="400" w:firstLineChars="0"/>
              <w:jc w:val="center"/>
              <w:rPr>
                <w:rFonts w:cstheme="minorBidi"/>
                <w:snapToGrid w:val="0"/>
                <w:color w:val="auto"/>
                <w:kern w:val="2"/>
                <w:sz w:val="21"/>
                <w:szCs w:val="21"/>
              </w:rPr>
            </w:pPr>
            <w:r>
              <w:rPr>
                <w:rFonts w:cstheme="minorBidi"/>
                <w:snapToGrid w:val="0"/>
                <w:color w:val="auto"/>
                <w:kern w:val="2"/>
                <w:sz w:val="21"/>
                <w:szCs w:val="21"/>
              </w:rPr>
              <w:t>已落实。</w:t>
            </w:r>
          </w:p>
          <w:p w14:paraId="4D2F8C06">
            <w:pPr>
              <w:tabs>
                <w:tab w:val="center" w:pos="4153"/>
                <w:tab w:val="right" w:pos="8306"/>
              </w:tabs>
              <w:snapToGrid w:val="0"/>
              <w:spacing w:line="240" w:lineRule="auto"/>
              <w:ind w:left="119" w:right="96" w:firstLine="448" w:firstLineChars="0"/>
              <w:rPr>
                <w:rFonts w:cstheme="minorBidi"/>
                <w:snapToGrid w:val="0"/>
                <w:color w:val="auto"/>
                <w:kern w:val="2"/>
                <w:sz w:val="21"/>
                <w:szCs w:val="21"/>
              </w:rPr>
            </w:pPr>
            <w:r>
              <w:rPr>
                <w:rFonts w:cstheme="minorBidi"/>
                <w:snapToGrid w:val="0"/>
                <w:color w:val="auto"/>
                <w:kern w:val="2"/>
                <w:sz w:val="21"/>
                <w:szCs w:val="21"/>
              </w:rPr>
              <w:t>压气站等设备冷却水收集冷却后直接循环利用；除尘、 冲洗地面产生的废水排往尾矿库坝外回水池， 由回水泵站打回选矿厂万吨循环水池重复利用。</w:t>
            </w:r>
          </w:p>
        </w:tc>
      </w:tr>
      <w:tr w14:paraId="7976C6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4" w:hRule="atLeast"/>
          <w:jc w:val="center"/>
        </w:trPr>
        <w:tc>
          <w:tcPr>
            <w:tcW w:w="676" w:type="dxa"/>
            <w:vMerge w:val="continue"/>
            <w:tcBorders>
              <w:top w:val="nil"/>
              <w:left w:val="single" w:color="000000" w:sz="10" w:space="0"/>
              <w:bottom w:val="nil"/>
            </w:tcBorders>
            <w:vAlign w:val="center"/>
          </w:tcPr>
          <w:p w14:paraId="232BD2C2">
            <w:pPr>
              <w:widowControl/>
              <w:kinsoku w:val="0"/>
              <w:autoSpaceDE w:val="0"/>
              <w:autoSpaceDN w:val="0"/>
              <w:adjustRightInd w:val="0"/>
              <w:snapToGrid w:val="0"/>
              <w:spacing w:line="240" w:lineRule="auto"/>
              <w:ind w:firstLine="480" w:firstLineChars="0"/>
              <w:jc w:val="left"/>
              <w:textAlignment w:val="baseline"/>
              <w:rPr>
                <w:rFonts w:ascii="Arial" w:hAnsi="Arial" w:cs="Arial" w:eastAsiaTheme="minorEastAsia"/>
                <w:snapToGrid w:val="0"/>
                <w:color w:val="auto"/>
                <w:kern w:val="0"/>
                <w:sz w:val="21"/>
                <w:szCs w:val="21"/>
              </w:rPr>
            </w:pPr>
          </w:p>
        </w:tc>
        <w:tc>
          <w:tcPr>
            <w:tcW w:w="1337" w:type="dxa"/>
            <w:vAlign w:val="center"/>
          </w:tcPr>
          <w:p w14:paraId="5278308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充填系统水</w:t>
            </w:r>
          </w:p>
        </w:tc>
        <w:tc>
          <w:tcPr>
            <w:tcW w:w="6903" w:type="dxa"/>
            <w:vAlign w:val="center"/>
          </w:tcPr>
          <w:p w14:paraId="67EA8568">
            <w:pPr>
              <w:tabs>
                <w:tab w:val="center" w:pos="4153"/>
                <w:tab w:val="right" w:pos="8306"/>
              </w:tabs>
              <w:snapToGrid w:val="0"/>
              <w:spacing w:line="240" w:lineRule="auto"/>
              <w:ind w:left="104" w:right="103" w:firstLine="464" w:firstLineChars="0"/>
              <w:rPr>
                <w:rFonts w:cstheme="minorBidi"/>
                <w:snapToGrid w:val="0"/>
                <w:color w:val="auto"/>
                <w:kern w:val="2"/>
                <w:sz w:val="21"/>
                <w:szCs w:val="21"/>
              </w:rPr>
            </w:pPr>
            <w:r>
              <w:rPr>
                <w:rFonts w:cstheme="minorBidi"/>
                <w:snapToGrid w:val="0"/>
                <w:color w:val="auto"/>
                <w:kern w:val="2"/>
                <w:sz w:val="21"/>
                <w:szCs w:val="21"/>
              </w:rPr>
              <w:t>北区充填站目前是经过尾矿库回用于万吨水池，扩建项目增加一个沉淀池，北区充填站废水沉淀后直接回用于万吨水池。</w:t>
            </w:r>
          </w:p>
          <w:p w14:paraId="2B0CC2DF">
            <w:pPr>
              <w:tabs>
                <w:tab w:val="center" w:pos="4153"/>
                <w:tab w:val="right" w:pos="8306"/>
              </w:tabs>
              <w:snapToGrid w:val="0"/>
              <w:spacing w:line="240" w:lineRule="auto"/>
              <w:ind w:left="107" w:right="103" w:firstLine="436" w:firstLineChars="0"/>
              <w:rPr>
                <w:rFonts w:cstheme="minorBidi"/>
                <w:snapToGrid w:val="0"/>
                <w:color w:val="auto"/>
                <w:kern w:val="2"/>
                <w:sz w:val="21"/>
                <w:szCs w:val="21"/>
              </w:rPr>
            </w:pPr>
            <w:r>
              <w:rPr>
                <w:rFonts w:cstheme="minorBidi"/>
                <w:snapToGrid w:val="0"/>
                <w:color w:val="auto"/>
                <w:kern w:val="2"/>
                <w:sz w:val="21"/>
                <w:szCs w:val="21"/>
              </w:rPr>
              <w:t>南区充填站尾矿浆在立式砂仓沉淀出的水，经站内水处理设施处理后在沉淀池沉淀后用于万吨水池。</w:t>
            </w:r>
          </w:p>
        </w:tc>
        <w:tc>
          <w:tcPr>
            <w:tcW w:w="5307" w:type="dxa"/>
            <w:tcBorders>
              <w:right w:val="single" w:color="000000" w:sz="10" w:space="0"/>
            </w:tcBorders>
            <w:vAlign w:val="center"/>
          </w:tcPr>
          <w:p w14:paraId="4AEE956F">
            <w:pPr>
              <w:tabs>
                <w:tab w:val="center" w:pos="4153"/>
                <w:tab w:val="right" w:pos="8306"/>
              </w:tabs>
              <w:snapToGrid w:val="0"/>
              <w:spacing w:line="240" w:lineRule="auto"/>
              <w:ind w:firstLine="400" w:firstLineChars="0"/>
              <w:jc w:val="center"/>
              <w:rPr>
                <w:rFonts w:cstheme="minorBidi"/>
                <w:snapToGrid w:val="0"/>
                <w:color w:val="auto"/>
                <w:kern w:val="2"/>
                <w:sz w:val="21"/>
                <w:szCs w:val="21"/>
              </w:rPr>
            </w:pPr>
            <w:r>
              <w:rPr>
                <w:rFonts w:cstheme="minorBidi"/>
                <w:snapToGrid w:val="0"/>
                <w:color w:val="auto"/>
                <w:kern w:val="2"/>
                <w:sz w:val="21"/>
                <w:szCs w:val="21"/>
              </w:rPr>
              <w:t>已落实。</w:t>
            </w:r>
          </w:p>
          <w:p w14:paraId="3DE79CCA">
            <w:pPr>
              <w:tabs>
                <w:tab w:val="center" w:pos="4153"/>
                <w:tab w:val="right" w:pos="8306"/>
              </w:tabs>
              <w:snapToGrid w:val="0"/>
              <w:spacing w:line="240" w:lineRule="auto"/>
              <w:ind w:firstLine="428" w:firstLineChars="0"/>
              <w:rPr>
                <w:rFonts w:cstheme="minorBidi"/>
                <w:snapToGrid w:val="0"/>
                <w:color w:val="auto"/>
                <w:kern w:val="2"/>
                <w:sz w:val="21"/>
                <w:szCs w:val="21"/>
              </w:rPr>
            </w:pPr>
            <w:r>
              <w:rPr>
                <w:rFonts w:cstheme="minorBidi"/>
                <w:snapToGrid w:val="0"/>
                <w:color w:val="auto"/>
                <w:kern w:val="2"/>
                <w:sz w:val="21"/>
                <w:szCs w:val="21"/>
              </w:rPr>
              <w:t>北区、南区充填站废水经沉淀后排入万吨水池循环利用。</w:t>
            </w:r>
          </w:p>
        </w:tc>
      </w:tr>
      <w:tr w14:paraId="0FB22F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3" w:hRule="atLeast"/>
          <w:jc w:val="center"/>
        </w:trPr>
        <w:tc>
          <w:tcPr>
            <w:tcW w:w="676" w:type="dxa"/>
            <w:vMerge w:val="continue"/>
            <w:tcBorders>
              <w:top w:val="nil"/>
              <w:left w:val="single" w:color="000000" w:sz="10" w:space="0"/>
              <w:bottom w:val="nil"/>
            </w:tcBorders>
            <w:vAlign w:val="center"/>
          </w:tcPr>
          <w:p w14:paraId="5CACE365">
            <w:pPr>
              <w:widowControl/>
              <w:kinsoku w:val="0"/>
              <w:autoSpaceDE w:val="0"/>
              <w:autoSpaceDN w:val="0"/>
              <w:adjustRightInd w:val="0"/>
              <w:snapToGrid w:val="0"/>
              <w:spacing w:line="240" w:lineRule="auto"/>
              <w:ind w:firstLine="480" w:firstLineChars="0"/>
              <w:jc w:val="left"/>
              <w:textAlignment w:val="baseline"/>
              <w:rPr>
                <w:rFonts w:ascii="Arial" w:hAnsi="Arial" w:cs="Arial" w:eastAsiaTheme="minorEastAsia"/>
                <w:snapToGrid w:val="0"/>
                <w:color w:val="auto"/>
                <w:kern w:val="0"/>
                <w:sz w:val="21"/>
                <w:szCs w:val="21"/>
              </w:rPr>
            </w:pPr>
          </w:p>
        </w:tc>
        <w:tc>
          <w:tcPr>
            <w:tcW w:w="1337" w:type="dxa"/>
            <w:vAlign w:val="center"/>
          </w:tcPr>
          <w:p w14:paraId="63C34F24">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尾矿溢流水</w:t>
            </w:r>
          </w:p>
        </w:tc>
        <w:tc>
          <w:tcPr>
            <w:tcW w:w="6903" w:type="dxa"/>
            <w:vAlign w:val="center"/>
          </w:tcPr>
          <w:p w14:paraId="56BFFE81">
            <w:pPr>
              <w:tabs>
                <w:tab w:val="center" w:pos="4153"/>
                <w:tab w:val="right" w:pos="8306"/>
              </w:tabs>
              <w:snapToGrid w:val="0"/>
              <w:spacing w:line="240" w:lineRule="auto"/>
              <w:ind w:left="104" w:right="100" w:firstLine="436" w:firstLineChars="0"/>
              <w:rPr>
                <w:rFonts w:cstheme="minorBidi"/>
                <w:snapToGrid w:val="0"/>
                <w:color w:val="auto"/>
                <w:kern w:val="2"/>
                <w:sz w:val="21"/>
                <w:szCs w:val="21"/>
              </w:rPr>
            </w:pPr>
            <w:r>
              <w:rPr>
                <w:rFonts w:cstheme="minorBidi"/>
                <w:snapToGrid w:val="0"/>
                <w:color w:val="auto"/>
                <w:kern w:val="2"/>
                <w:sz w:val="21"/>
                <w:szCs w:val="21"/>
              </w:rPr>
              <w:t>尾矿库溢流水主要采取的措施：在排洪隧洞的出口设回水池收集尾矿库溢流水；尾矿库溢流水收集至回水池后用泵打回到选厂万吨水池，用于选矿生产，不外排。</w:t>
            </w:r>
          </w:p>
        </w:tc>
        <w:tc>
          <w:tcPr>
            <w:tcW w:w="5307" w:type="dxa"/>
            <w:tcBorders>
              <w:right w:val="single" w:color="000000" w:sz="10" w:space="0"/>
            </w:tcBorders>
            <w:vAlign w:val="center"/>
          </w:tcPr>
          <w:p w14:paraId="1E938052">
            <w:pPr>
              <w:tabs>
                <w:tab w:val="center" w:pos="4153"/>
                <w:tab w:val="right" w:pos="8306"/>
              </w:tabs>
              <w:snapToGrid w:val="0"/>
              <w:spacing w:line="240" w:lineRule="auto"/>
              <w:ind w:firstLine="400" w:firstLineChars="0"/>
              <w:jc w:val="center"/>
              <w:rPr>
                <w:rFonts w:cstheme="minorBidi"/>
                <w:snapToGrid w:val="0"/>
                <w:color w:val="auto"/>
                <w:kern w:val="2"/>
                <w:sz w:val="21"/>
                <w:szCs w:val="21"/>
              </w:rPr>
            </w:pPr>
            <w:r>
              <w:rPr>
                <w:rFonts w:cstheme="minorBidi"/>
                <w:snapToGrid w:val="0"/>
                <w:color w:val="auto"/>
                <w:kern w:val="2"/>
                <w:sz w:val="21"/>
                <w:szCs w:val="21"/>
              </w:rPr>
              <w:t>已落实。</w:t>
            </w:r>
          </w:p>
          <w:p w14:paraId="1BAE7B05">
            <w:pPr>
              <w:tabs>
                <w:tab w:val="center" w:pos="4153"/>
                <w:tab w:val="right" w:pos="8306"/>
              </w:tabs>
              <w:snapToGrid w:val="0"/>
              <w:spacing w:line="240" w:lineRule="auto"/>
              <w:ind w:left="118" w:right="96" w:firstLine="448" w:firstLineChars="0"/>
              <w:rPr>
                <w:rFonts w:cstheme="minorBidi"/>
                <w:snapToGrid w:val="0"/>
                <w:color w:val="auto"/>
                <w:kern w:val="2"/>
                <w:sz w:val="21"/>
                <w:szCs w:val="21"/>
              </w:rPr>
            </w:pPr>
            <w:r>
              <w:rPr>
                <w:rFonts w:cstheme="minorBidi"/>
                <w:snapToGrid w:val="0"/>
                <w:color w:val="auto"/>
                <w:kern w:val="2"/>
                <w:sz w:val="21"/>
                <w:szCs w:val="21"/>
              </w:rPr>
              <w:t>在排洪隧洞的出口设回水池来收集尾矿库溢流水；尾矿 库溢流水收集至回水池后用泵打回到选厂万吨水池循环利用。</w:t>
            </w:r>
          </w:p>
        </w:tc>
      </w:tr>
      <w:tr w14:paraId="611A12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31" w:hRule="atLeast"/>
          <w:jc w:val="center"/>
        </w:trPr>
        <w:tc>
          <w:tcPr>
            <w:tcW w:w="676" w:type="dxa"/>
            <w:vMerge w:val="continue"/>
            <w:tcBorders>
              <w:top w:val="nil"/>
              <w:left w:val="single" w:color="000000" w:sz="10" w:space="0"/>
            </w:tcBorders>
            <w:vAlign w:val="center"/>
          </w:tcPr>
          <w:p w14:paraId="41CBB28B">
            <w:pPr>
              <w:widowControl/>
              <w:kinsoku w:val="0"/>
              <w:autoSpaceDE w:val="0"/>
              <w:autoSpaceDN w:val="0"/>
              <w:adjustRightInd w:val="0"/>
              <w:snapToGrid w:val="0"/>
              <w:spacing w:line="240" w:lineRule="auto"/>
              <w:ind w:firstLine="480" w:firstLineChars="0"/>
              <w:jc w:val="left"/>
              <w:textAlignment w:val="baseline"/>
              <w:rPr>
                <w:rFonts w:ascii="Arial" w:hAnsi="Arial" w:cs="Arial" w:eastAsiaTheme="minorEastAsia"/>
                <w:snapToGrid w:val="0"/>
                <w:color w:val="auto"/>
                <w:kern w:val="0"/>
                <w:sz w:val="21"/>
                <w:szCs w:val="21"/>
              </w:rPr>
            </w:pPr>
          </w:p>
        </w:tc>
        <w:tc>
          <w:tcPr>
            <w:tcW w:w="1337" w:type="dxa"/>
            <w:vAlign w:val="center"/>
          </w:tcPr>
          <w:p w14:paraId="0E2005C5">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锅炉排污水及生活污水</w:t>
            </w:r>
          </w:p>
        </w:tc>
        <w:tc>
          <w:tcPr>
            <w:tcW w:w="6903" w:type="dxa"/>
            <w:vAlign w:val="center"/>
          </w:tcPr>
          <w:p w14:paraId="32122C4B">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hint="eastAsia" w:cstheme="minorBidi"/>
                <w:snapToGrid w:val="0"/>
                <w:color w:val="auto"/>
                <w:kern w:val="2"/>
                <w:sz w:val="21"/>
                <w:szCs w:val="21"/>
              </w:rPr>
              <w:t>锅</w:t>
            </w:r>
            <w:r>
              <w:rPr>
                <w:rFonts w:cstheme="minorBidi"/>
                <w:snapToGrid w:val="0"/>
                <w:color w:val="auto"/>
                <w:kern w:val="2"/>
                <w:sz w:val="21"/>
                <w:szCs w:val="21"/>
              </w:rPr>
              <w:t>炉系统排污水用泵打回到选厂万吨水池，用于选矿生产，不外排。 目前 草楼铁矿的生活污水经过隔油池、化粪池处理后排往万吨循环水池，进入 选厂循环使用。</w:t>
            </w:r>
          </w:p>
          <w:p w14:paraId="7E39FE67">
            <w:pPr>
              <w:tabs>
                <w:tab w:val="center" w:pos="4153"/>
                <w:tab w:val="right" w:pos="8306"/>
              </w:tabs>
              <w:snapToGrid w:val="0"/>
              <w:spacing w:line="240" w:lineRule="auto"/>
              <w:ind w:firstLine="436" w:firstLineChars="0"/>
              <w:rPr>
                <w:rFonts w:cstheme="minorBidi"/>
                <w:snapToGrid w:val="0"/>
                <w:color w:val="auto"/>
                <w:kern w:val="2"/>
                <w:sz w:val="21"/>
                <w:szCs w:val="21"/>
              </w:rPr>
            </w:pPr>
            <w:r>
              <w:rPr>
                <w:rFonts w:cstheme="minorBidi"/>
                <w:snapToGrid w:val="0"/>
                <w:color w:val="auto"/>
                <w:kern w:val="2"/>
                <w:sz w:val="21"/>
                <w:szCs w:val="21"/>
              </w:rPr>
              <w:t>扩建工程建议上一套一体化生活污水处理设施，对生活污水进行处理达到《污水综合排放标准》中一类标准后回用于选厂万吨水池。</w:t>
            </w:r>
          </w:p>
        </w:tc>
        <w:tc>
          <w:tcPr>
            <w:tcW w:w="5307" w:type="dxa"/>
            <w:tcBorders>
              <w:right w:val="single" w:color="000000" w:sz="10" w:space="0"/>
            </w:tcBorders>
            <w:vAlign w:val="center"/>
          </w:tcPr>
          <w:p w14:paraId="11E1A85C">
            <w:pPr>
              <w:tabs>
                <w:tab w:val="center" w:pos="4153"/>
                <w:tab w:val="right" w:pos="8306"/>
              </w:tabs>
              <w:snapToGrid w:val="0"/>
              <w:spacing w:line="240" w:lineRule="auto"/>
              <w:ind w:firstLine="396" w:firstLineChars="0"/>
              <w:jc w:val="center"/>
              <w:rPr>
                <w:rFonts w:cstheme="minorBidi"/>
                <w:snapToGrid w:val="0"/>
                <w:color w:val="auto"/>
                <w:kern w:val="2"/>
                <w:sz w:val="21"/>
                <w:szCs w:val="21"/>
              </w:rPr>
            </w:pPr>
            <w:r>
              <w:rPr>
                <w:rFonts w:cstheme="minorBidi"/>
                <w:snapToGrid w:val="0"/>
                <w:color w:val="auto"/>
                <w:kern w:val="2"/>
                <w:sz w:val="21"/>
                <w:szCs w:val="21"/>
              </w:rPr>
              <w:t>已落实</w:t>
            </w:r>
          </w:p>
          <w:p w14:paraId="19049D7A">
            <w:pPr>
              <w:tabs>
                <w:tab w:val="center" w:pos="4153"/>
                <w:tab w:val="right" w:pos="8306"/>
              </w:tabs>
              <w:snapToGrid w:val="0"/>
              <w:spacing w:line="240" w:lineRule="auto"/>
              <w:ind w:firstLine="448" w:firstLineChars="0"/>
              <w:rPr>
                <w:rFonts w:cstheme="minorBidi"/>
                <w:snapToGrid w:val="0"/>
                <w:color w:val="auto"/>
                <w:kern w:val="2"/>
                <w:sz w:val="21"/>
                <w:szCs w:val="21"/>
              </w:rPr>
            </w:pPr>
            <w:r>
              <w:rPr>
                <w:rFonts w:cstheme="minorBidi"/>
                <w:snapToGrid w:val="0"/>
                <w:color w:val="auto"/>
                <w:kern w:val="2"/>
                <w:sz w:val="21"/>
                <w:szCs w:val="21"/>
              </w:rPr>
              <w:t>锅炉系统清洗污水用泵泵入选厂万吨水池循环利用；办公生活区生活污水经处理达标后排入选厂万吨水池循环 利用；北辅助提升井和南辅助提升井各新建一套一体化生活污水处理设施，处理达到《污水综合排放标准》 中 一级标准后回用于厂区绿化和洒水逸尘使用。（现锅炉</w:t>
            </w:r>
            <w:r>
              <w:rPr>
                <w:rFonts w:hint="eastAsia" w:cstheme="minorBidi"/>
                <w:snapToGrid w:val="0"/>
                <w:color w:val="auto"/>
                <w:kern w:val="2"/>
                <w:sz w:val="21"/>
                <w:szCs w:val="21"/>
              </w:rPr>
              <w:t>已取消设置，</w:t>
            </w:r>
            <w:r>
              <w:rPr>
                <w:rFonts w:cstheme="minorBidi"/>
                <w:snapToGrid w:val="0"/>
                <w:color w:val="auto"/>
                <w:kern w:val="2"/>
                <w:sz w:val="21"/>
                <w:szCs w:val="21"/>
              </w:rPr>
              <w:t>已拆除）</w:t>
            </w:r>
          </w:p>
        </w:tc>
      </w:tr>
      <w:tr w14:paraId="033FD7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tcBorders>
              <w:left w:val="single" w:color="000000" w:sz="10" w:space="0"/>
            </w:tcBorders>
            <w:vAlign w:val="center"/>
          </w:tcPr>
          <w:p w14:paraId="66704699">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地下水</w:t>
            </w:r>
          </w:p>
        </w:tc>
        <w:tc>
          <w:tcPr>
            <w:tcW w:w="1337" w:type="dxa"/>
            <w:vAlign w:val="center"/>
          </w:tcPr>
          <w:p w14:paraId="4F531585">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减缓地下水环境影响措施</w:t>
            </w:r>
          </w:p>
        </w:tc>
        <w:tc>
          <w:tcPr>
            <w:tcW w:w="6903" w:type="dxa"/>
            <w:vAlign w:val="center"/>
          </w:tcPr>
          <w:p w14:paraId="416D5CCB">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采取探、堵、防、截等措施防止对地下水造成污染。建立地下水跟踪监测， 随时掌握区域地下水动态和水质变化。</w:t>
            </w:r>
          </w:p>
        </w:tc>
        <w:tc>
          <w:tcPr>
            <w:tcW w:w="5307" w:type="dxa"/>
            <w:tcBorders>
              <w:right w:val="single" w:color="000000" w:sz="10" w:space="0"/>
            </w:tcBorders>
            <w:vAlign w:val="center"/>
          </w:tcPr>
          <w:p w14:paraId="1B8DAA8B">
            <w:pPr>
              <w:tabs>
                <w:tab w:val="center" w:pos="4153"/>
                <w:tab w:val="right" w:pos="8306"/>
              </w:tabs>
              <w:snapToGrid w:val="0"/>
              <w:spacing w:line="240" w:lineRule="auto"/>
              <w:ind w:firstLine="424" w:firstLineChars="0"/>
              <w:jc w:val="center"/>
              <w:rPr>
                <w:rFonts w:cstheme="minorBidi"/>
                <w:snapToGrid w:val="0"/>
                <w:color w:val="auto"/>
                <w:kern w:val="2"/>
                <w:sz w:val="21"/>
                <w:szCs w:val="21"/>
              </w:rPr>
            </w:pPr>
            <w:r>
              <w:rPr>
                <w:rFonts w:cstheme="minorBidi"/>
                <w:snapToGrid w:val="0"/>
                <w:color w:val="auto"/>
                <w:kern w:val="2"/>
                <w:sz w:val="21"/>
                <w:szCs w:val="21"/>
              </w:rPr>
              <w:t>已落实。</w:t>
            </w:r>
          </w:p>
          <w:p w14:paraId="24D46553">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已建立地下水动态监测机制，在王油坊、倪庄、洪小庄、 冀老庄设立了地下水动态监测点位，通过现场调查，采</w:t>
            </w:r>
          </w:p>
        </w:tc>
      </w:tr>
      <w:tr w14:paraId="2BB636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restart"/>
            <w:tcBorders>
              <w:left w:val="single" w:color="000000" w:sz="10" w:space="0"/>
            </w:tcBorders>
            <w:vAlign w:val="center"/>
          </w:tcPr>
          <w:p w14:paraId="6B2CCFA9">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废气</w:t>
            </w:r>
          </w:p>
        </w:tc>
        <w:tc>
          <w:tcPr>
            <w:tcW w:w="1337" w:type="dxa"/>
            <w:vAlign w:val="center"/>
          </w:tcPr>
          <w:p w14:paraId="31277D9B">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井下废气</w:t>
            </w:r>
          </w:p>
        </w:tc>
        <w:tc>
          <w:tcPr>
            <w:tcW w:w="6903" w:type="dxa"/>
            <w:vAlign w:val="center"/>
          </w:tcPr>
          <w:p w14:paraId="560B3017">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1、凿岩设备（凿岩台车、气腿式凿岩机）采用湿式作业，使粉尘密闭在 孔口周围，减少凿岩作业的产尘量，同时加强局部通风；</w:t>
            </w:r>
          </w:p>
          <w:p w14:paraId="0640CEC8">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2、爆破采用微差控制爆破，优化爆破设计参数，减少大块产生，减少二 次爆破量，减少粉尘产生；爆破后按设计规定要求进行通风；</w:t>
            </w:r>
          </w:p>
          <w:p w14:paraId="7F497BC2">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3、铲装作业防尘措施主要是进行洒水或注水，铲装前向爆堆表面洒水或 高压注水，使爆堆矿岩保持一定的湿度；</w:t>
            </w:r>
          </w:p>
          <w:p w14:paraId="411DCF04">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4、井下破碎系统除尘，ZD1.0型新型微孔膜过滤式除尘器3台，水雾喷嘴 若干个，控制破碎产生的粉尘，除尘效率可以达到99%。</w:t>
            </w:r>
          </w:p>
          <w:p w14:paraId="530A7CD9">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5、加强局部通风和系统通风。</w:t>
            </w:r>
          </w:p>
        </w:tc>
        <w:tc>
          <w:tcPr>
            <w:tcW w:w="5307" w:type="dxa"/>
            <w:tcBorders>
              <w:right w:val="single" w:color="000000" w:sz="10" w:space="0"/>
            </w:tcBorders>
            <w:vAlign w:val="center"/>
          </w:tcPr>
          <w:p w14:paraId="4D418F3A">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已落实。</w:t>
            </w:r>
          </w:p>
          <w:p w14:paraId="54646CFE">
            <w:pPr>
              <w:tabs>
                <w:tab w:val="center" w:pos="4153"/>
                <w:tab w:val="right" w:pos="8306"/>
              </w:tabs>
              <w:snapToGrid w:val="0"/>
              <w:spacing w:line="240" w:lineRule="auto"/>
              <w:ind w:firstLine="424" w:firstLineChars="0"/>
              <w:jc w:val="center"/>
              <w:rPr>
                <w:rFonts w:cstheme="minorBidi"/>
                <w:snapToGrid w:val="0"/>
                <w:color w:val="auto"/>
                <w:kern w:val="2"/>
                <w:sz w:val="21"/>
                <w:szCs w:val="21"/>
              </w:rPr>
            </w:pPr>
            <w:r>
              <w:rPr>
                <w:rFonts w:cstheme="minorBidi"/>
                <w:snapToGrid w:val="0"/>
                <w:color w:val="auto"/>
                <w:kern w:val="2"/>
                <w:sz w:val="21"/>
                <w:szCs w:val="21"/>
              </w:rPr>
              <w:t>1、凿岩时采用喷水的作业方式；                     2、采用微差爆破技术，爆破后及时进行通风；        3、铲装前向爆堆表面洒水降尘；                     4、井下2套粗碎系统分别采用WSA-10型卧式旋风水膜除尘器和WSCII-2.0型振弦洗涤除尘器。</w:t>
            </w:r>
          </w:p>
        </w:tc>
      </w:tr>
      <w:tr w14:paraId="546C16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632C77D4">
            <w:pPr>
              <w:tabs>
                <w:tab w:val="center" w:pos="4153"/>
                <w:tab w:val="right" w:pos="8306"/>
              </w:tabs>
              <w:snapToGrid w:val="0"/>
              <w:spacing w:line="240" w:lineRule="auto"/>
              <w:ind w:firstLine="0" w:firstLineChars="0"/>
              <w:jc w:val="center"/>
              <w:rPr>
                <w:rFonts w:cstheme="minorBidi"/>
                <w:snapToGrid w:val="0"/>
                <w:color w:val="auto"/>
                <w:kern w:val="2"/>
                <w:sz w:val="21"/>
                <w:szCs w:val="21"/>
              </w:rPr>
            </w:pPr>
          </w:p>
        </w:tc>
        <w:tc>
          <w:tcPr>
            <w:tcW w:w="1337" w:type="dxa"/>
            <w:vAlign w:val="center"/>
          </w:tcPr>
          <w:p w14:paraId="3BFDF222">
            <w:pPr>
              <w:tabs>
                <w:tab w:val="center" w:pos="4153"/>
                <w:tab w:val="right" w:pos="8306"/>
              </w:tabs>
              <w:snapToGrid w:val="0"/>
              <w:spacing w:line="240" w:lineRule="auto"/>
              <w:ind w:firstLineChars="0"/>
              <w:rPr>
                <w:rFonts w:cstheme="minorBidi"/>
                <w:snapToGrid w:val="0"/>
                <w:color w:val="auto"/>
                <w:kern w:val="2"/>
                <w:sz w:val="21"/>
                <w:szCs w:val="21"/>
              </w:rPr>
            </w:pPr>
            <w:r>
              <w:rPr>
                <w:rFonts w:cstheme="minorBidi"/>
                <w:snapToGrid w:val="0"/>
                <w:color w:val="auto"/>
                <w:kern w:val="2"/>
                <w:sz w:val="21"/>
                <w:szCs w:val="21"/>
              </w:rPr>
              <w:t>选厂废气</w:t>
            </w:r>
          </w:p>
        </w:tc>
        <w:tc>
          <w:tcPr>
            <w:tcW w:w="6903" w:type="dxa"/>
            <w:vAlign w:val="center"/>
          </w:tcPr>
          <w:p w14:paraId="183ECE55">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选矿厂的除尘设施在以前的基础上：中细碎车间新增一套湿式除尘设施， 筛分料仓及可逆皮带、主厂房料仓8#、9#皮带以及主厂房球磨机给料皮带 均增加超声雾化抑尘器。</w:t>
            </w:r>
          </w:p>
        </w:tc>
        <w:tc>
          <w:tcPr>
            <w:tcW w:w="5307" w:type="dxa"/>
            <w:tcBorders>
              <w:right w:val="single" w:color="000000" w:sz="10" w:space="0"/>
            </w:tcBorders>
            <w:vAlign w:val="center"/>
          </w:tcPr>
          <w:p w14:paraId="4AFAC21D">
            <w:pPr>
              <w:spacing w:before="75" w:line="227" w:lineRule="auto"/>
              <w:ind w:firstLine="420"/>
              <w:rPr>
                <w:rFonts w:cstheme="minorBidi"/>
                <w:snapToGrid w:val="0"/>
                <w:color w:val="auto"/>
                <w:kern w:val="2"/>
                <w:sz w:val="21"/>
                <w:szCs w:val="21"/>
              </w:rPr>
            </w:pPr>
            <w:r>
              <w:rPr>
                <w:rFonts w:cstheme="minorBidi"/>
                <w:snapToGrid w:val="0"/>
                <w:color w:val="auto"/>
                <w:kern w:val="2"/>
                <w:sz w:val="21"/>
                <w:szCs w:val="21"/>
              </w:rPr>
              <w:t>基本落实。</w:t>
            </w:r>
          </w:p>
          <w:p w14:paraId="10F5A4E2">
            <w:pPr>
              <w:spacing w:before="65" w:line="257" w:lineRule="auto"/>
              <w:ind w:left="117" w:right="96" w:firstLine="420"/>
              <w:rPr>
                <w:rFonts w:cstheme="minorBidi"/>
                <w:snapToGrid w:val="0"/>
                <w:color w:val="auto"/>
                <w:kern w:val="2"/>
                <w:sz w:val="21"/>
                <w:szCs w:val="21"/>
              </w:rPr>
            </w:pPr>
            <w:r>
              <w:rPr>
                <w:rFonts w:cstheme="minorBidi"/>
                <w:snapToGrid w:val="0"/>
                <w:color w:val="auto"/>
                <w:kern w:val="2"/>
                <w:sz w:val="21"/>
                <w:szCs w:val="21"/>
              </w:rPr>
              <w:t>选矿厂中细碎车间新建一套WSCⅡ-4.0型振弦栅洗涤除 尘器、改造1台WSCⅡ-3.0荷电水雾振弦洗涤除尘器，粉 尘排放浓度能够满足《大气污染物综合排放标准》 （GB16297-1996）表2中二级标准及《铁矿采选工业污染 物排放标准》  （GB28661-2012）中表1的标准要求。</w:t>
            </w:r>
          </w:p>
          <w:p w14:paraId="3C7E4D66">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转运站4套超声雾化装置改为喷淋装置，球磨机5套超声 雾化器改造为喷淋设施。工业场地厂界颗粒物无组织排 放浓度《大气污染物综合排放标准》  （GB16297-1996） 表2中标准要求。</w:t>
            </w:r>
          </w:p>
        </w:tc>
      </w:tr>
      <w:tr w14:paraId="1DA609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703765A6">
            <w:pPr>
              <w:tabs>
                <w:tab w:val="center" w:pos="4153"/>
                <w:tab w:val="right" w:pos="8306"/>
              </w:tabs>
              <w:snapToGrid w:val="0"/>
              <w:spacing w:line="240" w:lineRule="auto"/>
              <w:ind w:firstLine="0" w:firstLineChars="0"/>
              <w:jc w:val="center"/>
              <w:rPr>
                <w:rFonts w:cstheme="minorBidi"/>
                <w:snapToGrid w:val="0"/>
                <w:color w:val="auto"/>
                <w:kern w:val="2"/>
                <w:sz w:val="21"/>
                <w:szCs w:val="21"/>
              </w:rPr>
            </w:pPr>
          </w:p>
        </w:tc>
        <w:tc>
          <w:tcPr>
            <w:tcW w:w="1337" w:type="dxa"/>
            <w:vAlign w:val="center"/>
          </w:tcPr>
          <w:p w14:paraId="184386A5">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锅炉废气</w:t>
            </w:r>
          </w:p>
        </w:tc>
        <w:tc>
          <w:tcPr>
            <w:tcW w:w="6903" w:type="dxa"/>
            <w:vAlign w:val="center"/>
          </w:tcPr>
          <w:p w14:paraId="71912CCC">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环评建议对多管旋风除尘器进行维修，保证其除尘效率在85%以上， 以减少外排烟尘。</w:t>
            </w:r>
          </w:p>
        </w:tc>
        <w:tc>
          <w:tcPr>
            <w:tcW w:w="5307" w:type="dxa"/>
            <w:tcBorders>
              <w:right w:val="single" w:color="000000" w:sz="10" w:space="0"/>
            </w:tcBorders>
            <w:vAlign w:val="center"/>
          </w:tcPr>
          <w:p w14:paraId="766C882C">
            <w:pPr>
              <w:spacing w:before="75" w:line="227" w:lineRule="auto"/>
              <w:ind w:firstLine="420"/>
              <w:rPr>
                <w:rFonts w:cstheme="minorBidi"/>
                <w:snapToGrid w:val="0"/>
                <w:color w:val="auto"/>
                <w:kern w:val="2"/>
                <w:sz w:val="21"/>
                <w:szCs w:val="21"/>
              </w:rPr>
            </w:pPr>
            <w:r>
              <w:rPr>
                <w:rFonts w:cstheme="minorBidi"/>
                <w:snapToGrid w:val="0"/>
                <w:color w:val="auto"/>
                <w:kern w:val="2"/>
                <w:sz w:val="21"/>
                <w:szCs w:val="21"/>
              </w:rPr>
              <w:t>基本落实。</w:t>
            </w:r>
          </w:p>
          <w:p w14:paraId="69708B8A">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将原多管旋风除尘器更换为XD型多管旋风除尘器，烟气 排 放 浓 度 满 足 《 锅 炉 大 气 污 染 物 排 放 标 准 》 (GB13271-2001)中二类区Ⅱ时段排放限值，除尘效率为 66.1%。（现锅炉已</w:t>
            </w:r>
            <w:r>
              <w:rPr>
                <w:rFonts w:hint="eastAsia" w:cstheme="minorBidi"/>
                <w:snapToGrid w:val="0"/>
                <w:color w:val="auto"/>
                <w:kern w:val="2"/>
                <w:sz w:val="21"/>
                <w:szCs w:val="21"/>
              </w:rPr>
              <w:t>取消设置，并</w:t>
            </w:r>
            <w:r>
              <w:rPr>
                <w:rFonts w:cstheme="minorBidi"/>
                <w:snapToGrid w:val="0"/>
                <w:color w:val="auto"/>
                <w:kern w:val="2"/>
                <w:sz w:val="21"/>
                <w:szCs w:val="21"/>
              </w:rPr>
              <w:t>拆除）</w:t>
            </w:r>
          </w:p>
        </w:tc>
      </w:tr>
      <w:tr w14:paraId="343383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61CEAE28">
            <w:pPr>
              <w:tabs>
                <w:tab w:val="center" w:pos="4153"/>
                <w:tab w:val="right" w:pos="8306"/>
              </w:tabs>
              <w:snapToGrid w:val="0"/>
              <w:spacing w:line="240" w:lineRule="auto"/>
              <w:ind w:firstLine="0" w:firstLineChars="0"/>
              <w:jc w:val="center"/>
              <w:rPr>
                <w:rFonts w:cs="Arial"/>
                <w:snapToGrid w:val="0"/>
                <w:color w:val="auto"/>
                <w:kern w:val="0"/>
                <w:sz w:val="21"/>
                <w:szCs w:val="21"/>
              </w:rPr>
            </w:pPr>
          </w:p>
        </w:tc>
        <w:tc>
          <w:tcPr>
            <w:tcW w:w="1337" w:type="dxa"/>
            <w:vAlign w:val="center"/>
          </w:tcPr>
          <w:p w14:paraId="50FC2320">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储煤场</w:t>
            </w:r>
          </w:p>
        </w:tc>
        <w:tc>
          <w:tcPr>
            <w:tcW w:w="6903" w:type="dxa"/>
            <w:vAlign w:val="center"/>
          </w:tcPr>
          <w:p w14:paraId="73DC605C">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在锅炉房北设一储煤场，储煤场周围设1m高左右的挡墙，煤场上部设挡雨棚。对储煤场外四周进行绿化。</w:t>
            </w:r>
          </w:p>
        </w:tc>
        <w:tc>
          <w:tcPr>
            <w:tcW w:w="5307" w:type="dxa"/>
            <w:tcBorders>
              <w:right w:val="single" w:color="000000" w:sz="10" w:space="0"/>
            </w:tcBorders>
            <w:vAlign w:val="center"/>
          </w:tcPr>
          <w:p w14:paraId="68698C2D">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已落实。</w:t>
            </w:r>
          </w:p>
        </w:tc>
      </w:tr>
      <w:tr w14:paraId="21BFBD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760821FB">
            <w:pPr>
              <w:tabs>
                <w:tab w:val="center" w:pos="4153"/>
                <w:tab w:val="right" w:pos="8306"/>
              </w:tabs>
              <w:snapToGrid w:val="0"/>
              <w:spacing w:line="240" w:lineRule="auto"/>
              <w:ind w:firstLine="0" w:firstLineChars="0"/>
              <w:jc w:val="center"/>
              <w:rPr>
                <w:rFonts w:cs="Arial"/>
                <w:snapToGrid w:val="0"/>
                <w:color w:val="auto"/>
                <w:kern w:val="0"/>
                <w:sz w:val="21"/>
                <w:szCs w:val="21"/>
              </w:rPr>
            </w:pPr>
          </w:p>
        </w:tc>
        <w:tc>
          <w:tcPr>
            <w:tcW w:w="1337" w:type="dxa"/>
            <w:vAlign w:val="center"/>
          </w:tcPr>
          <w:p w14:paraId="310C813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道路扬尘</w:t>
            </w:r>
          </w:p>
        </w:tc>
        <w:tc>
          <w:tcPr>
            <w:tcW w:w="6903" w:type="dxa"/>
            <w:vAlign w:val="center"/>
          </w:tcPr>
          <w:p w14:paraId="47C5C52A">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采取道路硬化、道路两侧绿化、定时洒水、运输加盖蓬布等措施。</w:t>
            </w:r>
          </w:p>
        </w:tc>
        <w:tc>
          <w:tcPr>
            <w:tcW w:w="5307" w:type="dxa"/>
            <w:tcBorders>
              <w:right w:val="single" w:color="000000" w:sz="10" w:space="0"/>
            </w:tcBorders>
            <w:vAlign w:val="center"/>
          </w:tcPr>
          <w:p w14:paraId="0929C037">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已落实。</w:t>
            </w:r>
          </w:p>
        </w:tc>
      </w:tr>
      <w:tr w14:paraId="6084A5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63C87589">
            <w:pPr>
              <w:tabs>
                <w:tab w:val="center" w:pos="4153"/>
                <w:tab w:val="right" w:pos="8306"/>
              </w:tabs>
              <w:snapToGrid w:val="0"/>
              <w:spacing w:line="240" w:lineRule="auto"/>
              <w:ind w:firstLine="0" w:firstLineChars="0"/>
              <w:jc w:val="center"/>
              <w:rPr>
                <w:rFonts w:cs="Arial"/>
                <w:snapToGrid w:val="0"/>
                <w:color w:val="auto"/>
                <w:kern w:val="0"/>
                <w:sz w:val="21"/>
                <w:szCs w:val="21"/>
              </w:rPr>
            </w:pPr>
          </w:p>
        </w:tc>
        <w:tc>
          <w:tcPr>
            <w:tcW w:w="1337" w:type="dxa"/>
            <w:vAlign w:val="center"/>
          </w:tcPr>
          <w:p w14:paraId="1C520514">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尾矿库扬尘</w:t>
            </w:r>
          </w:p>
        </w:tc>
        <w:tc>
          <w:tcPr>
            <w:tcW w:w="6903" w:type="dxa"/>
            <w:vAlign w:val="center"/>
          </w:tcPr>
          <w:p w14:paraId="12E7E33F">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尾矿库扬尘污染防治措施：</w:t>
            </w:r>
          </w:p>
          <w:p w14:paraId="489BE7C1">
            <w:pPr>
              <w:tabs>
                <w:tab w:val="center" w:pos="4153"/>
                <w:tab w:val="right" w:pos="8306"/>
              </w:tabs>
              <w:snapToGrid w:val="0"/>
              <w:spacing w:line="240" w:lineRule="auto"/>
              <w:ind w:left="480" w:leftChars="200" w:firstLine="0" w:firstLineChars="0"/>
              <w:rPr>
                <w:rFonts w:cstheme="minorBidi"/>
                <w:snapToGrid w:val="0"/>
                <w:color w:val="auto"/>
                <w:kern w:val="2"/>
                <w:sz w:val="21"/>
                <w:szCs w:val="21"/>
              </w:rPr>
            </w:pPr>
            <w:r>
              <w:rPr>
                <w:rFonts w:cstheme="minorBidi"/>
                <w:snapToGrid w:val="0"/>
                <w:color w:val="auto"/>
                <w:kern w:val="2"/>
                <w:sz w:val="21"/>
                <w:szCs w:val="21"/>
              </w:rPr>
              <w:t>1、合理调度放矿，采用多管放矿技术；</w:t>
            </w:r>
          </w:p>
          <w:p w14:paraId="2A5D0C12">
            <w:pPr>
              <w:tabs>
                <w:tab w:val="center" w:pos="4153"/>
                <w:tab w:val="right" w:pos="8306"/>
              </w:tabs>
              <w:snapToGrid w:val="0"/>
              <w:spacing w:line="240" w:lineRule="auto"/>
              <w:ind w:firstLine="0" w:firstLineChars="0"/>
              <w:rPr>
                <w:rFonts w:cstheme="minorBidi"/>
                <w:snapToGrid w:val="0"/>
                <w:color w:val="auto"/>
                <w:kern w:val="2"/>
                <w:sz w:val="21"/>
                <w:szCs w:val="21"/>
              </w:rPr>
            </w:pPr>
            <w:r>
              <w:rPr>
                <w:rFonts w:cstheme="minorBidi"/>
                <w:snapToGrid w:val="0"/>
                <w:color w:val="auto"/>
                <w:kern w:val="2"/>
                <w:sz w:val="21"/>
                <w:szCs w:val="21"/>
              </w:rPr>
              <w:t xml:space="preserve">     2、尾矿库坝体永久性平台边坡及时覆土，及时播草绿化，恢复植被；</w:t>
            </w:r>
          </w:p>
          <w:p w14:paraId="25D5B589">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3、尾矿库服务期满对库面及时覆土，及时复垦绿化；</w:t>
            </w:r>
          </w:p>
          <w:p w14:paraId="119990DB">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4、在尾矿库设一套喷淋加湿系统， 由库内澄清区抽水，对干坡段喷淋加 湿以减少风力扬尘。</w:t>
            </w:r>
          </w:p>
        </w:tc>
        <w:tc>
          <w:tcPr>
            <w:tcW w:w="5307" w:type="dxa"/>
            <w:tcBorders>
              <w:right w:val="single" w:color="000000" w:sz="10" w:space="0"/>
            </w:tcBorders>
            <w:vAlign w:val="center"/>
          </w:tcPr>
          <w:p w14:paraId="28C29D0C">
            <w:pPr>
              <w:spacing w:before="65" w:line="227" w:lineRule="auto"/>
              <w:ind w:firstLine="420"/>
              <w:rPr>
                <w:rFonts w:cstheme="minorBidi"/>
                <w:snapToGrid w:val="0"/>
                <w:color w:val="auto"/>
                <w:kern w:val="2"/>
                <w:sz w:val="21"/>
                <w:szCs w:val="21"/>
              </w:rPr>
            </w:pPr>
            <w:r>
              <w:rPr>
                <w:rFonts w:cstheme="minorBidi"/>
                <w:snapToGrid w:val="0"/>
                <w:color w:val="auto"/>
                <w:kern w:val="2"/>
                <w:sz w:val="21"/>
                <w:szCs w:val="21"/>
              </w:rPr>
              <w:t>基本落实。</w:t>
            </w:r>
          </w:p>
          <w:p w14:paraId="4B56EB10">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采用了多管放矿技术；尾矿库坝体永久性平台边坡已采取了绿化措施；尾矿库内未设置喷淋加湿系统。</w:t>
            </w:r>
          </w:p>
        </w:tc>
      </w:tr>
      <w:tr w14:paraId="693470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47E9B368">
            <w:pPr>
              <w:tabs>
                <w:tab w:val="center" w:pos="4153"/>
                <w:tab w:val="right" w:pos="8306"/>
              </w:tabs>
              <w:snapToGrid w:val="0"/>
              <w:spacing w:line="240" w:lineRule="auto"/>
              <w:ind w:firstLine="0" w:firstLineChars="0"/>
              <w:jc w:val="center"/>
              <w:rPr>
                <w:rFonts w:cs="Arial"/>
                <w:snapToGrid w:val="0"/>
                <w:color w:val="auto"/>
                <w:kern w:val="0"/>
                <w:sz w:val="21"/>
                <w:szCs w:val="21"/>
              </w:rPr>
            </w:pPr>
          </w:p>
        </w:tc>
        <w:tc>
          <w:tcPr>
            <w:tcW w:w="1337" w:type="dxa"/>
            <w:vAlign w:val="center"/>
          </w:tcPr>
          <w:p w14:paraId="6B946F6D">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临时废石堆场</w:t>
            </w:r>
          </w:p>
        </w:tc>
        <w:tc>
          <w:tcPr>
            <w:tcW w:w="6903" w:type="dxa"/>
            <w:vAlign w:val="center"/>
          </w:tcPr>
          <w:p w14:paraId="38838FDA">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废石卸载点、装载点设降尘的洒水喷淋装置；临时废石场周边设洒水喷淋装置，保证临时废石场表面废石保持一定的湿度，避免扬尘。</w:t>
            </w:r>
          </w:p>
        </w:tc>
        <w:tc>
          <w:tcPr>
            <w:tcW w:w="5307" w:type="dxa"/>
            <w:tcBorders>
              <w:right w:val="single" w:color="000000" w:sz="10" w:space="0"/>
            </w:tcBorders>
            <w:vAlign w:val="center"/>
          </w:tcPr>
          <w:p w14:paraId="2A325D5D">
            <w:pPr>
              <w:tabs>
                <w:tab w:val="center" w:pos="4153"/>
                <w:tab w:val="right" w:pos="8306"/>
              </w:tabs>
              <w:snapToGrid w:val="0"/>
              <w:spacing w:line="240" w:lineRule="auto"/>
              <w:ind w:firstLineChars="0"/>
              <w:rPr>
                <w:rFonts w:cstheme="minorBidi"/>
                <w:snapToGrid w:val="0"/>
                <w:color w:val="auto"/>
                <w:kern w:val="2"/>
                <w:sz w:val="21"/>
                <w:szCs w:val="21"/>
              </w:rPr>
            </w:pPr>
            <w:r>
              <w:rPr>
                <w:rFonts w:cstheme="minorBidi"/>
                <w:snapToGrid w:val="0"/>
                <w:color w:val="auto"/>
                <w:kern w:val="2"/>
                <w:sz w:val="21"/>
                <w:szCs w:val="21"/>
              </w:rPr>
              <w:t>扩建工程取消了废石场，废石全部外售。</w:t>
            </w:r>
          </w:p>
        </w:tc>
      </w:tr>
      <w:tr w14:paraId="443A2B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restart"/>
            <w:tcBorders>
              <w:left w:val="single" w:color="000000" w:sz="10" w:space="0"/>
            </w:tcBorders>
            <w:vAlign w:val="center"/>
          </w:tcPr>
          <w:p w14:paraId="2C19DA24">
            <w:pPr>
              <w:tabs>
                <w:tab w:val="center" w:pos="4153"/>
                <w:tab w:val="right" w:pos="8306"/>
              </w:tabs>
              <w:snapToGrid w:val="0"/>
              <w:spacing w:line="240" w:lineRule="auto"/>
              <w:ind w:firstLine="0" w:firstLineChars="0"/>
              <w:jc w:val="center"/>
              <w:rPr>
                <w:rFonts w:cs="Arial"/>
                <w:snapToGrid w:val="0"/>
                <w:color w:val="auto"/>
                <w:kern w:val="0"/>
                <w:sz w:val="21"/>
                <w:szCs w:val="21"/>
              </w:rPr>
            </w:pPr>
            <w:r>
              <w:rPr>
                <w:rFonts w:hint="eastAsia" w:cs="Arial"/>
                <w:snapToGrid w:val="0"/>
                <w:color w:val="auto"/>
                <w:kern w:val="0"/>
                <w:sz w:val="21"/>
                <w:szCs w:val="21"/>
              </w:rPr>
              <w:t>噪声</w:t>
            </w:r>
          </w:p>
        </w:tc>
        <w:tc>
          <w:tcPr>
            <w:tcW w:w="1337" w:type="dxa"/>
            <w:vAlign w:val="center"/>
          </w:tcPr>
          <w:p w14:paraId="76D25484">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采矿工业场地</w:t>
            </w:r>
          </w:p>
        </w:tc>
        <w:tc>
          <w:tcPr>
            <w:tcW w:w="6903" w:type="dxa"/>
            <w:vAlign w:val="center"/>
          </w:tcPr>
          <w:p w14:paraId="261C6EF4">
            <w:pPr>
              <w:tabs>
                <w:tab w:val="center" w:pos="4153"/>
                <w:tab w:val="right" w:pos="8306"/>
              </w:tabs>
              <w:snapToGrid w:val="0"/>
              <w:spacing w:line="240" w:lineRule="auto"/>
              <w:ind w:firstLine="424" w:firstLineChars="0"/>
              <w:jc w:val="center"/>
              <w:rPr>
                <w:rFonts w:cstheme="minorBidi"/>
                <w:snapToGrid w:val="0"/>
                <w:color w:val="auto"/>
                <w:kern w:val="2"/>
                <w:sz w:val="21"/>
                <w:szCs w:val="21"/>
              </w:rPr>
            </w:pPr>
            <w:r>
              <w:rPr>
                <w:rFonts w:cstheme="minorBidi"/>
                <w:snapToGrid w:val="0"/>
                <w:color w:val="auto"/>
                <w:kern w:val="2"/>
                <w:sz w:val="21"/>
                <w:szCs w:val="21"/>
              </w:rPr>
              <w:t>1、选择噪声小的采矿生产设备；</w:t>
            </w:r>
          </w:p>
          <w:p w14:paraId="2BD95CE2">
            <w:pPr>
              <w:tabs>
                <w:tab w:val="center" w:pos="4153"/>
                <w:tab w:val="right" w:pos="8306"/>
              </w:tabs>
              <w:snapToGrid w:val="0"/>
              <w:spacing w:line="240" w:lineRule="auto"/>
              <w:ind w:left="105" w:right="103" w:firstLine="424" w:firstLineChars="0"/>
              <w:jc w:val="center"/>
              <w:rPr>
                <w:rFonts w:cstheme="minorBidi"/>
                <w:snapToGrid w:val="0"/>
                <w:color w:val="auto"/>
                <w:kern w:val="2"/>
                <w:sz w:val="21"/>
                <w:szCs w:val="21"/>
              </w:rPr>
            </w:pPr>
            <w:r>
              <w:rPr>
                <w:rFonts w:cstheme="minorBidi"/>
                <w:snapToGrid w:val="0"/>
                <w:color w:val="auto"/>
                <w:kern w:val="2"/>
                <w:sz w:val="21"/>
                <w:szCs w:val="21"/>
              </w:rPr>
              <w:t>2、将空压机、卷扬机高噪声设备布置在室内，职工操作室及仪表控制室均设置隔音间，操作环境的噪声值均在65dB(A)以下。</w:t>
            </w:r>
          </w:p>
          <w:p w14:paraId="7E014A0E">
            <w:pPr>
              <w:tabs>
                <w:tab w:val="center" w:pos="4153"/>
                <w:tab w:val="right" w:pos="8306"/>
              </w:tabs>
              <w:snapToGrid w:val="0"/>
              <w:spacing w:line="240" w:lineRule="auto"/>
              <w:ind w:firstLine="424" w:firstLineChars="0"/>
              <w:jc w:val="center"/>
              <w:rPr>
                <w:rFonts w:cstheme="minorBidi"/>
                <w:snapToGrid w:val="0"/>
                <w:color w:val="auto"/>
                <w:kern w:val="2"/>
                <w:sz w:val="21"/>
                <w:szCs w:val="21"/>
              </w:rPr>
            </w:pPr>
            <w:r>
              <w:rPr>
                <w:rFonts w:cstheme="minorBidi"/>
                <w:snapToGrid w:val="0"/>
                <w:color w:val="auto"/>
                <w:kern w:val="2"/>
                <w:sz w:val="21"/>
                <w:szCs w:val="21"/>
              </w:rPr>
              <w:t>3、对在高噪声环境工作人员发放耳罩、耳塞等，以加强个人的防护工作。</w:t>
            </w:r>
          </w:p>
        </w:tc>
        <w:tc>
          <w:tcPr>
            <w:tcW w:w="5307" w:type="dxa"/>
            <w:tcBorders>
              <w:right w:val="single" w:color="000000" w:sz="10" w:space="0"/>
            </w:tcBorders>
            <w:vAlign w:val="center"/>
          </w:tcPr>
          <w:p w14:paraId="754D41B1">
            <w:pPr>
              <w:tabs>
                <w:tab w:val="center" w:pos="4153"/>
                <w:tab w:val="right" w:pos="8306"/>
              </w:tabs>
              <w:snapToGrid w:val="0"/>
              <w:spacing w:line="240" w:lineRule="auto"/>
              <w:ind w:firstLine="424" w:firstLineChars="0"/>
              <w:jc w:val="center"/>
              <w:rPr>
                <w:rFonts w:cstheme="minorBidi"/>
                <w:snapToGrid w:val="0"/>
                <w:color w:val="auto"/>
                <w:kern w:val="2"/>
                <w:sz w:val="21"/>
                <w:szCs w:val="21"/>
              </w:rPr>
            </w:pPr>
            <w:r>
              <w:rPr>
                <w:rFonts w:cstheme="minorBidi"/>
                <w:snapToGrid w:val="0"/>
                <w:color w:val="auto"/>
                <w:kern w:val="2"/>
                <w:sz w:val="21"/>
                <w:szCs w:val="21"/>
              </w:rPr>
              <w:t>已落实。</w:t>
            </w:r>
          </w:p>
          <w:p w14:paraId="1282EFE7">
            <w:pPr>
              <w:tabs>
                <w:tab w:val="center" w:pos="4153"/>
                <w:tab w:val="right" w:pos="8306"/>
              </w:tabs>
              <w:snapToGrid w:val="0"/>
              <w:spacing w:line="240" w:lineRule="auto"/>
              <w:ind w:firstLine="424" w:firstLineChars="0"/>
              <w:jc w:val="center"/>
              <w:rPr>
                <w:rFonts w:cstheme="minorBidi"/>
                <w:snapToGrid w:val="0"/>
                <w:color w:val="auto"/>
                <w:kern w:val="2"/>
                <w:sz w:val="21"/>
                <w:szCs w:val="21"/>
              </w:rPr>
            </w:pPr>
            <w:r>
              <w:rPr>
                <w:rFonts w:cstheme="minorBidi"/>
                <w:snapToGrid w:val="0"/>
                <w:color w:val="auto"/>
                <w:kern w:val="2"/>
                <w:sz w:val="21"/>
                <w:szCs w:val="21"/>
              </w:rPr>
              <w:t>设备选型时充分考虑了噪声小的设备；空压机、卷扬机等均采取房屋隔声、减振等措施，空压机等高噪声源的 职工操作室采取隔音措施，对其职工发放耳塞。</w:t>
            </w:r>
          </w:p>
        </w:tc>
      </w:tr>
      <w:tr w14:paraId="34B6BB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204FDDE8">
            <w:pPr>
              <w:tabs>
                <w:tab w:val="center" w:pos="4153"/>
                <w:tab w:val="right" w:pos="8306"/>
              </w:tabs>
              <w:snapToGrid w:val="0"/>
              <w:spacing w:line="240" w:lineRule="auto"/>
              <w:ind w:firstLine="0" w:firstLineChars="0"/>
              <w:jc w:val="center"/>
              <w:rPr>
                <w:rFonts w:cs="Arial"/>
                <w:snapToGrid w:val="0"/>
                <w:color w:val="auto"/>
                <w:kern w:val="0"/>
                <w:sz w:val="21"/>
                <w:szCs w:val="21"/>
              </w:rPr>
            </w:pPr>
          </w:p>
        </w:tc>
        <w:tc>
          <w:tcPr>
            <w:tcW w:w="1337" w:type="dxa"/>
            <w:vAlign w:val="center"/>
          </w:tcPr>
          <w:p w14:paraId="3300CB53">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风井风机噪声</w:t>
            </w:r>
          </w:p>
        </w:tc>
        <w:tc>
          <w:tcPr>
            <w:tcW w:w="6903" w:type="dxa"/>
            <w:vAlign w:val="center"/>
          </w:tcPr>
          <w:p w14:paraId="4084F1EA">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工程风机安装在井下，风机距地面超过200m。</w:t>
            </w:r>
          </w:p>
        </w:tc>
        <w:tc>
          <w:tcPr>
            <w:tcW w:w="5307" w:type="dxa"/>
            <w:tcBorders>
              <w:right w:val="single" w:color="000000" w:sz="10" w:space="0"/>
            </w:tcBorders>
            <w:vAlign w:val="center"/>
          </w:tcPr>
          <w:p w14:paraId="474171C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风井风机均设置在井下。南、北风井厂界噪声均能满足 《工业企业厂界环境噪声排放标准》 （GB12348-2008） 中的2类标准要求。</w:t>
            </w:r>
          </w:p>
        </w:tc>
      </w:tr>
      <w:tr w14:paraId="1BD944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10C43FEE">
            <w:pPr>
              <w:tabs>
                <w:tab w:val="center" w:pos="4153"/>
                <w:tab w:val="right" w:pos="8306"/>
              </w:tabs>
              <w:snapToGrid w:val="0"/>
              <w:spacing w:line="240" w:lineRule="auto"/>
              <w:ind w:firstLine="0" w:firstLineChars="0"/>
              <w:jc w:val="center"/>
              <w:rPr>
                <w:rFonts w:cs="Arial"/>
                <w:snapToGrid w:val="0"/>
                <w:color w:val="auto"/>
                <w:kern w:val="0"/>
                <w:sz w:val="21"/>
                <w:szCs w:val="21"/>
              </w:rPr>
            </w:pPr>
          </w:p>
        </w:tc>
        <w:tc>
          <w:tcPr>
            <w:tcW w:w="1337" w:type="dxa"/>
            <w:vAlign w:val="center"/>
          </w:tcPr>
          <w:p w14:paraId="53D5426F">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选矿厂噪声</w:t>
            </w:r>
          </w:p>
        </w:tc>
        <w:tc>
          <w:tcPr>
            <w:tcW w:w="6903" w:type="dxa"/>
            <w:vAlign w:val="center"/>
          </w:tcPr>
          <w:p w14:paraId="3CAFADB6">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选矿厂噪声控制措施主要是：</w:t>
            </w:r>
          </w:p>
          <w:p w14:paraId="3AA7FC2E">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1、将高噪声设备布置在选矿厂区远离人员集中的位置；</w:t>
            </w:r>
          </w:p>
          <w:p w14:paraId="6E82B16A">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 xml:space="preserve">2、设备选型时，选择满足国家噪声标准要求的低噪声设备；          </w:t>
            </w:r>
          </w:p>
          <w:p w14:paraId="482255BB">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 xml:space="preserve">3、工艺设计中对产生噪声较大的设备采取降低噪声的措施，如圆锥破碎机、振动筛、球磨机等大型设备在基础安装时采取防振减噪及隔声措施； </w:t>
            </w:r>
          </w:p>
          <w:p w14:paraId="71885574">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 xml:space="preserve">4、将选厂噪声级较高设备集中在选厂厂房内；职工操作室及仪表控制室 均设置有隔音间，操作环境的噪声值均在65dB(A)以下。                </w:t>
            </w:r>
          </w:p>
          <w:p w14:paraId="37628646">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5、选矿车间采用吸声、隔声屏障（房）、消声等措施，确保厂界噪声达 标排放。</w:t>
            </w:r>
          </w:p>
        </w:tc>
        <w:tc>
          <w:tcPr>
            <w:tcW w:w="5307" w:type="dxa"/>
            <w:tcBorders>
              <w:right w:val="single" w:color="000000" w:sz="10" w:space="0"/>
            </w:tcBorders>
            <w:vAlign w:val="center"/>
          </w:tcPr>
          <w:p w14:paraId="71B4F91A">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基本落实。</w:t>
            </w:r>
          </w:p>
          <w:p w14:paraId="59C5FF20">
            <w:pPr>
              <w:tabs>
                <w:tab w:val="center" w:pos="4153"/>
                <w:tab w:val="right" w:pos="8306"/>
              </w:tabs>
              <w:snapToGrid w:val="0"/>
              <w:spacing w:line="240" w:lineRule="auto"/>
              <w:ind w:firstLine="424" w:firstLineChars="0"/>
              <w:jc w:val="center"/>
              <w:rPr>
                <w:rFonts w:cstheme="minorBidi"/>
                <w:snapToGrid w:val="0"/>
                <w:color w:val="auto"/>
                <w:kern w:val="2"/>
                <w:sz w:val="21"/>
                <w:szCs w:val="21"/>
              </w:rPr>
            </w:pPr>
            <w:r>
              <w:rPr>
                <w:rFonts w:cstheme="minorBidi"/>
                <w:snapToGrid w:val="0"/>
                <w:color w:val="auto"/>
                <w:kern w:val="2"/>
                <w:sz w:val="21"/>
                <w:szCs w:val="21"/>
              </w:rPr>
              <w:t>选用了噪声小的设备；空压机房、提升机房、筛分破碎车间等高噪声源布置在场地中央，对选矿车间、提升机 房等采用防振、吸声、隔声、消声等降噪措施，验收监 测表明，选矿厂工业场地厂界噪声均能满足《工业企业 厂界环境噪声排放标准》（GB12348-2008）中的2类标准 要求。</w:t>
            </w:r>
          </w:p>
        </w:tc>
      </w:tr>
      <w:tr w14:paraId="018DD0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7D31E319">
            <w:pPr>
              <w:tabs>
                <w:tab w:val="center" w:pos="4153"/>
                <w:tab w:val="right" w:pos="8306"/>
              </w:tabs>
              <w:snapToGrid w:val="0"/>
              <w:spacing w:line="240" w:lineRule="auto"/>
              <w:ind w:firstLine="0" w:firstLineChars="0"/>
              <w:jc w:val="center"/>
              <w:rPr>
                <w:rFonts w:cs="Arial"/>
                <w:snapToGrid w:val="0"/>
                <w:color w:val="auto"/>
                <w:kern w:val="0"/>
                <w:sz w:val="21"/>
                <w:szCs w:val="21"/>
              </w:rPr>
            </w:pPr>
          </w:p>
        </w:tc>
        <w:tc>
          <w:tcPr>
            <w:tcW w:w="1337" w:type="dxa"/>
            <w:vAlign w:val="center"/>
          </w:tcPr>
          <w:p w14:paraId="7DE223C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充填站噪声</w:t>
            </w:r>
          </w:p>
        </w:tc>
        <w:tc>
          <w:tcPr>
            <w:tcW w:w="6903" w:type="dxa"/>
            <w:vAlign w:val="center"/>
          </w:tcPr>
          <w:p w14:paraId="67836022">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设备选型时，选择满足国家噪声标准要求的设备；设备置于车间内；设备 安装减振装置。采取上述措施后，充填站外的噪声实测值，大体在60dB(A) 以下。</w:t>
            </w:r>
          </w:p>
        </w:tc>
        <w:tc>
          <w:tcPr>
            <w:tcW w:w="5307" w:type="dxa"/>
            <w:tcBorders>
              <w:right w:val="single" w:color="000000" w:sz="10" w:space="0"/>
            </w:tcBorders>
            <w:vAlign w:val="center"/>
          </w:tcPr>
          <w:p w14:paraId="6571CF62">
            <w:pPr>
              <w:tabs>
                <w:tab w:val="center" w:pos="4153"/>
                <w:tab w:val="right" w:pos="8306"/>
              </w:tabs>
              <w:snapToGrid w:val="0"/>
              <w:spacing w:before="76"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已落实。</w:t>
            </w:r>
          </w:p>
          <w:p w14:paraId="360BE646">
            <w:pPr>
              <w:tabs>
                <w:tab w:val="center" w:pos="4153"/>
                <w:tab w:val="right" w:pos="8306"/>
              </w:tabs>
              <w:snapToGrid w:val="0"/>
              <w:spacing w:before="64"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选取低噪声设备，并采取建筑隔声、减振等措施。验收监测表明，南区充填站厂界噪声均能满足《工业企业厂界环境噪声排放标准》（GB12348-2008）中的2类标 准要求。</w:t>
            </w:r>
          </w:p>
        </w:tc>
      </w:tr>
      <w:tr w14:paraId="2D4109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0F05D1B3">
            <w:pPr>
              <w:tabs>
                <w:tab w:val="center" w:pos="4153"/>
                <w:tab w:val="right" w:pos="8306"/>
              </w:tabs>
              <w:snapToGrid w:val="0"/>
              <w:spacing w:line="240" w:lineRule="auto"/>
              <w:ind w:firstLine="0" w:firstLineChars="0"/>
              <w:jc w:val="center"/>
              <w:rPr>
                <w:rFonts w:cs="Arial"/>
                <w:snapToGrid w:val="0"/>
                <w:color w:val="auto"/>
                <w:kern w:val="0"/>
                <w:sz w:val="21"/>
                <w:szCs w:val="21"/>
              </w:rPr>
            </w:pPr>
          </w:p>
        </w:tc>
        <w:tc>
          <w:tcPr>
            <w:tcW w:w="1337" w:type="dxa"/>
            <w:vAlign w:val="center"/>
          </w:tcPr>
          <w:p w14:paraId="6D4A80D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锅炉噪声</w:t>
            </w:r>
          </w:p>
        </w:tc>
        <w:tc>
          <w:tcPr>
            <w:tcW w:w="6903" w:type="dxa"/>
            <w:vAlign w:val="center"/>
          </w:tcPr>
          <w:p w14:paraId="5E3D9683">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设备选型时，选择满足国家噪声标准要求的设备；鼓风机进风口加装消音设施，引风机出口设消音器；设备在基础安装方面采取防振减噪及隔声措 施；噪声级较高设备均集中在锅炉房内；工人操作室及仪表控制室均设置 有隔音间，操作环境的噪声值均在65dB(A)以下。</w:t>
            </w:r>
          </w:p>
        </w:tc>
        <w:tc>
          <w:tcPr>
            <w:tcW w:w="5307" w:type="dxa"/>
            <w:tcBorders>
              <w:right w:val="single" w:color="000000" w:sz="10" w:space="0"/>
            </w:tcBorders>
            <w:vAlign w:val="center"/>
          </w:tcPr>
          <w:p w14:paraId="7BC41AB2">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本扩建工程锅炉依托现有工程。锅炉房已采取建筑隔声、 消声、减振等措施。</w:t>
            </w:r>
          </w:p>
        </w:tc>
      </w:tr>
      <w:tr w14:paraId="2742FA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7C7A1921">
            <w:pPr>
              <w:tabs>
                <w:tab w:val="center" w:pos="4153"/>
                <w:tab w:val="right" w:pos="8306"/>
              </w:tabs>
              <w:snapToGrid w:val="0"/>
              <w:spacing w:line="240" w:lineRule="auto"/>
              <w:ind w:firstLine="0" w:firstLineChars="0"/>
              <w:jc w:val="center"/>
              <w:rPr>
                <w:rFonts w:cs="Arial"/>
                <w:snapToGrid w:val="0"/>
                <w:color w:val="auto"/>
                <w:kern w:val="0"/>
                <w:sz w:val="21"/>
                <w:szCs w:val="21"/>
              </w:rPr>
            </w:pPr>
          </w:p>
        </w:tc>
        <w:tc>
          <w:tcPr>
            <w:tcW w:w="1337" w:type="dxa"/>
            <w:vAlign w:val="center"/>
          </w:tcPr>
          <w:p w14:paraId="7322F31B">
            <w:pPr>
              <w:tabs>
                <w:tab w:val="center" w:pos="4153"/>
                <w:tab w:val="right" w:pos="8306"/>
              </w:tabs>
              <w:snapToGrid w:val="0"/>
              <w:spacing w:line="240" w:lineRule="auto"/>
              <w:ind w:firstLine="0" w:firstLineChars="0"/>
              <w:rPr>
                <w:rFonts w:cstheme="minorBidi"/>
                <w:snapToGrid w:val="0"/>
                <w:color w:val="auto"/>
                <w:kern w:val="2"/>
                <w:sz w:val="21"/>
                <w:szCs w:val="21"/>
              </w:rPr>
            </w:pPr>
            <w:r>
              <w:rPr>
                <w:rFonts w:cstheme="minorBidi"/>
                <w:snapToGrid w:val="0"/>
                <w:color w:val="auto"/>
                <w:kern w:val="2"/>
                <w:sz w:val="21"/>
                <w:szCs w:val="21"/>
              </w:rPr>
              <w:t>道路交通噪声</w:t>
            </w:r>
          </w:p>
        </w:tc>
        <w:tc>
          <w:tcPr>
            <w:tcW w:w="6903" w:type="dxa"/>
            <w:vAlign w:val="center"/>
          </w:tcPr>
          <w:p w14:paraId="1ED55736">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合理调度运输车辆作业时间，禁止夜间运输大宗物料；运输道路两侧进行绿化，形成绿化隔离带，既可降低噪声，阻留扬尘，又可美化环境；加强 运输车辆的维护管理，确保运输车辆在最佳工况下行驶。</w:t>
            </w:r>
          </w:p>
        </w:tc>
        <w:tc>
          <w:tcPr>
            <w:tcW w:w="5307" w:type="dxa"/>
            <w:tcBorders>
              <w:right w:val="single" w:color="000000" w:sz="10" w:space="0"/>
            </w:tcBorders>
            <w:vAlign w:val="center"/>
          </w:tcPr>
          <w:p w14:paraId="1314CA5C">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已落实。</w:t>
            </w:r>
          </w:p>
          <w:p w14:paraId="797F6497">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大宗物料的运输均在白天进行；运输道路两侧建立绿化带隔离；矿方对运输车辆定期进行维护、保养。</w:t>
            </w:r>
          </w:p>
        </w:tc>
      </w:tr>
      <w:tr w14:paraId="23B4BD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restart"/>
            <w:tcBorders>
              <w:left w:val="single" w:color="000000" w:sz="10" w:space="0"/>
            </w:tcBorders>
            <w:vAlign w:val="center"/>
          </w:tcPr>
          <w:p w14:paraId="546165F3">
            <w:pPr>
              <w:tabs>
                <w:tab w:val="center" w:pos="4153"/>
                <w:tab w:val="right" w:pos="8306"/>
              </w:tabs>
              <w:snapToGrid w:val="0"/>
              <w:spacing w:line="240" w:lineRule="auto"/>
              <w:ind w:firstLine="0" w:firstLineChars="0"/>
              <w:rPr>
                <w:rFonts w:cstheme="minorBidi"/>
                <w:snapToGrid w:val="0"/>
                <w:color w:val="auto"/>
                <w:kern w:val="2"/>
                <w:sz w:val="21"/>
                <w:szCs w:val="21"/>
              </w:rPr>
            </w:pPr>
            <w:r>
              <w:rPr>
                <w:rFonts w:hint="eastAsia" w:cstheme="minorBidi"/>
                <w:snapToGrid w:val="0"/>
                <w:color w:val="auto"/>
                <w:kern w:val="2"/>
                <w:sz w:val="21"/>
                <w:szCs w:val="21"/>
              </w:rPr>
              <w:t>固废</w:t>
            </w:r>
          </w:p>
        </w:tc>
        <w:tc>
          <w:tcPr>
            <w:tcW w:w="1337" w:type="dxa"/>
            <w:vAlign w:val="center"/>
          </w:tcPr>
          <w:p w14:paraId="3790FE09">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固体废物</w:t>
            </w:r>
          </w:p>
        </w:tc>
        <w:tc>
          <w:tcPr>
            <w:tcW w:w="6903" w:type="dxa"/>
            <w:vAlign w:val="center"/>
          </w:tcPr>
          <w:p w14:paraId="506E622E">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采掘、干选废石全部外卖做建材。75%尾矿充填井下采空区。12.6%的尾矿 外售制砖，12.4%的尾矿堆存在尾矿库。锅炉渣全部外卖做建材。生活垃 圾定期运至当地环卫部门指定生活垃圾处理厂处置。</w:t>
            </w:r>
          </w:p>
        </w:tc>
        <w:tc>
          <w:tcPr>
            <w:tcW w:w="5307" w:type="dxa"/>
            <w:tcBorders>
              <w:right w:val="single" w:color="000000" w:sz="10" w:space="0"/>
            </w:tcBorders>
            <w:vAlign w:val="center"/>
          </w:tcPr>
          <w:p w14:paraId="58B93548">
            <w:pPr>
              <w:spacing w:before="75" w:line="228" w:lineRule="auto"/>
              <w:ind w:firstLine="420"/>
              <w:rPr>
                <w:rFonts w:cstheme="minorBidi"/>
                <w:snapToGrid w:val="0"/>
                <w:color w:val="auto"/>
                <w:kern w:val="2"/>
                <w:sz w:val="21"/>
                <w:szCs w:val="21"/>
              </w:rPr>
            </w:pPr>
            <w:r>
              <w:rPr>
                <w:rFonts w:cstheme="minorBidi"/>
                <w:snapToGrid w:val="0"/>
                <w:color w:val="auto"/>
                <w:kern w:val="2"/>
                <w:sz w:val="21"/>
                <w:szCs w:val="21"/>
              </w:rPr>
              <w:t>已落实。</w:t>
            </w:r>
          </w:p>
          <w:p w14:paraId="35B9606B">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由于当地建材原料短缺，本扩建工程取消了废石场，产 生的井下废石和干抛废石全部外售给霍邱县三利石料销 售有限公司等建材企业供综合利用，废石由用户直接运 走，无堆存。每年有88.06万吨的尾砂用于井下填充、 41.17万吨外售给霍邱县范桥永兴建材有限公司进行综 合利用、19.05万吨进入尾矿库。锅炉灰渣设有临时堆存 场所并定期外售；生活垃圾运至当地环卫部门指定的生 活垃圾处理厂处理处置。</w:t>
            </w:r>
          </w:p>
        </w:tc>
      </w:tr>
      <w:tr w14:paraId="477DF5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5BA30E3B">
            <w:pPr>
              <w:tabs>
                <w:tab w:val="center" w:pos="4153"/>
                <w:tab w:val="right" w:pos="8306"/>
              </w:tabs>
              <w:snapToGrid w:val="0"/>
              <w:spacing w:line="240" w:lineRule="auto"/>
              <w:ind w:firstLine="424" w:firstLineChars="0"/>
              <w:rPr>
                <w:rFonts w:cstheme="minorBidi"/>
                <w:snapToGrid w:val="0"/>
                <w:color w:val="auto"/>
                <w:kern w:val="2"/>
                <w:sz w:val="21"/>
                <w:szCs w:val="21"/>
              </w:rPr>
            </w:pPr>
          </w:p>
        </w:tc>
        <w:tc>
          <w:tcPr>
            <w:tcW w:w="1337" w:type="dxa"/>
            <w:vAlign w:val="center"/>
          </w:tcPr>
          <w:p w14:paraId="1965E0E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固废贮存处置场</w:t>
            </w:r>
          </w:p>
        </w:tc>
        <w:tc>
          <w:tcPr>
            <w:tcW w:w="6903" w:type="dxa"/>
            <w:vAlign w:val="center"/>
          </w:tcPr>
          <w:p w14:paraId="67EC145B">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1、禁止生活垃圾、锅炉灰渣等固废排入尾矿库；</w:t>
            </w:r>
          </w:p>
          <w:p w14:paraId="7D12E0CD">
            <w:pPr>
              <w:tabs>
                <w:tab w:val="center" w:pos="4153"/>
                <w:tab w:val="right" w:pos="8306"/>
              </w:tabs>
              <w:snapToGrid w:val="0"/>
              <w:spacing w:line="240" w:lineRule="auto"/>
              <w:ind w:firstLine="420" w:firstLineChars="0"/>
              <w:rPr>
                <w:rFonts w:cstheme="minorBidi"/>
                <w:snapToGrid w:val="0"/>
                <w:color w:val="auto"/>
                <w:kern w:val="2"/>
                <w:sz w:val="21"/>
                <w:szCs w:val="21"/>
              </w:rPr>
            </w:pPr>
            <w:r>
              <w:rPr>
                <w:rFonts w:cstheme="minorBidi"/>
                <w:snapToGrid w:val="0"/>
                <w:color w:val="auto"/>
                <w:kern w:val="2"/>
                <w:sz w:val="21"/>
                <w:szCs w:val="21"/>
              </w:rPr>
              <w:t>2、定期检查维护尾矿坝、排洪设施、回水设施等，保证正常运行；</w:t>
            </w:r>
          </w:p>
          <w:p w14:paraId="67019F2B">
            <w:pPr>
              <w:tabs>
                <w:tab w:val="center" w:pos="4153"/>
                <w:tab w:val="right" w:pos="8306"/>
              </w:tabs>
              <w:snapToGrid w:val="0"/>
              <w:spacing w:line="240" w:lineRule="auto"/>
              <w:ind w:firstLine="420" w:firstLineChars="0"/>
              <w:rPr>
                <w:rFonts w:cstheme="minorBidi"/>
                <w:snapToGrid w:val="0"/>
                <w:color w:val="auto"/>
                <w:kern w:val="2"/>
                <w:sz w:val="21"/>
                <w:szCs w:val="21"/>
              </w:rPr>
            </w:pPr>
            <w:r>
              <w:rPr>
                <w:rFonts w:cstheme="minorBidi"/>
                <w:snapToGrid w:val="0"/>
                <w:color w:val="auto"/>
                <w:kern w:val="2"/>
                <w:sz w:val="21"/>
                <w:szCs w:val="21"/>
              </w:rPr>
              <w:t>3、建立尾矿库运行档案制度；</w:t>
            </w:r>
          </w:p>
          <w:p w14:paraId="068BE143">
            <w:pPr>
              <w:tabs>
                <w:tab w:val="center" w:pos="4153"/>
                <w:tab w:val="right" w:pos="8306"/>
              </w:tabs>
              <w:snapToGrid w:val="0"/>
              <w:spacing w:line="240" w:lineRule="auto"/>
              <w:ind w:firstLine="420" w:firstLineChars="0"/>
              <w:rPr>
                <w:rFonts w:cstheme="minorBidi"/>
                <w:snapToGrid w:val="0"/>
                <w:color w:val="auto"/>
                <w:kern w:val="2"/>
                <w:sz w:val="21"/>
                <w:szCs w:val="21"/>
              </w:rPr>
            </w:pPr>
            <w:r>
              <w:rPr>
                <w:rFonts w:cstheme="minorBidi"/>
                <w:snapToGrid w:val="0"/>
                <w:color w:val="auto"/>
                <w:kern w:val="2"/>
                <w:sz w:val="21"/>
                <w:szCs w:val="21"/>
              </w:rPr>
              <w:t>4、尾矿库应按GB15562.2设置环境保护图形标志。</w:t>
            </w:r>
          </w:p>
          <w:p w14:paraId="7471ADDF">
            <w:pPr>
              <w:tabs>
                <w:tab w:val="center" w:pos="4153"/>
                <w:tab w:val="right" w:pos="8306"/>
              </w:tabs>
              <w:snapToGrid w:val="0"/>
              <w:spacing w:line="240" w:lineRule="auto"/>
              <w:ind w:firstLine="420" w:firstLineChars="0"/>
              <w:rPr>
                <w:rFonts w:cstheme="minorBidi"/>
                <w:snapToGrid w:val="0"/>
                <w:color w:val="auto"/>
                <w:kern w:val="2"/>
                <w:sz w:val="21"/>
                <w:szCs w:val="21"/>
              </w:rPr>
            </w:pPr>
            <w:r>
              <w:rPr>
                <w:rFonts w:cstheme="minorBidi"/>
                <w:snapToGrid w:val="0"/>
                <w:color w:val="auto"/>
                <w:kern w:val="2"/>
                <w:sz w:val="21"/>
                <w:szCs w:val="21"/>
              </w:rPr>
              <w:t>5、现有锅炉灰渣场没有扬尘防控措施，环评建议其渣场底部按照《一般 工业固体废物贮存、处置场污染控制标准》  （GB18599-2001） Ⅱ类一般固 废有关要求进行底部防渗，上部设防雨棚，周围设1m高挡渣墙，锅炉灰渣 及时清运。</w:t>
            </w:r>
          </w:p>
        </w:tc>
        <w:tc>
          <w:tcPr>
            <w:tcW w:w="5307" w:type="dxa"/>
            <w:tcBorders>
              <w:right w:val="single" w:color="000000" w:sz="10" w:space="0"/>
            </w:tcBorders>
            <w:vAlign w:val="center"/>
          </w:tcPr>
          <w:p w14:paraId="70187466">
            <w:pPr>
              <w:spacing w:before="269" w:line="227" w:lineRule="auto"/>
              <w:ind w:firstLine="420"/>
              <w:rPr>
                <w:rFonts w:cstheme="minorBidi"/>
                <w:snapToGrid w:val="0"/>
                <w:color w:val="auto"/>
                <w:kern w:val="2"/>
                <w:sz w:val="21"/>
                <w:szCs w:val="21"/>
              </w:rPr>
            </w:pPr>
            <w:r>
              <w:rPr>
                <w:rFonts w:cstheme="minorBidi"/>
                <w:snapToGrid w:val="0"/>
                <w:color w:val="auto"/>
                <w:kern w:val="2"/>
                <w:sz w:val="21"/>
                <w:szCs w:val="21"/>
              </w:rPr>
              <w:t>基本落实。</w:t>
            </w:r>
          </w:p>
          <w:p w14:paraId="48282771">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矿方配备了尾矿库专门巡检人员，定期对尾矿坝、排洪 设施、回水设施等进行检查维护。建立了尾矿库运行档 案制度，尾矿库的巡视人员和尾矿放矿的管理人员如实 记录现场情况，并存档备查。锅炉灰渣场底部设置了水 泥地面，上部设防雨棚，周围设挡渣墙，锅炉灰渣日产 日清，及时进行综合利用。</w:t>
            </w:r>
          </w:p>
        </w:tc>
      </w:tr>
      <w:tr w14:paraId="5CFE73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tcBorders>
              <w:left w:val="single" w:color="000000" w:sz="10" w:space="0"/>
            </w:tcBorders>
            <w:vAlign w:val="center"/>
          </w:tcPr>
          <w:p w14:paraId="5D07693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爆破振动</w:t>
            </w:r>
          </w:p>
        </w:tc>
        <w:tc>
          <w:tcPr>
            <w:tcW w:w="1337" w:type="dxa"/>
            <w:vAlign w:val="center"/>
          </w:tcPr>
          <w:p w14:paraId="005C1CC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爆破振动</w:t>
            </w:r>
          </w:p>
        </w:tc>
        <w:tc>
          <w:tcPr>
            <w:tcW w:w="6903" w:type="dxa"/>
            <w:vAlign w:val="center"/>
          </w:tcPr>
          <w:p w14:paraId="68C7CD4F">
            <w:pPr>
              <w:tabs>
                <w:tab w:val="center" w:pos="4153"/>
                <w:tab w:val="right" w:pos="8306"/>
              </w:tabs>
              <w:snapToGrid w:val="0"/>
              <w:spacing w:line="240" w:lineRule="auto"/>
              <w:ind w:firstLine="420" w:firstLineChars="0"/>
              <w:rPr>
                <w:rFonts w:cstheme="minorBidi"/>
                <w:snapToGrid w:val="0"/>
                <w:color w:val="auto"/>
                <w:kern w:val="2"/>
                <w:sz w:val="21"/>
                <w:szCs w:val="21"/>
              </w:rPr>
            </w:pPr>
            <w:r>
              <w:rPr>
                <w:rFonts w:cstheme="minorBidi"/>
                <w:snapToGrid w:val="0"/>
                <w:color w:val="auto"/>
                <w:kern w:val="2"/>
                <w:sz w:val="21"/>
                <w:szCs w:val="21"/>
              </w:rPr>
              <w:t>严格控制单次爆破药量；尽可能选用低爆速、低威力的炸药；爆破采用微 差控制爆破技术，减少最大一段药量；按地震效应最小的原则确定微差时 间。</w:t>
            </w:r>
          </w:p>
        </w:tc>
        <w:tc>
          <w:tcPr>
            <w:tcW w:w="5307" w:type="dxa"/>
            <w:tcBorders>
              <w:right w:val="single" w:color="000000" w:sz="10" w:space="0"/>
            </w:tcBorders>
            <w:vAlign w:val="center"/>
          </w:tcPr>
          <w:p w14:paraId="2F77563A">
            <w:pPr>
              <w:tabs>
                <w:tab w:val="center" w:pos="4153"/>
                <w:tab w:val="right" w:pos="8306"/>
              </w:tabs>
              <w:snapToGrid w:val="0"/>
              <w:spacing w:line="240" w:lineRule="auto"/>
              <w:ind w:firstLine="420" w:firstLineChars="0"/>
              <w:rPr>
                <w:rFonts w:cstheme="minorBidi"/>
                <w:snapToGrid w:val="0"/>
                <w:color w:val="auto"/>
                <w:kern w:val="2"/>
                <w:sz w:val="21"/>
                <w:szCs w:val="21"/>
              </w:rPr>
            </w:pPr>
            <w:r>
              <w:rPr>
                <w:rFonts w:cstheme="minorBidi"/>
                <w:snapToGrid w:val="0"/>
                <w:color w:val="auto"/>
                <w:kern w:val="2"/>
                <w:sz w:val="21"/>
                <w:szCs w:val="21"/>
              </w:rPr>
              <w:t>已落实。</w:t>
            </w:r>
          </w:p>
          <w:p w14:paraId="541C4E8E">
            <w:pPr>
              <w:tabs>
                <w:tab w:val="center" w:pos="4153"/>
                <w:tab w:val="right" w:pos="8306"/>
              </w:tabs>
              <w:snapToGrid w:val="0"/>
              <w:spacing w:line="240" w:lineRule="auto"/>
              <w:ind w:firstLine="420" w:firstLineChars="0"/>
              <w:rPr>
                <w:rFonts w:cstheme="minorBidi"/>
                <w:snapToGrid w:val="0"/>
                <w:color w:val="auto"/>
                <w:kern w:val="2"/>
                <w:sz w:val="21"/>
                <w:szCs w:val="21"/>
              </w:rPr>
            </w:pPr>
            <w:r>
              <w:rPr>
                <w:rFonts w:cstheme="minorBidi"/>
                <w:snapToGrid w:val="0"/>
                <w:color w:val="auto"/>
                <w:kern w:val="2"/>
                <w:sz w:val="21"/>
                <w:szCs w:val="21"/>
              </w:rPr>
              <w:t>采用微差爆破技术。</w:t>
            </w:r>
          </w:p>
        </w:tc>
      </w:tr>
      <w:tr w14:paraId="71804E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restart"/>
            <w:tcBorders>
              <w:left w:val="single" w:color="000000" w:sz="10" w:space="0"/>
            </w:tcBorders>
            <w:vAlign w:val="center"/>
          </w:tcPr>
          <w:p w14:paraId="1FC23110">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生态环境</w:t>
            </w:r>
          </w:p>
        </w:tc>
        <w:tc>
          <w:tcPr>
            <w:tcW w:w="1337" w:type="dxa"/>
            <w:vAlign w:val="center"/>
          </w:tcPr>
          <w:p w14:paraId="77E0F964">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生态保护</w:t>
            </w:r>
          </w:p>
        </w:tc>
        <w:tc>
          <w:tcPr>
            <w:tcW w:w="6903" w:type="dxa"/>
            <w:vAlign w:val="center"/>
          </w:tcPr>
          <w:p w14:paraId="0CCC7594">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尾矿库永久性边坡平台应及时覆土，并恢复植被。建立矿区地表变形观测 网，对地表变形进行长期动态观测。建立矿区地下水长期动态观测网，如 发现因矿山开采影响居民饮用水井水位、水质，应及时采取补救措施。控 制地表变形，预留50m防护顶板，及时充填井下采空区。</w:t>
            </w:r>
          </w:p>
        </w:tc>
        <w:tc>
          <w:tcPr>
            <w:tcW w:w="5307" w:type="dxa"/>
            <w:tcBorders>
              <w:right w:val="single" w:color="000000" w:sz="10" w:space="0"/>
            </w:tcBorders>
            <w:vAlign w:val="center"/>
          </w:tcPr>
          <w:p w14:paraId="04AD33B9">
            <w:pPr>
              <w:spacing w:before="95" w:line="227" w:lineRule="auto"/>
              <w:ind w:firstLine="420"/>
              <w:rPr>
                <w:rFonts w:cstheme="minorBidi"/>
                <w:snapToGrid w:val="0"/>
                <w:color w:val="auto"/>
                <w:kern w:val="2"/>
                <w:sz w:val="21"/>
                <w:szCs w:val="21"/>
              </w:rPr>
            </w:pPr>
            <w:r>
              <w:rPr>
                <w:rFonts w:cstheme="minorBidi"/>
                <w:snapToGrid w:val="0"/>
                <w:color w:val="auto"/>
                <w:kern w:val="2"/>
                <w:sz w:val="21"/>
                <w:szCs w:val="21"/>
              </w:rPr>
              <w:t>基本落实。</w:t>
            </w:r>
          </w:p>
          <w:p w14:paraId="1AC7792C">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尾矿库永久边坡已经绿化。金安矿业草楼铁矿建立了矿 区地表变形观测网，观测结果表明，截至2013年2月份， 最大下沉值为3mm，基本没有下沉现象。在王油坊、倪庄、 洪小庄、冀老庄进行地下水水位、水质的监测，监测频 率为每季度一次。编制了居民饮用水供水应急预案，到 目前为止，采矿活动未对居民的生产、生活用水造成影 响。南、北充填站均按照设计要求进行充填作业。</w:t>
            </w:r>
          </w:p>
        </w:tc>
      </w:tr>
      <w:tr w14:paraId="78B806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5D73BF82">
            <w:pPr>
              <w:tabs>
                <w:tab w:val="center" w:pos="4153"/>
                <w:tab w:val="right" w:pos="8306"/>
              </w:tabs>
              <w:snapToGrid w:val="0"/>
              <w:spacing w:line="240" w:lineRule="auto"/>
              <w:ind w:firstLine="424" w:firstLineChars="0"/>
              <w:rPr>
                <w:rFonts w:cstheme="minorBidi"/>
                <w:snapToGrid w:val="0"/>
                <w:color w:val="auto"/>
                <w:kern w:val="2"/>
                <w:sz w:val="21"/>
                <w:szCs w:val="21"/>
              </w:rPr>
            </w:pPr>
          </w:p>
        </w:tc>
        <w:tc>
          <w:tcPr>
            <w:tcW w:w="1337" w:type="dxa"/>
            <w:vAlign w:val="center"/>
          </w:tcPr>
          <w:p w14:paraId="3C86BC1D">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水土保持</w:t>
            </w:r>
          </w:p>
        </w:tc>
        <w:tc>
          <w:tcPr>
            <w:tcW w:w="6903" w:type="dxa"/>
            <w:vAlign w:val="center"/>
          </w:tcPr>
          <w:p w14:paraId="5E93E841">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1、地下开采错动区采取绿化为主的植物措施。</w:t>
            </w:r>
          </w:p>
          <w:p w14:paraId="4772CBBC">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 xml:space="preserve">2、废石堆场采取设置挡渣墙的工程措施与绿化、复垦等植物措施相结合。 </w:t>
            </w:r>
          </w:p>
          <w:p w14:paraId="5C3154A8">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3、尾矿库主要采取设置尾矿坝的工程措施，尾矿库服役期满后，及时复 垦，恢复植被。</w:t>
            </w:r>
          </w:p>
          <w:p w14:paraId="7CE6FB5D">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4、尾矿输送管道及道路、风井场地及道路采取绿化为主的植物措施，矿 区排洪沟采取浆砌片石护坡的工程措施。</w:t>
            </w:r>
          </w:p>
          <w:p w14:paraId="17EB6EDE">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 xml:space="preserve"> 5、采、选工业场地采取设置排洪沟与绿化等植物措施相结合，辅助生活 区和水源地采取绿化为主的植物措施。</w:t>
            </w:r>
          </w:p>
        </w:tc>
        <w:tc>
          <w:tcPr>
            <w:tcW w:w="5307" w:type="dxa"/>
            <w:tcBorders>
              <w:right w:val="single" w:color="000000" w:sz="10" w:space="0"/>
            </w:tcBorders>
            <w:vAlign w:val="center"/>
          </w:tcPr>
          <w:p w14:paraId="79FEA8FD">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已落实</w:t>
            </w:r>
          </w:p>
          <w:p w14:paraId="73A0173B">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1、扩建工程新井区的井筒础开挖、场地平整以及剥离的表土在施工期妥善的保存，已用于工业场地等处的覆土、 绿化。在地下开采错动区采取了绿化的措施。</w:t>
            </w:r>
          </w:p>
          <w:p w14:paraId="1247DC81">
            <w:pPr>
              <w:tabs>
                <w:tab w:val="center" w:pos="4153"/>
                <w:tab w:val="right" w:pos="8306"/>
              </w:tabs>
              <w:snapToGrid w:val="0"/>
              <w:spacing w:line="240" w:lineRule="auto"/>
              <w:ind w:firstLine="409" w:firstLineChars="195"/>
              <w:rPr>
                <w:rFonts w:cstheme="minorBidi"/>
                <w:snapToGrid w:val="0"/>
                <w:color w:val="auto"/>
                <w:kern w:val="2"/>
                <w:sz w:val="21"/>
                <w:szCs w:val="21"/>
              </w:rPr>
            </w:pPr>
            <w:r>
              <w:rPr>
                <w:rFonts w:cstheme="minorBidi"/>
                <w:snapToGrid w:val="0"/>
                <w:color w:val="auto"/>
                <w:kern w:val="2"/>
                <w:sz w:val="21"/>
                <w:szCs w:val="21"/>
              </w:rPr>
              <w:t>2、取消了废石堆场。</w:t>
            </w:r>
          </w:p>
          <w:p w14:paraId="2FE7C254">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3、尾矿库设置了尾矿坝，在永久性平台和边坡处已进行 了绿化，并制定有复垦计划。</w:t>
            </w:r>
          </w:p>
          <w:p w14:paraId="11F09814">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4、尾矿输送管道及道路两侧采取了绿化措施，矿区排洪 沟采取浆砌片石进行护坡。</w:t>
            </w:r>
          </w:p>
          <w:p w14:paraId="3E08F551">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5、选矿厂、北辅助提升井的工业场地周边及道路都设置 排洪沟，排洪沟内侧采取浆砌片石进行护坡，坡岸种植 树木等进行绿化。</w:t>
            </w:r>
          </w:p>
        </w:tc>
      </w:tr>
      <w:tr w14:paraId="09A663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tcBorders>
              <w:left w:val="single" w:color="000000" w:sz="10" w:space="0"/>
            </w:tcBorders>
            <w:vAlign w:val="center"/>
          </w:tcPr>
          <w:p w14:paraId="5DE0A86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环境风险</w:t>
            </w:r>
          </w:p>
        </w:tc>
        <w:tc>
          <w:tcPr>
            <w:tcW w:w="1337" w:type="dxa"/>
            <w:vAlign w:val="center"/>
          </w:tcPr>
          <w:p w14:paraId="0EA94605">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搬迁安置</w:t>
            </w:r>
          </w:p>
        </w:tc>
        <w:tc>
          <w:tcPr>
            <w:tcW w:w="6903" w:type="dxa"/>
            <w:vAlign w:val="center"/>
          </w:tcPr>
          <w:p w14:paraId="0EEFF60D">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开展对尾矿库、废石场周围500米内的288户居民的搬迁安置工作</w:t>
            </w:r>
          </w:p>
        </w:tc>
        <w:tc>
          <w:tcPr>
            <w:tcW w:w="5307" w:type="dxa"/>
            <w:tcBorders>
              <w:right w:val="single" w:color="000000" w:sz="10" w:space="0"/>
            </w:tcBorders>
            <w:vAlign w:val="center"/>
          </w:tcPr>
          <w:p w14:paraId="26BF0819">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尾矿库周围500m范围内孟家后楼、刘郢、光明、油坊、 草楼搬迁，南区充填站西南的元华圩搬迁了57户215 人， 未拆迁居民最近距离南区充填站150m，距离选厂工业场 地厂界450m。因取消了临时废石堆场，非市场周围500m 内未拆迁居民无需搬迁</w:t>
            </w:r>
          </w:p>
        </w:tc>
      </w:tr>
      <w:tr w14:paraId="7BB160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restart"/>
            <w:tcBorders>
              <w:left w:val="single" w:color="000000" w:sz="10" w:space="0"/>
            </w:tcBorders>
            <w:vAlign w:val="center"/>
          </w:tcPr>
          <w:p w14:paraId="7A99E94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环境管理</w:t>
            </w:r>
          </w:p>
        </w:tc>
        <w:tc>
          <w:tcPr>
            <w:tcW w:w="1337" w:type="dxa"/>
            <w:vAlign w:val="center"/>
          </w:tcPr>
          <w:p w14:paraId="7D96629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日常环境管理</w:t>
            </w:r>
          </w:p>
        </w:tc>
        <w:tc>
          <w:tcPr>
            <w:tcW w:w="6903" w:type="dxa"/>
            <w:vAlign w:val="center"/>
          </w:tcPr>
          <w:p w14:paraId="0D511DFD">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在矿长、环保主管副矿长直接领导下，安全环保部实施环保管理和环保目标考核工作，安全环保部设置4名专职环保管理人员，各生产车间设兼职 环保员，具体落实企业的各项环保工作，环保管理按IS014001环境管理体 系运行。</w:t>
            </w:r>
          </w:p>
        </w:tc>
        <w:tc>
          <w:tcPr>
            <w:tcW w:w="5307" w:type="dxa"/>
            <w:tcBorders>
              <w:right w:val="single" w:color="000000" w:sz="10" w:space="0"/>
            </w:tcBorders>
            <w:vAlign w:val="center"/>
          </w:tcPr>
          <w:p w14:paraId="0B97D2C2">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已落实。</w:t>
            </w:r>
          </w:p>
          <w:p w14:paraId="7BF8325F">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草楼铁矿环境管理实行领导负责制， 由公司总经理全面协调、总体把握环保工作的开展，副总经理直接负责生 产、安全和环保工作，下辖安全环保部，安全环保部设</w:t>
            </w:r>
          </w:p>
        </w:tc>
      </w:tr>
      <w:tr w14:paraId="64F179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3" w:hRule="atLeast"/>
          <w:jc w:val="center"/>
        </w:trPr>
        <w:tc>
          <w:tcPr>
            <w:tcW w:w="676" w:type="dxa"/>
            <w:vMerge w:val="continue"/>
            <w:tcBorders>
              <w:left w:val="single" w:color="000000" w:sz="10" w:space="0"/>
            </w:tcBorders>
            <w:vAlign w:val="center"/>
          </w:tcPr>
          <w:p w14:paraId="393A0F62">
            <w:pPr>
              <w:tabs>
                <w:tab w:val="center" w:pos="4153"/>
                <w:tab w:val="right" w:pos="8306"/>
              </w:tabs>
              <w:snapToGrid w:val="0"/>
              <w:spacing w:line="240" w:lineRule="auto"/>
              <w:ind w:firstLine="424" w:firstLineChars="0"/>
              <w:jc w:val="center"/>
              <w:rPr>
                <w:rFonts w:cstheme="minorBidi"/>
                <w:snapToGrid w:val="0"/>
                <w:color w:val="auto"/>
                <w:kern w:val="2"/>
                <w:sz w:val="21"/>
                <w:szCs w:val="21"/>
              </w:rPr>
            </w:pPr>
          </w:p>
        </w:tc>
        <w:tc>
          <w:tcPr>
            <w:tcW w:w="1337" w:type="dxa"/>
            <w:vAlign w:val="center"/>
          </w:tcPr>
          <w:p w14:paraId="036D0510">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环境监测</w:t>
            </w:r>
          </w:p>
        </w:tc>
        <w:tc>
          <w:tcPr>
            <w:tcW w:w="6903" w:type="dxa"/>
            <w:vAlign w:val="center"/>
          </w:tcPr>
          <w:p w14:paraId="0867DDDB">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委托六安市环境监测中心站对草楼铁矿采选工程的废气、废水、噪声和环境质量等，按照污染源监测技术规范等要求开展环境监测工作。建立矿区 地下水长期动态观测网，对地下水进行长期动态观测。</w:t>
            </w:r>
          </w:p>
        </w:tc>
        <w:tc>
          <w:tcPr>
            <w:tcW w:w="5307" w:type="dxa"/>
            <w:tcBorders>
              <w:right w:val="single" w:color="000000" w:sz="10" w:space="0"/>
            </w:tcBorders>
            <w:vAlign w:val="center"/>
          </w:tcPr>
          <w:p w14:paraId="31593FF8">
            <w:pPr>
              <w:spacing w:before="72" w:line="227" w:lineRule="auto"/>
              <w:ind w:firstLine="420"/>
              <w:rPr>
                <w:rFonts w:cstheme="minorBidi"/>
                <w:snapToGrid w:val="0"/>
                <w:color w:val="auto"/>
                <w:kern w:val="2"/>
                <w:sz w:val="21"/>
                <w:szCs w:val="21"/>
              </w:rPr>
            </w:pPr>
            <w:r>
              <w:rPr>
                <w:rFonts w:cstheme="minorBidi"/>
                <w:snapToGrid w:val="0"/>
                <w:color w:val="auto"/>
                <w:kern w:val="2"/>
                <w:sz w:val="21"/>
                <w:szCs w:val="21"/>
              </w:rPr>
              <w:t>基本落实。</w:t>
            </w:r>
          </w:p>
          <w:p w14:paraId="13B6C007">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本项目运行期例行监测委托</w:t>
            </w:r>
            <w:r>
              <w:rPr>
                <w:rFonts w:hint="eastAsia" w:cstheme="minorBidi"/>
                <w:snapToGrid w:val="0"/>
                <w:color w:val="auto"/>
                <w:kern w:val="2"/>
                <w:sz w:val="21"/>
                <w:szCs w:val="21"/>
              </w:rPr>
              <w:t>第三方检测单位</w:t>
            </w:r>
            <w:r>
              <w:rPr>
                <w:rFonts w:cstheme="minorBidi"/>
                <w:snapToGrid w:val="0"/>
                <w:color w:val="auto"/>
                <w:kern w:val="2"/>
                <w:sz w:val="21"/>
                <w:szCs w:val="21"/>
              </w:rPr>
              <w:t>进行例行监测</w:t>
            </w:r>
          </w:p>
        </w:tc>
      </w:tr>
    </w:tbl>
    <w:p w14:paraId="3674E8AD">
      <w:pPr>
        <w:ind w:firstLine="480"/>
      </w:pPr>
    </w:p>
    <w:p w14:paraId="67101F50">
      <w:pPr>
        <w:ind w:firstLine="480"/>
        <w:sectPr>
          <w:pgSz w:w="16838" w:h="11906" w:orient="landscape"/>
          <w:pgMar w:top="1797" w:right="1440" w:bottom="1797" w:left="1440" w:header="851" w:footer="992" w:gutter="0"/>
          <w:cols w:space="425" w:num="1"/>
          <w:docGrid w:type="lines" w:linePitch="326" w:charSpace="0"/>
        </w:sectPr>
      </w:pPr>
    </w:p>
    <w:p w14:paraId="23393F1E">
      <w:pPr>
        <w:pStyle w:val="4"/>
      </w:pPr>
      <w:r>
        <w:rPr>
          <w:rFonts w:hint="eastAsia"/>
        </w:rPr>
        <w:t>2.</w:t>
      </w:r>
      <w:r>
        <w:t>2</w:t>
      </w:r>
      <w:r>
        <w:rPr>
          <w:rFonts w:hint="eastAsia"/>
        </w:rPr>
        <w:t>.2</w:t>
      </w:r>
      <w:r>
        <w:t xml:space="preserve"> </w:t>
      </w:r>
      <w:r>
        <w:rPr>
          <w:rFonts w:hint="eastAsia"/>
        </w:rPr>
        <w:t>竣工环境保护验收结论</w:t>
      </w:r>
    </w:p>
    <w:p w14:paraId="663717C5">
      <w:pPr>
        <w:pStyle w:val="5"/>
      </w:pPr>
      <w:r>
        <w:rPr>
          <w:rFonts w:hint="eastAsia"/>
        </w:rPr>
        <w:t>2.</w:t>
      </w:r>
      <w:r>
        <w:t>2</w:t>
      </w:r>
      <w:r>
        <w:rPr>
          <w:rFonts w:hint="eastAsia"/>
        </w:rPr>
        <w:t>.2.1</w:t>
      </w:r>
      <w:r>
        <w:t xml:space="preserve"> </w:t>
      </w:r>
      <w:r>
        <w:rPr>
          <w:rFonts w:hint="eastAsia"/>
        </w:rPr>
        <w:t>施工期环境影响</w:t>
      </w:r>
    </w:p>
    <w:p w14:paraId="6A97D168">
      <w:pPr>
        <w:ind w:firstLine="480"/>
      </w:pPr>
      <w:r>
        <w:rPr>
          <w:rFonts w:hint="eastAsia"/>
        </w:rPr>
        <w:t>根据环境监理报告，本项目施工期按照环境影响报告书及批复的要求，加强了对施工单位的环境管理，采取了降尘、降噪措施，施工废水、生活垃圾和建筑垃圾按照规定均得到处理。</w:t>
      </w:r>
    </w:p>
    <w:p w14:paraId="5D4971C0">
      <w:pPr>
        <w:pStyle w:val="5"/>
      </w:pPr>
      <w:r>
        <w:rPr>
          <w:rFonts w:hint="eastAsia"/>
        </w:rPr>
        <w:t>2.</w:t>
      </w:r>
      <w:r>
        <w:t>2</w:t>
      </w:r>
      <w:r>
        <w:rPr>
          <w:rFonts w:hint="eastAsia"/>
        </w:rPr>
        <w:t>.2.2</w:t>
      </w:r>
      <w:r>
        <w:t xml:space="preserve"> </w:t>
      </w:r>
      <w:r>
        <w:rPr>
          <w:rFonts w:hint="eastAsia"/>
        </w:rPr>
        <w:t>生态环境影响调查结论</w:t>
      </w:r>
    </w:p>
    <w:p w14:paraId="659DACF6">
      <w:pPr>
        <w:autoSpaceDE w:val="0"/>
        <w:autoSpaceDN w:val="0"/>
        <w:adjustRightInd w:val="0"/>
        <w:ind w:firstLine="600" w:firstLineChars="250"/>
        <w:jc w:val="left"/>
        <w:rPr>
          <w:rFonts w:ascii="宋体" w:cs="宋体"/>
          <w:kern w:val="0"/>
        </w:rPr>
      </w:pPr>
      <w:r>
        <w:rPr>
          <w:rFonts w:hint="eastAsia" w:ascii="宋体" w:cs="宋体"/>
          <w:kern w:val="0"/>
        </w:rPr>
        <w:t>根据现场调查，本项目能基本落实环评及其批复中的要求。</w:t>
      </w:r>
    </w:p>
    <w:p w14:paraId="6D014DE1">
      <w:pPr>
        <w:autoSpaceDE w:val="0"/>
        <w:autoSpaceDN w:val="0"/>
        <w:adjustRightInd w:val="0"/>
        <w:ind w:firstLine="480"/>
        <w:jc w:val="left"/>
        <w:rPr>
          <w:rFonts w:ascii="宋体" w:cs="宋体"/>
          <w:kern w:val="0"/>
        </w:rPr>
      </w:pPr>
      <w:r>
        <w:rPr>
          <w:rFonts w:hint="eastAsia" w:ascii="宋体" w:cs="宋体"/>
          <w:kern w:val="0"/>
        </w:rPr>
        <w:t>（1）本项目坚持开发建设与生态环境保护协调发展原则，在工程实施中，依靠强管理措施，兼顾生态环境保护，取得了较好的环境经济效益。</w:t>
      </w:r>
    </w:p>
    <w:p w14:paraId="66159BE2">
      <w:pPr>
        <w:autoSpaceDE w:val="0"/>
        <w:autoSpaceDN w:val="0"/>
        <w:adjustRightInd w:val="0"/>
        <w:ind w:firstLine="480"/>
        <w:jc w:val="left"/>
        <w:rPr>
          <w:rFonts w:ascii="宋体" w:cs="宋体"/>
          <w:kern w:val="0"/>
        </w:rPr>
      </w:pPr>
      <w:r>
        <w:rPr>
          <w:rFonts w:hint="eastAsia" w:ascii="宋体" w:cs="宋体"/>
          <w:kern w:val="0"/>
        </w:rPr>
        <w:t>（2）结合厂区的总平面布置统一安排，对厂区非建筑用地段及零星空地进行了绿化。种植了适应能力强、枝叶茂密的乔木或灌木。在路旁选用枝叶繁茂、耐修剪、易管理、生长迅速、成活率高的乡土植物。</w:t>
      </w:r>
    </w:p>
    <w:p w14:paraId="660A23B6">
      <w:pPr>
        <w:ind w:firstLine="480"/>
        <w:rPr>
          <w:rFonts w:ascii="宋体" w:cs="宋体"/>
          <w:kern w:val="0"/>
        </w:rPr>
      </w:pPr>
      <w:r>
        <w:rPr>
          <w:rFonts w:hint="eastAsia" w:ascii="宋体" w:cs="宋体"/>
          <w:kern w:val="0"/>
        </w:rPr>
        <w:t>（</w:t>
      </w:r>
      <w:r>
        <w:rPr>
          <w:kern w:val="0"/>
        </w:rPr>
        <w:t>3</w:t>
      </w:r>
      <w:r>
        <w:rPr>
          <w:rFonts w:hint="eastAsia" w:ascii="宋体" w:cs="宋体"/>
          <w:kern w:val="0"/>
        </w:rPr>
        <w:t>）</w:t>
      </w:r>
      <w:r>
        <w:rPr>
          <w:rFonts w:hint="eastAsia"/>
        </w:rPr>
        <w:t>采场错动区范围内的村庄地表构筑物并未发现有沉陷现象，地下开采对地表的农田生产也未造成不利影响，地表变形监测表明矿区地表整体稳定</w:t>
      </w:r>
      <w:r>
        <w:rPr>
          <w:rFonts w:hint="eastAsia" w:ascii="宋体" w:cs="宋体"/>
          <w:kern w:val="0"/>
        </w:rPr>
        <w:t>。</w:t>
      </w:r>
    </w:p>
    <w:p w14:paraId="2E08EB90">
      <w:pPr>
        <w:pStyle w:val="5"/>
      </w:pPr>
      <w:r>
        <w:rPr>
          <w:rFonts w:hint="eastAsia"/>
        </w:rPr>
        <w:t>2.</w:t>
      </w:r>
      <w:r>
        <w:t>2</w:t>
      </w:r>
      <w:r>
        <w:rPr>
          <w:rFonts w:hint="eastAsia"/>
        </w:rPr>
        <w:t>.2.3</w:t>
      </w:r>
      <w:r>
        <w:t xml:space="preserve"> </w:t>
      </w:r>
      <w:r>
        <w:rPr>
          <w:rFonts w:hint="eastAsia"/>
        </w:rPr>
        <w:t>地表水环境影响调查结论</w:t>
      </w:r>
    </w:p>
    <w:p w14:paraId="33EFBA31">
      <w:pPr>
        <w:ind w:firstLine="480"/>
      </w:pPr>
      <w:r>
        <w:rPr>
          <w:rFonts w:hint="eastAsia"/>
        </w:rPr>
        <w:t>（1）</w:t>
      </w:r>
      <w:r>
        <w:t>工业场地内新建了处理规模为 35m</w:t>
      </w:r>
      <w:r>
        <w:rPr>
          <w:vertAlign w:val="superscript"/>
        </w:rPr>
        <w:t>3</w:t>
      </w:r>
      <w:r>
        <w:t>/h 的生活污水处理站，新建了 3000m</w:t>
      </w:r>
      <w:r>
        <w:rPr>
          <w:vertAlign w:val="superscript"/>
        </w:rPr>
        <w:t>3</w:t>
      </w:r>
      <w:r>
        <w:t xml:space="preserve"> 的沉淀池一座；南辅助提升井新建了处理规模为 4m</w:t>
      </w:r>
      <w:r>
        <w:rPr>
          <w:vertAlign w:val="superscript"/>
        </w:rPr>
        <w:t>3</w:t>
      </w:r>
      <w:r>
        <w:t>/h 的生活污水处理站，北辅助提升井新建了处理规模为 3m</w:t>
      </w:r>
      <w:r>
        <w:rPr>
          <w:vertAlign w:val="superscript"/>
        </w:rPr>
        <w:t>3</w:t>
      </w:r>
      <w:r>
        <w:t>/h 的生活污水处理站。工业场地内的生活污水经处理后进入万吨水池循环利用，南、被辅助提升井的生活污水处理达标后回用于厂区绿化和洒水逸尘使用。井下排水经井下水仓沉淀后进入万吨水池循环利用。浓密池溢流水进入万吨水池循环利用。充填系统废水经沉淀后进入万吨水池循环利用。尾矿库回水经沉淀后进入万吨水池循环利用。</w:t>
      </w:r>
    </w:p>
    <w:p w14:paraId="7D7FD5D6">
      <w:pPr>
        <w:ind w:firstLine="480"/>
      </w:pPr>
      <w:r>
        <w:rPr>
          <w:rFonts w:hint="eastAsia"/>
        </w:rPr>
        <w:t>（2）</w:t>
      </w:r>
      <w:r>
        <w:t>经现场监测：处理后的生活污水各污染因子浓度满足《污水综合排放标准》 表 4 中一级标准要求。矿井排水和尾矿库回水各项监测因子均能够满足《污水综合 排放标准》一级标准和《铁矿采选工业污染物排放标准》表 1 标准要求；选矿水和万吨水池澄清水各项监测因子均能够满足《污水综合排放标 准》一级标准和《铁矿采选工业污染物排放标准》表 1 标准要求。</w:t>
      </w:r>
    </w:p>
    <w:p w14:paraId="0EC6C118">
      <w:pPr>
        <w:pStyle w:val="5"/>
      </w:pPr>
      <w:r>
        <w:rPr>
          <w:rFonts w:hint="eastAsia"/>
        </w:rPr>
        <w:t>2.</w:t>
      </w:r>
      <w:r>
        <w:t>2</w:t>
      </w:r>
      <w:r>
        <w:rPr>
          <w:rFonts w:hint="eastAsia"/>
        </w:rPr>
        <w:t>.2.4</w:t>
      </w:r>
      <w:r>
        <w:t xml:space="preserve"> </w:t>
      </w:r>
      <w:r>
        <w:rPr>
          <w:rFonts w:hint="eastAsia"/>
        </w:rPr>
        <w:t>环境空气影响调查结论</w:t>
      </w:r>
    </w:p>
    <w:p w14:paraId="79EA80A5">
      <w:pPr>
        <w:ind w:firstLine="480"/>
        <w:rPr>
          <w:kern w:val="0"/>
        </w:rPr>
      </w:pPr>
      <w:r>
        <w:rPr>
          <w:rFonts w:hint="eastAsia"/>
        </w:rPr>
        <w:t>（1）</w:t>
      </w:r>
      <w:r>
        <w:t>经现场调查，</w:t>
      </w:r>
      <w:r>
        <w:rPr>
          <w:rFonts w:hint="eastAsia"/>
        </w:rPr>
        <w:t>建设单位按照环评和设计要求对大气污染源防治措施一一进行了落实</w:t>
      </w:r>
      <w:r>
        <w:rPr>
          <w:kern w:val="0"/>
        </w:rPr>
        <w:t>。</w:t>
      </w:r>
    </w:p>
    <w:p w14:paraId="6E7748E9">
      <w:pPr>
        <w:ind w:firstLine="480"/>
      </w:pPr>
      <w:r>
        <w:rPr>
          <w:rFonts w:hint="eastAsia"/>
        </w:rPr>
        <w:t>（2）</w:t>
      </w:r>
      <w:r>
        <w:t>草楼铁矿扩建工程在中细碎车间新增一套 WSCⅡ-4.0 湿式除尘设施、改造 1 台 WSCⅡ-3.0 荷电水雾振弦洗涤除尘器，干抛车间改造 1 台 ZD1.0 微孔膜过滤式除尘器， 筛分车间利用原有 2 台 WSCⅡ-5.0 荷电水雾振弦洗涤除尘器。监测表明，粉尘排放浓度均满足《大气污染物综合排放标准》（GB16297-1996）中标准要求，且满足《铁矿采选工业污染物排放标准》  （GB28661-2012）表 4 标准要求。选矿厂、尾矿库以及南北辅助提升井厂界颗粒物的无组织排放浓度 限值达到《大气污染物综合排放标准》（GB16297-1996）表 2 中标准限值的要求， 且满足《铁矿采选工业污染物排放标准》(GB 28661-2012)表 7 中排放标准限值要求。 朱老庄、孟家后楼、王旮旯、王郢子、孟家前楼 5 处居民点处的 TSP 日均浓度、SO2 和 NO</w:t>
      </w:r>
      <w:r>
        <w:rPr>
          <w:vertAlign w:val="subscript"/>
        </w:rPr>
        <w:t>2</w:t>
      </w:r>
      <w:r>
        <w:t>的日均浓度和小时平均浓度均满足《环境空气质量标准》  （GB3095-1996）二级标准的要求，且满足《环境空气质量标准》  （GB3095-2012）中的二级标准要求。</w:t>
      </w:r>
    </w:p>
    <w:p w14:paraId="71350AE7">
      <w:pPr>
        <w:pStyle w:val="5"/>
      </w:pPr>
      <w:r>
        <w:rPr>
          <w:rFonts w:hint="eastAsia"/>
        </w:rPr>
        <w:t>2.</w:t>
      </w:r>
      <w:r>
        <w:t>2</w:t>
      </w:r>
      <w:r>
        <w:rPr>
          <w:rFonts w:hint="eastAsia"/>
        </w:rPr>
        <w:t>.2.5</w:t>
      </w:r>
      <w:r>
        <w:t xml:space="preserve"> </w:t>
      </w:r>
      <w:r>
        <w:rPr>
          <w:rFonts w:hint="eastAsia"/>
        </w:rPr>
        <w:t>声环境影响调查结论</w:t>
      </w:r>
    </w:p>
    <w:p w14:paraId="3727049F">
      <w:pPr>
        <w:ind w:firstLine="480"/>
      </w:pPr>
      <w:r>
        <w:t>针对运行期的噪声污染，对筛分破碎车间、空压机房、充填站、锅炉房、主厂 房、辅助提升井等主要产噪设备进行了噪声污染治理。工业广场及选矿厂各场界噪 声监测值昼、夜间均能够达到《工业企业厂界环境噪声排放标准》  （GB12348-2008） 中 2 类标准。倪庄昼、夜噪声监测值满足《声环境质量标准》  （GB 3096-2008） 中 的 2 类标准要求。</w:t>
      </w:r>
    </w:p>
    <w:p w14:paraId="487B361B">
      <w:pPr>
        <w:ind w:firstLine="480"/>
      </w:pPr>
      <w:r>
        <w:t>工程运行期间采用微差爆破技术，选用低爆速、低威力的炸药，爆破在大于 170m 深的井下进行，根据公众调查，爆破振动对外环境影响较小。</w:t>
      </w:r>
    </w:p>
    <w:p w14:paraId="39D78DD7">
      <w:pPr>
        <w:pStyle w:val="5"/>
      </w:pPr>
      <w:r>
        <w:rPr>
          <w:rFonts w:hint="eastAsia"/>
        </w:rPr>
        <w:t>2.</w:t>
      </w:r>
      <w:r>
        <w:t>2</w:t>
      </w:r>
      <w:r>
        <w:rPr>
          <w:rFonts w:hint="eastAsia"/>
        </w:rPr>
        <w:t>.2.6</w:t>
      </w:r>
      <w:r>
        <w:t xml:space="preserve"> </w:t>
      </w:r>
      <w:r>
        <w:rPr>
          <w:rFonts w:hint="eastAsia"/>
        </w:rPr>
        <w:t>固废环境影响调查结论</w:t>
      </w:r>
    </w:p>
    <w:p w14:paraId="1D693764">
      <w:pPr>
        <w:ind w:firstLine="480"/>
      </w:pPr>
      <w:r>
        <w:rPr>
          <w:rFonts w:hint="eastAsia"/>
        </w:rPr>
        <w:t>（1）</w:t>
      </w:r>
      <w:r>
        <w:t>选矿尾砂得到有效处置，大部分重新充填井下采空区，少部分输送至牛皮岭尾矿库。</w:t>
      </w:r>
    </w:p>
    <w:p w14:paraId="687EB956">
      <w:pPr>
        <w:ind w:firstLine="480"/>
      </w:pPr>
      <w:r>
        <w:rPr>
          <w:rFonts w:hint="eastAsia"/>
        </w:rPr>
        <w:t>（2）</w:t>
      </w:r>
      <w:r>
        <w:t>废石得到有效利用，拟用于尾矿库二期筑坝。</w:t>
      </w:r>
    </w:p>
    <w:p w14:paraId="6099196B">
      <w:pPr>
        <w:ind w:firstLine="480"/>
      </w:pPr>
      <w:r>
        <w:rPr>
          <w:rFonts w:hint="eastAsia"/>
        </w:rPr>
        <w:t>（3）</w:t>
      </w:r>
      <w:r>
        <w:t>生活垃圾</w:t>
      </w:r>
      <w:r>
        <w:rPr>
          <w:rFonts w:hint="eastAsia"/>
        </w:rPr>
        <w:t>、生活污水处理设施污泥</w:t>
      </w:r>
      <w:r>
        <w:t>集中统一外运填埋处理，对外环境影响很小。</w:t>
      </w:r>
    </w:p>
    <w:p w14:paraId="6C70FD67">
      <w:pPr>
        <w:ind w:firstLine="480"/>
      </w:pPr>
      <w:r>
        <w:rPr>
          <w:rFonts w:hint="eastAsia"/>
        </w:rPr>
        <w:t>（4）</w:t>
      </w:r>
      <w:r>
        <w:t>本项目固体废物处置场尾矿库基本完成了环评提出的污染控制措施。</w:t>
      </w:r>
    </w:p>
    <w:p w14:paraId="45B648F6">
      <w:pPr>
        <w:pStyle w:val="5"/>
      </w:pPr>
      <w:r>
        <w:rPr>
          <w:rFonts w:hint="eastAsia"/>
        </w:rPr>
        <w:t>2.</w:t>
      </w:r>
      <w:r>
        <w:t>2</w:t>
      </w:r>
      <w:r>
        <w:rPr>
          <w:rFonts w:hint="eastAsia"/>
        </w:rPr>
        <w:t>.2.</w:t>
      </w:r>
      <w:r>
        <w:t xml:space="preserve">7 </w:t>
      </w:r>
      <w:r>
        <w:rPr>
          <w:rFonts w:hint="eastAsia"/>
        </w:rPr>
        <w:t>地下水环境影响调查结论</w:t>
      </w:r>
    </w:p>
    <w:p w14:paraId="7D19D89C">
      <w:pPr>
        <w:ind w:firstLine="480"/>
      </w:pPr>
      <w:r>
        <w:rPr>
          <w:rFonts w:hint="eastAsia"/>
        </w:rPr>
        <w:t>（1）项目所在区域已规划并开始实施农村居民饮用水安全工程，保障项目影响范围内的居民生活用水。</w:t>
      </w:r>
    </w:p>
    <w:p w14:paraId="6397D14E">
      <w:pPr>
        <w:ind w:firstLine="480"/>
      </w:pPr>
      <w:r>
        <w:rPr>
          <w:rFonts w:hint="eastAsia"/>
        </w:rPr>
        <w:t>（2）</w:t>
      </w:r>
      <w:r>
        <w:t>地下水各监测因子均满足《地下水环境质量标准》  （GB/T14847-93）中的 Ⅲ类标准。</w:t>
      </w:r>
    </w:p>
    <w:p w14:paraId="52458842">
      <w:pPr>
        <w:pStyle w:val="5"/>
      </w:pPr>
      <w:r>
        <w:rPr>
          <w:rFonts w:hint="eastAsia"/>
        </w:rPr>
        <w:t>2.</w:t>
      </w:r>
      <w:r>
        <w:t>2</w:t>
      </w:r>
      <w:r>
        <w:rPr>
          <w:rFonts w:hint="eastAsia"/>
        </w:rPr>
        <w:t>.2.</w:t>
      </w:r>
      <w:r>
        <w:t xml:space="preserve">8 </w:t>
      </w:r>
      <w:r>
        <w:rPr>
          <w:rFonts w:hint="eastAsia"/>
        </w:rPr>
        <w:t>环境管理及环境风险事故防范</w:t>
      </w:r>
    </w:p>
    <w:p w14:paraId="50892D88">
      <w:pPr>
        <w:ind w:firstLine="480"/>
      </w:pPr>
      <w:r>
        <w:rPr>
          <w:rFonts w:hint="eastAsia"/>
        </w:rPr>
        <w:t>安徽金安矿业有限公司草楼铁矿工程在建设、试生产阶段对环境保护工作高度重视，依据环评要求成立了专门的环境管理机构，配备了专职环境保护管理人员，并制定了环境保护管理制度，环境管理职责明确，并委托相关有资质的单位开展运营期日常环境监测工作。</w:t>
      </w:r>
    </w:p>
    <w:p w14:paraId="39A4A747">
      <w:pPr>
        <w:ind w:firstLine="480"/>
      </w:pPr>
      <w:r>
        <w:rPr>
          <w:rFonts w:hint="eastAsia"/>
        </w:rPr>
        <w:t>安徽金安矿业有限公司成立了专门环境风险应急响应组织机构，各风险应急小组职责明确，制定了环境风险应急预案并报霍邱县环境保护局备案，同时也开展了环境风险现场应急演练。</w:t>
      </w:r>
    </w:p>
    <w:p w14:paraId="7CB225B5">
      <w:pPr>
        <w:ind w:firstLine="480"/>
      </w:pPr>
      <w:r>
        <w:rPr>
          <w:rFonts w:hint="eastAsia"/>
        </w:rPr>
        <w:t>建设单位应严格执行环境管理制度，加强环保设备的运行管理和维护，确保达到较好的处理效果。</w:t>
      </w:r>
    </w:p>
    <w:p w14:paraId="595D8591">
      <w:pPr>
        <w:pStyle w:val="5"/>
      </w:pPr>
      <w:r>
        <w:rPr>
          <w:rFonts w:hint="eastAsia"/>
        </w:rPr>
        <w:t>2.</w:t>
      </w:r>
      <w:r>
        <w:t>2</w:t>
      </w:r>
      <w:r>
        <w:rPr>
          <w:rFonts w:hint="eastAsia"/>
        </w:rPr>
        <w:t>.2.</w:t>
      </w:r>
      <w:r>
        <w:t xml:space="preserve">9 </w:t>
      </w:r>
      <w:r>
        <w:rPr>
          <w:rFonts w:hint="eastAsia"/>
        </w:rPr>
        <w:t>清洁生产及总量控制</w:t>
      </w:r>
    </w:p>
    <w:p w14:paraId="73D9EC68">
      <w:pPr>
        <w:ind w:firstLine="480"/>
      </w:pPr>
      <w:r>
        <w:rPr>
          <w:rFonts w:hint="eastAsia"/>
        </w:rPr>
        <w:t>（1）对照</w:t>
      </w:r>
      <w:r>
        <w:t>《清洁生产标准铁矿采选业》</w:t>
      </w:r>
      <w:r>
        <w:rPr>
          <w:rFonts w:hint="eastAsia"/>
        </w:rPr>
        <w:t>中的指标，本工程达到一级指标有16项，达到二级指标有22项，达到三级指标有2项。40 %达到国际清洁生产先进水平， 5%达到国内清洁生产先进水平，2%达到国内清洁生产基本水平，可见本工程较好地体现了清洁开采、清洁利用、全过程治理的清洁生产思想，满足清洁生产的要求。</w:t>
      </w:r>
    </w:p>
    <w:p w14:paraId="07C8601C">
      <w:pPr>
        <w:ind w:firstLine="480"/>
      </w:pPr>
      <w:r>
        <w:rPr>
          <w:rFonts w:hint="eastAsia"/>
        </w:rPr>
        <w:t>（2）</w:t>
      </w:r>
      <w:r>
        <w:t>安徽金安矿业有限公司草楼铁矿 300 万 t/a 扩建工程在设计、施工 和运营初期采取了许多行之有效的污染防治和生态保护措施，项目的环境影响报告 书和各级环境保护主管机关的批复中要求的生态保护和污染控制措施基本得到落 实，符合竣工环境保护验收条件。根据验收监测核算</w:t>
      </w:r>
      <w:r>
        <w:rPr>
          <w:rFonts w:hint="eastAsia"/>
        </w:rPr>
        <w:t>，</w:t>
      </w:r>
      <w:r>
        <w:t>低于总量指标要求。</w:t>
      </w:r>
    </w:p>
    <w:p w14:paraId="0A4F3EBB">
      <w:pPr>
        <w:ind w:firstLine="480"/>
      </w:pPr>
    </w:p>
    <w:p w14:paraId="1D26439C">
      <w:pPr>
        <w:pStyle w:val="5"/>
      </w:pPr>
      <w:r>
        <w:rPr>
          <w:rFonts w:hint="eastAsia"/>
        </w:rPr>
        <w:t>2.</w:t>
      </w:r>
      <w:r>
        <w:t>2</w:t>
      </w:r>
      <w:r>
        <w:rPr>
          <w:rFonts w:hint="eastAsia"/>
        </w:rPr>
        <w:t>.</w:t>
      </w:r>
      <w:r>
        <w:t>3</w:t>
      </w:r>
      <w:r>
        <w:rPr>
          <w:rFonts w:hint="eastAsia"/>
        </w:rPr>
        <w:t>.</w:t>
      </w:r>
      <w:r>
        <w:t xml:space="preserve">10 </w:t>
      </w:r>
      <w:r>
        <w:rPr>
          <w:rFonts w:hint="eastAsia"/>
        </w:rPr>
        <w:t>公众调查</w:t>
      </w:r>
    </w:p>
    <w:p w14:paraId="3BE5AC43">
      <w:pPr>
        <w:spacing w:before="76" w:line="227" w:lineRule="auto"/>
        <w:ind w:firstLine="484"/>
        <w:rPr>
          <w:rFonts w:hint="eastAsia" w:ascii="宋体" w:hAnsi="宋体" w:cs="宋体"/>
          <w:sz w:val="23"/>
          <w:szCs w:val="23"/>
        </w:rPr>
      </w:pPr>
      <w:r>
        <w:rPr>
          <w:rFonts w:hint="eastAsia" w:ascii="宋体" w:hAnsi="宋体" w:cs="宋体"/>
          <w:spacing w:val="6"/>
          <w:sz w:val="23"/>
          <w:szCs w:val="23"/>
          <w14:textOutline w14:w="4356" w14:cap="sq" w14:cmpd="sng" w14:algn="ctr">
            <w14:solidFill>
              <w14:srgbClr w14:val="000000"/>
            </w14:solidFill>
            <w14:prstDash w14:val="solid"/>
            <w14:bevel/>
          </w14:textOutline>
        </w:rPr>
        <w:t>（1）</w:t>
      </w:r>
      <w:r>
        <w:rPr>
          <w:rFonts w:ascii="宋体" w:hAnsi="宋体" w:cs="宋体"/>
          <w:spacing w:val="6"/>
          <w:sz w:val="23"/>
          <w:szCs w:val="23"/>
        </w:rPr>
        <w:t xml:space="preserve"> </w:t>
      </w:r>
      <w:r>
        <w:rPr>
          <w:rFonts w:ascii="宋体" w:hAnsi="宋体" w:cs="宋体"/>
          <w:spacing w:val="10"/>
          <w:sz w:val="23"/>
          <w:szCs w:val="23"/>
          <w14:textOutline w14:w="4356" w14:cap="sq" w14:cmpd="sng" w14:algn="ctr">
            <w14:solidFill>
              <w14:srgbClr w14:val="000000"/>
            </w14:solidFill>
            <w14:prstDash w14:val="solid"/>
            <w14:bevel/>
          </w14:textOutline>
        </w:rPr>
        <w:t>原环评文件公众</w:t>
      </w:r>
      <w:r>
        <w:rPr>
          <w:rFonts w:ascii="宋体" w:hAnsi="宋体" w:cs="宋体"/>
          <w:spacing w:val="9"/>
          <w:sz w:val="23"/>
          <w:szCs w:val="23"/>
          <w14:textOutline w14:w="4356" w14:cap="sq" w14:cmpd="sng" w14:algn="ctr">
            <w14:solidFill>
              <w14:srgbClr w14:val="000000"/>
            </w14:solidFill>
            <w14:prstDash w14:val="solid"/>
            <w14:bevel/>
          </w14:textOutline>
        </w:rPr>
        <w:t>参与调查</w:t>
      </w:r>
    </w:p>
    <w:p w14:paraId="750E57A2">
      <w:pPr>
        <w:ind w:firstLine="480"/>
      </w:pPr>
      <w:r>
        <w:t>项目环评报告书编制期间，对周边受影响的住户采取随机调查的方式进行，发 放调查问卷 210 份，实际收回有效问卷 200 份，回收率95.2%。</w:t>
      </w:r>
    </w:p>
    <w:p w14:paraId="4244E520">
      <w:pPr>
        <w:ind w:firstLine="480"/>
      </w:pPr>
      <w:r>
        <w:t>由于草楼矿已经开采多年，且周边有几个矿山建设，被调查者对矿山开采产生 的环境影响都有一定的了解，认识到项目对环境可能产生的不利影响，经与被调查 者沟通与解释，本调查者都认为这些影响是可以接受的。93%的公众理解并支持本项 目的建设，6.5%的被调查者对本项目建设与否不关心，只有 0.5%（1 人）的被调查 者开始反对项目的建设，经沟通与解释后，该被调查者理解并支持该项目的建设。</w:t>
      </w:r>
    </w:p>
    <w:p w14:paraId="680E40CA">
      <w:pPr>
        <w:ind w:firstLine="480"/>
      </w:pPr>
      <w:r>
        <w:t>对搬迁安置方案有2人持反对意见，占 1%。居民对厂址方案不同意及认为搬迁 安置方案不可行的主要理由是担心不能帮当地居民解决就业问题，经回访，矿方同 意协助解决搬迁户的就业问题，保证生活质量不下降， 2 人均表示同意搬迁方案。在本项目建设是否会促进霍邱县经济发展方面，59%的受调查者认为有促进作用，34.5%的人认为有较大促进作用；被调查者对本项目建设最关心的问题是环境影响和经济效益，说明地方经济欠发展，老百姓想在经济上发展起来。</w:t>
      </w:r>
    </w:p>
    <w:p w14:paraId="05D8630C">
      <w:pPr>
        <w:spacing w:line="227" w:lineRule="auto"/>
        <w:ind w:firstLine="484"/>
        <w:rPr>
          <w:rFonts w:hint="eastAsia" w:ascii="宋体" w:hAnsi="宋体" w:cs="宋体"/>
          <w:sz w:val="23"/>
          <w:szCs w:val="23"/>
        </w:rPr>
      </w:pPr>
      <w:r>
        <w:rPr>
          <w:rFonts w:hint="eastAsia" w:ascii="宋体" w:hAnsi="宋体" w:cs="宋体"/>
          <w:spacing w:val="6"/>
          <w:sz w:val="23"/>
          <w:szCs w:val="23"/>
          <w14:textOutline w14:w="4356" w14:cap="sq" w14:cmpd="sng" w14:algn="ctr">
            <w14:solidFill>
              <w14:srgbClr w14:val="000000"/>
            </w14:solidFill>
            <w14:prstDash w14:val="solid"/>
            <w14:bevel/>
          </w14:textOutline>
        </w:rPr>
        <w:t>（2）</w:t>
      </w:r>
      <w:r>
        <w:rPr>
          <w:rFonts w:ascii="宋体" w:hAnsi="宋体" w:cs="宋体"/>
          <w:spacing w:val="10"/>
          <w:sz w:val="23"/>
          <w:szCs w:val="23"/>
          <w14:textOutline w14:w="4356" w14:cap="sq" w14:cmpd="sng" w14:algn="ctr">
            <w14:solidFill>
              <w14:srgbClr w14:val="000000"/>
            </w14:solidFill>
            <w14:prstDash w14:val="solid"/>
            <w14:bevel/>
          </w14:textOutline>
        </w:rPr>
        <w:t>环境保护验收公众参与调查</w:t>
      </w:r>
    </w:p>
    <w:p w14:paraId="595C78C8">
      <w:pPr>
        <w:ind w:firstLine="480"/>
      </w:pPr>
      <w:r>
        <w:t>问卷调查即被调查对象按设定的表格采取划“ √ ”方式作回答，调查对象以直 接受影响的民众个人为主，发放调查问卷 100 份，回收有效问卷 96 份，回收率96%。</w:t>
      </w:r>
    </w:p>
    <w:p w14:paraId="4B927E0D">
      <w:pPr>
        <w:ind w:firstLine="480"/>
      </w:pPr>
      <w:r>
        <w:t>调查得出：对本项目的环境保护工作总评价是 4.17%的被调查者对本项目环保工 作表示不满意，其余表示满意或不表态。不满意的原因主要是运输及尾矿库的扬尘 较大，车辆压坏出行道路，  目前金安矿业前楼尾矿库采砂工作也经完成，并要求做 好尾矿库易产尘点采用尾矿库澄清水日常喷淋加湿工作，金安矿业加强对运输车辆 管理，定期修补运输道路， 以减轻和消除扩建工程对周围居民影响。扩建工程的环 境保护工作得到了周边大部分公众的认可，项目的建设也保证了大多数拆迁安置户的生活质量不降低。</w:t>
      </w:r>
    </w:p>
    <w:p w14:paraId="41D889B2">
      <w:pPr>
        <w:ind w:firstLine="480"/>
      </w:pPr>
      <w:r>
        <w:t>验收调查期间，通过走访调查六安市环保局、霍邱县环保局，了解了扩建工程 自开建以来的各项目环境保护工作开展情况及其部门监管情况，扩建工程建设及试 运行期间能够遵守相关法律法规文件要求，落实各项环保措施，未发生重大环境污染事件及相关公众投诉事件。</w:t>
      </w:r>
    </w:p>
    <w:p w14:paraId="12BA30DF">
      <w:pPr>
        <w:pStyle w:val="3"/>
      </w:pPr>
      <w:bookmarkStart w:id="27" w:name="_Toc85213492"/>
      <w:r>
        <w:rPr>
          <w:rFonts w:hint="eastAsia"/>
        </w:rPr>
        <w:t>2.</w:t>
      </w:r>
      <w:r>
        <w:t xml:space="preserve">3 </w:t>
      </w:r>
      <w:r>
        <w:rPr>
          <w:rFonts w:hint="eastAsia"/>
        </w:rPr>
        <w:t>环境监测情况回顾</w:t>
      </w:r>
      <w:bookmarkEnd w:id="27"/>
    </w:p>
    <w:p w14:paraId="48C2E3F3">
      <w:pPr>
        <w:pStyle w:val="4"/>
      </w:pPr>
      <w:r>
        <w:rPr>
          <w:rFonts w:hint="eastAsia"/>
        </w:rPr>
        <w:t>2.</w:t>
      </w:r>
      <w:r>
        <w:t>3</w:t>
      </w:r>
      <w:r>
        <w:rPr>
          <w:rFonts w:hint="eastAsia"/>
        </w:rPr>
        <w:t>.1</w:t>
      </w:r>
      <w:r>
        <w:t xml:space="preserve"> </w:t>
      </w:r>
      <w:r>
        <w:rPr>
          <w:rFonts w:hint="eastAsia"/>
        </w:rPr>
        <w:t>环评中监测计划</w:t>
      </w:r>
    </w:p>
    <w:p w14:paraId="77AFBEA3">
      <w:pPr>
        <w:ind w:firstLine="480"/>
      </w:pPr>
      <w:r>
        <w:rPr>
          <w:rFonts w:hint="eastAsia"/>
        </w:rPr>
        <w:t>环评中项目运营期监测计划见下表2.3-1。</w:t>
      </w:r>
    </w:p>
    <w:p w14:paraId="2C31597E">
      <w:pPr>
        <w:pStyle w:val="18"/>
        <w:ind w:firstLine="482"/>
        <w:jc w:val="center"/>
        <w:rPr>
          <w:b/>
          <w:bCs/>
          <w:sz w:val="24"/>
          <w:szCs w:val="24"/>
        </w:rPr>
      </w:pPr>
      <w:r>
        <w:rPr>
          <w:rFonts w:hint="eastAsia"/>
          <w:b/>
          <w:bCs/>
          <w:sz w:val="24"/>
          <w:szCs w:val="24"/>
        </w:rPr>
        <w:t>表2.3-1</w:t>
      </w:r>
      <w:r>
        <w:rPr>
          <w:b/>
          <w:bCs/>
          <w:sz w:val="24"/>
          <w:szCs w:val="24"/>
        </w:rPr>
        <w:t xml:space="preserve">  </w:t>
      </w:r>
      <w:r>
        <w:rPr>
          <w:rFonts w:hint="eastAsia"/>
          <w:b/>
          <w:bCs/>
          <w:sz w:val="24"/>
          <w:szCs w:val="24"/>
        </w:rPr>
        <w:t>污染源环境监测计划</w:t>
      </w:r>
    </w:p>
    <w:tbl>
      <w:tblPr>
        <w:tblStyle w:val="139"/>
        <w:tblW w:w="879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08"/>
        <w:gridCol w:w="608"/>
        <w:gridCol w:w="1339"/>
        <w:gridCol w:w="1943"/>
        <w:gridCol w:w="2422"/>
        <w:gridCol w:w="1470"/>
      </w:tblGrid>
      <w:tr w14:paraId="00DD8D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4" w:hRule="atLeast"/>
          <w:jc w:val="center"/>
        </w:trPr>
        <w:tc>
          <w:tcPr>
            <w:tcW w:w="1008" w:type="dxa"/>
            <w:tcBorders>
              <w:left w:val="single" w:color="000000" w:sz="10" w:space="0"/>
            </w:tcBorders>
            <w:vAlign w:val="center"/>
          </w:tcPr>
          <w:p w14:paraId="4906C29B">
            <w:pPr>
              <w:widowControl/>
              <w:kinsoku w:val="0"/>
              <w:autoSpaceDE w:val="0"/>
              <w:autoSpaceDN w:val="0"/>
              <w:adjustRightInd w:val="0"/>
              <w:snapToGrid w:val="0"/>
              <w:spacing w:before="121" w:line="228" w:lineRule="auto"/>
              <w:ind w:firstLine="75"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监测类别</w:t>
            </w:r>
          </w:p>
        </w:tc>
        <w:tc>
          <w:tcPr>
            <w:tcW w:w="608" w:type="dxa"/>
            <w:vAlign w:val="center"/>
          </w:tcPr>
          <w:p w14:paraId="23648EC0">
            <w:pPr>
              <w:widowControl/>
              <w:kinsoku w:val="0"/>
              <w:autoSpaceDE w:val="0"/>
              <w:autoSpaceDN w:val="0"/>
              <w:adjustRightInd w:val="0"/>
              <w:snapToGrid w:val="0"/>
              <w:spacing w:before="121" w:line="229" w:lineRule="auto"/>
              <w:ind w:firstLine="90"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5"/>
                <w:kern w:val="0"/>
                <w:sz w:val="20"/>
                <w:szCs w:val="20"/>
              </w:rPr>
              <w:t>序号</w:t>
            </w:r>
          </w:p>
        </w:tc>
        <w:tc>
          <w:tcPr>
            <w:tcW w:w="1339" w:type="dxa"/>
            <w:vAlign w:val="center"/>
          </w:tcPr>
          <w:p w14:paraId="63C51871">
            <w:pPr>
              <w:widowControl/>
              <w:kinsoku w:val="0"/>
              <w:autoSpaceDE w:val="0"/>
              <w:autoSpaceDN w:val="0"/>
              <w:adjustRightInd w:val="0"/>
              <w:snapToGrid w:val="0"/>
              <w:spacing w:before="121" w:line="229" w:lineRule="auto"/>
              <w:ind w:firstLine="249"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监测地点</w:t>
            </w:r>
          </w:p>
        </w:tc>
        <w:tc>
          <w:tcPr>
            <w:tcW w:w="1943" w:type="dxa"/>
            <w:vAlign w:val="center"/>
          </w:tcPr>
          <w:p w14:paraId="1B4785D6">
            <w:pPr>
              <w:widowControl/>
              <w:kinsoku w:val="0"/>
              <w:autoSpaceDE w:val="0"/>
              <w:autoSpaceDN w:val="0"/>
              <w:adjustRightInd w:val="0"/>
              <w:snapToGrid w:val="0"/>
              <w:spacing w:before="121" w:line="229" w:lineRule="auto"/>
              <w:ind w:firstLine="557"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监测点位</w:t>
            </w:r>
          </w:p>
        </w:tc>
        <w:tc>
          <w:tcPr>
            <w:tcW w:w="2422" w:type="dxa"/>
            <w:vAlign w:val="center"/>
          </w:tcPr>
          <w:p w14:paraId="21E633F7">
            <w:pPr>
              <w:widowControl/>
              <w:kinsoku w:val="0"/>
              <w:autoSpaceDE w:val="0"/>
              <w:autoSpaceDN w:val="0"/>
              <w:adjustRightInd w:val="0"/>
              <w:snapToGrid w:val="0"/>
              <w:spacing w:before="122" w:line="228" w:lineRule="auto"/>
              <w:ind w:firstLine="803"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监测项目</w:t>
            </w:r>
          </w:p>
        </w:tc>
        <w:tc>
          <w:tcPr>
            <w:tcW w:w="1470" w:type="dxa"/>
            <w:tcBorders>
              <w:right w:val="single" w:color="000000" w:sz="10" w:space="0"/>
            </w:tcBorders>
            <w:vAlign w:val="center"/>
          </w:tcPr>
          <w:p w14:paraId="176460AD">
            <w:pPr>
              <w:widowControl/>
              <w:kinsoku w:val="0"/>
              <w:autoSpaceDE w:val="0"/>
              <w:autoSpaceDN w:val="0"/>
              <w:adjustRightInd w:val="0"/>
              <w:snapToGrid w:val="0"/>
              <w:spacing w:before="121" w:line="228" w:lineRule="auto"/>
              <w:ind w:firstLine="325"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监测频次</w:t>
            </w:r>
          </w:p>
        </w:tc>
      </w:tr>
      <w:tr w14:paraId="748884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jc w:val="center"/>
        </w:trPr>
        <w:tc>
          <w:tcPr>
            <w:tcW w:w="1008" w:type="dxa"/>
            <w:vMerge w:val="restart"/>
            <w:tcBorders>
              <w:left w:val="single" w:color="000000" w:sz="10" w:space="0"/>
              <w:bottom w:val="nil"/>
            </w:tcBorders>
            <w:vAlign w:val="center"/>
          </w:tcPr>
          <w:p w14:paraId="5055742B">
            <w:pPr>
              <w:tabs>
                <w:tab w:val="center" w:pos="4153"/>
                <w:tab w:val="right" w:pos="8306"/>
              </w:tabs>
              <w:snapToGrid w:val="0"/>
              <w:spacing w:line="240" w:lineRule="auto"/>
              <w:ind w:firstLineChars="0"/>
              <w:rPr>
                <w:rFonts w:cstheme="minorBidi"/>
                <w:snapToGrid w:val="0"/>
                <w:color w:val="auto"/>
                <w:kern w:val="2"/>
                <w:sz w:val="21"/>
                <w:szCs w:val="21"/>
              </w:rPr>
            </w:pPr>
            <w:r>
              <w:rPr>
                <w:rFonts w:cstheme="minorBidi"/>
                <w:snapToGrid w:val="0"/>
                <w:color w:val="auto"/>
                <w:kern w:val="2"/>
                <w:sz w:val="21"/>
                <w:szCs w:val="21"/>
              </w:rPr>
              <w:t>废气</w:t>
            </w:r>
          </w:p>
        </w:tc>
        <w:tc>
          <w:tcPr>
            <w:tcW w:w="608" w:type="dxa"/>
            <w:vAlign w:val="center"/>
          </w:tcPr>
          <w:p w14:paraId="79567D3E">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w:t>
            </w:r>
          </w:p>
        </w:tc>
        <w:tc>
          <w:tcPr>
            <w:tcW w:w="1339" w:type="dxa"/>
            <w:vAlign w:val="center"/>
          </w:tcPr>
          <w:p w14:paraId="060FBBBF">
            <w:pPr>
              <w:tabs>
                <w:tab w:val="center" w:pos="4153"/>
                <w:tab w:val="right" w:pos="8306"/>
              </w:tabs>
              <w:snapToGrid w:val="0"/>
              <w:spacing w:line="240" w:lineRule="auto"/>
              <w:ind w:firstLine="424" w:firstLineChars="0"/>
              <w:rPr>
                <w:rFonts w:cstheme="minorBidi"/>
                <w:snapToGrid w:val="0"/>
                <w:color w:val="auto"/>
                <w:kern w:val="2"/>
                <w:sz w:val="21"/>
                <w:szCs w:val="21"/>
              </w:rPr>
            </w:pPr>
            <w:r>
              <w:rPr>
                <w:rFonts w:cstheme="minorBidi"/>
                <w:snapToGrid w:val="0"/>
                <w:color w:val="auto"/>
                <w:kern w:val="2"/>
                <w:sz w:val="21"/>
                <w:szCs w:val="21"/>
              </w:rPr>
              <w:t>锅炉</w:t>
            </w:r>
          </w:p>
        </w:tc>
        <w:tc>
          <w:tcPr>
            <w:tcW w:w="1943" w:type="dxa"/>
            <w:vAlign w:val="center"/>
          </w:tcPr>
          <w:p w14:paraId="24A24A8E">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除尘器出口</w:t>
            </w:r>
          </w:p>
        </w:tc>
        <w:tc>
          <w:tcPr>
            <w:tcW w:w="2422" w:type="dxa"/>
            <w:vAlign w:val="center"/>
          </w:tcPr>
          <w:p w14:paraId="0112FDF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烟尘、SO</w:t>
            </w:r>
            <w:r>
              <w:rPr>
                <w:rFonts w:cstheme="minorBidi"/>
                <w:snapToGrid w:val="0"/>
                <w:color w:val="auto"/>
                <w:kern w:val="2"/>
                <w:sz w:val="21"/>
                <w:szCs w:val="21"/>
                <w:vertAlign w:val="subscript"/>
              </w:rPr>
              <w:t>2</w:t>
            </w:r>
          </w:p>
        </w:tc>
        <w:tc>
          <w:tcPr>
            <w:tcW w:w="1470" w:type="dxa"/>
            <w:tcBorders>
              <w:right w:val="single" w:color="000000" w:sz="10" w:space="0"/>
            </w:tcBorders>
            <w:vAlign w:val="center"/>
          </w:tcPr>
          <w:p w14:paraId="50A567B6">
            <w:pPr>
              <w:tabs>
                <w:tab w:val="center" w:pos="4153"/>
                <w:tab w:val="right" w:pos="8306"/>
              </w:tabs>
              <w:snapToGrid w:val="0"/>
              <w:spacing w:line="240" w:lineRule="auto"/>
              <w:ind w:right="65" w:firstLine="0" w:firstLineChars="0"/>
              <w:rPr>
                <w:rFonts w:cstheme="minorBidi"/>
                <w:snapToGrid w:val="0"/>
                <w:color w:val="auto"/>
                <w:kern w:val="2"/>
                <w:sz w:val="21"/>
                <w:szCs w:val="21"/>
              </w:rPr>
            </w:pPr>
            <w:r>
              <w:rPr>
                <w:rFonts w:cstheme="minorBidi"/>
                <w:snapToGrid w:val="0"/>
                <w:color w:val="auto"/>
                <w:kern w:val="2"/>
                <w:sz w:val="21"/>
                <w:szCs w:val="21"/>
              </w:rPr>
              <w:t>2 次/年（采暖 期 1 次）</w:t>
            </w:r>
          </w:p>
        </w:tc>
      </w:tr>
      <w:tr w14:paraId="509841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1008" w:type="dxa"/>
            <w:vMerge w:val="continue"/>
            <w:tcBorders>
              <w:top w:val="nil"/>
              <w:left w:val="single" w:color="000000" w:sz="10" w:space="0"/>
              <w:bottom w:val="nil"/>
            </w:tcBorders>
            <w:vAlign w:val="center"/>
          </w:tcPr>
          <w:p w14:paraId="344DA164">
            <w:pPr>
              <w:tabs>
                <w:tab w:val="center" w:pos="4153"/>
                <w:tab w:val="right" w:pos="8306"/>
              </w:tabs>
              <w:snapToGrid w:val="0"/>
              <w:spacing w:line="240" w:lineRule="auto"/>
              <w:ind w:firstLine="424" w:firstLineChars="0"/>
              <w:rPr>
                <w:rFonts w:cstheme="minorBidi"/>
                <w:snapToGrid w:val="0"/>
                <w:color w:val="auto"/>
                <w:kern w:val="2"/>
                <w:sz w:val="21"/>
                <w:szCs w:val="21"/>
              </w:rPr>
            </w:pPr>
          </w:p>
        </w:tc>
        <w:tc>
          <w:tcPr>
            <w:tcW w:w="608" w:type="dxa"/>
            <w:vAlign w:val="center"/>
          </w:tcPr>
          <w:p w14:paraId="213557F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2</w:t>
            </w:r>
          </w:p>
        </w:tc>
        <w:tc>
          <w:tcPr>
            <w:tcW w:w="1339" w:type="dxa"/>
            <w:vAlign w:val="center"/>
          </w:tcPr>
          <w:p w14:paraId="167C6205">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中细碎 1</w:t>
            </w:r>
          </w:p>
        </w:tc>
        <w:tc>
          <w:tcPr>
            <w:tcW w:w="1943" w:type="dxa"/>
            <w:vAlign w:val="center"/>
          </w:tcPr>
          <w:p w14:paraId="3CC911A3">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除尘器出口</w:t>
            </w:r>
          </w:p>
        </w:tc>
        <w:tc>
          <w:tcPr>
            <w:tcW w:w="2422" w:type="dxa"/>
            <w:vAlign w:val="center"/>
          </w:tcPr>
          <w:p w14:paraId="08B6806C">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粉尘</w:t>
            </w:r>
          </w:p>
        </w:tc>
        <w:tc>
          <w:tcPr>
            <w:tcW w:w="1470" w:type="dxa"/>
            <w:tcBorders>
              <w:right w:val="single" w:color="000000" w:sz="10" w:space="0"/>
            </w:tcBorders>
            <w:vAlign w:val="center"/>
          </w:tcPr>
          <w:p w14:paraId="5C69596B">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一季一次</w:t>
            </w:r>
          </w:p>
        </w:tc>
      </w:tr>
      <w:tr w14:paraId="05E219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1008" w:type="dxa"/>
            <w:vMerge w:val="continue"/>
            <w:tcBorders>
              <w:top w:val="nil"/>
              <w:left w:val="single" w:color="000000" w:sz="10" w:space="0"/>
              <w:bottom w:val="nil"/>
            </w:tcBorders>
            <w:vAlign w:val="center"/>
          </w:tcPr>
          <w:p w14:paraId="7C222154">
            <w:pPr>
              <w:tabs>
                <w:tab w:val="center" w:pos="4153"/>
                <w:tab w:val="right" w:pos="8306"/>
              </w:tabs>
              <w:snapToGrid w:val="0"/>
              <w:spacing w:line="240" w:lineRule="auto"/>
              <w:ind w:firstLine="424" w:firstLineChars="0"/>
              <w:rPr>
                <w:rFonts w:cstheme="minorBidi"/>
                <w:snapToGrid w:val="0"/>
                <w:color w:val="auto"/>
                <w:kern w:val="2"/>
                <w:sz w:val="21"/>
                <w:szCs w:val="21"/>
              </w:rPr>
            </w:pPr>
          </w:p>
        </w:tc>
        <w:tc>
          <w:tcPr>
            <w:tcW w:w="608" w:type="dxa"/>
            <w:vAlign w:val="center"/>
          </w:tcPr>
          <w:p w14:paraId="44658003">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w:t>
            </w:r>
          </w:p>
        </w:tc>
        <w:tc>
          <w:tcPr>
            <w:tcW w:w="1339" w:type="dxa"/>
            <w:vAlign w:val="center"/>
          </w:tcPr>
          <w:p w14:paraId="04ECCD88">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中细碎 2</w:t>
            </w:r>
          </w:p>
        </w:tc>
        <w:tc>
          <w:tcPr>
            <w:tcW w:w="1943" w:type="dxa"/>
            <w:vAlign w:val="center"/>
          </w:tcPr>
          <w:p w14:paraId="0B95971A">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除尘器出口</w:t>
            </w:r>
          </w:p>
        </w:tc>
        <w:tc>
          <w:tcPr>
            <w:tcW w:w="2422" w:type="dxa"/>
            <w:vAlign w:val="center"/>
          </w:tcPr>
          <w:p w14:paraId="04D278DF">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粉尘</w:t>
            </w:r>
          </w:p>
        </w:tc>
        <w:tc>
          <w:tcPr>
            <w:tcW w:w="1470" w:type="dxa"/>
            <w:tcBorders>
              <w:right w:val="single" w:color="000000" w:sz="10" w:space="0"/>
            </w:tcBorders>
            <w:vAlign w:val="center"/>
          </w:tcPr>
          <w:p w14:paraId="1973ADE0">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一季一次</w:t>
            </w:r>
          </w:p>
        </w:tc>
      </w:tr>
      <w:tr w14:paraId="3483C6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1008" w:type="dxa"/>
            <w:vMerge w:val="continue"/>
            <w:tcBorders>
              <w:top w:val="nil"/>
              <w:left w:val="single" w:color="000000" w:sz="10" w:space="0"/>
              <w:bottom w:val="nil"/>
            </w:tcBorders>
            <w:vAlign w:val="center"/>
          </w:tcPr>
          <w:p w14:paraId="4E0A8C97">
            <w:pPr>
              <w:tabs>
                <w:tab w:val="center" w:pos="4153"/>
                <w:tab w:val="right" w:pos="8306"/>
              </w:tabs>
              <w:snapToGrid w:val="0"/>
              <w:spacing w:line="240" w:lineRule="auto"/>
              <w:ind w:firstLine="424" w:firstLineChars="0"/>
              <w:rPr>
                <w:rFonts w:cstheme="minorBidi"/>
                <w:snapToGrid w:val="0"/>
                <w:color w:val="auto"/>
                <w:kern w:val="2"/>
                <w:sz w:val="21"/>
                <w:szCs w:val="21"/>
              </w:rPr>
            </w:pPr>
          </w:p>
        </w:tc>
        <w:tc>
          <w:tcPr>
            <w:tcW w:w="608" w:type="dxa"/>
            <w:vAlign w:val="center"/>
          </w:tcPr>
          <w:p w14:paraId="05C06CBA">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4</w:t>
            </w:r>
          </w:p>
        </w:tc>
        <w:tc>
          <w:tcPr>
            <w:tcW w:w="1339" w:type="dxa"/>
            <w:vAlign w:val="center"/>
          </w:tcPr>
          <w:p w14:paraId="4217D650">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筛分车间</w:t>
            </w:r>
          </w:p>
        </w:tc>
        <w:tc>
          <w:tcPr>
            <w:tcW w:w="1943" w:type="dxa"/>
            <w:vAlign w:val="center"/>
          </w:tcPr>
          <w:p w14:paraId="2785A47D">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除尘器出口</w:t>
            </w:r>
          </w:p>
        </w:tc>
        <w:tc>
          <w:tcPr>
            <w:tcW w:w="2422" w:type="dxa"/>
            <w:vAlign w:val="center"/>
          </w:tcPr>
          <w:p w14:paraId="4D0418B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粉尘</w:t>
            </w:r>
          </w:p>
        </w:tc>
        <w:tc>
          <w:tcPr>
            <w:tcW w:w="1470" w:type="dxa"/>
            <w:tcBorders>
              <w:right w:val="single" w:color="000000" w:sz="10" w:space="0"/>
            </w:tcBorders>
            <w:vAlign w:val="center"/>
          </w:tcPr>
          <w:p w14:paraId="31340A8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一季一次</w:t>
            </w:r>
          </w:p>
        </w:tc>
      </w:tr>
      <w:tr w14:paraId="46176C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jc w:val="center"/>
        </w:trPr>
        <w:tc>
          <w:tcPr>
            <w:tcW w:w="1008" w:type="dxa"/>
            <w:vMerge w:val="continue"/>
            <w:tcBorders>
              <w:top w:val="nil"/>
              <w:left w:val="single" w:color="000000" w:sz="10" w:space="0"/>
            </w:tcBorders>
            <w:vAlign w:val="center"/>
          </w:tcPr>
          <w:p w14:paraId="3E5ACD0A">
            <w:pPr>
              <w:tabs>
                <w:tab w:val="center" w:pos="4153"/>
                <w:tab w:val="right" w:pos="8306"/>
              </w:tabs>
              <w:snapToGrid w:val="0"/>
              <w:spacing w:line="240" w:lineRule="auto"/>
              <w:ind w:firstLine="424" w:firstLineChars="0"/>
              <w:rPr>
                <w:rFonts w:cstheme="minorBidi"/>
                <w:snapToGrid w:val="0"/>
                <w:color w:val="auto"/>
                <w:kern w:val="2"/>
                <w:sz w:val="21"/>
                <w:szCs w:val="21"/>
              </w:rPr>
            </w:pPr>
          </w:p>
        </w:tc>
        <w:tc>
          <w:tcPr>
            <w:tcW w:w="608" w:type="dxa"/>
            <w:vAlign w:val="center"/>
          </w:tcPr>
          <w:p w14:paraId="3C78CF6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5</w:t>
            </w:r>
          </w:p>
        </w:tc>
        <w:tc>
          <w:tcPr>
            <w:tcW w:w="1339" w:type="dxa"/>
            <w:vAlign w:val="center"/>
          </w:tcPr>
          <w:p w14:paraId="01B962EF">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干抛车间</w:t>
            </w:r>
          </w:p>
        </w:tc>
        <w:tc>
          <w:tcPr>
            <w:tcW w:w="1943" w:type="dxa"/>
            <w:vAlign w:val="center"/>
          </w:tcPr>
          <w:p w14:paraId="40152D5C">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除尘器出口</w:t>
            </w:r>
          </w:p>
        </w:tc>
        <w:tc>
          <w:tcPr>
            <w:tcW w:w="2422" w:type="dxa"/>
            <w:vAlign w:val="center"/>
          </w:tcPr>
          <w:p w14:paraId="077A07A8">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粉尘</w:t>
            </w:r>
          </w:p>
        </w:tc>
        <w:tc>
          <w:tcPr>
            <w:tcW w:w="1470" w:type="dxa"/>
            <w:tcBorders>
              <w:right w:val="single" w:color="000000" w:sz="10" w:space="0"/>
            </w:tcBorders>
            <w:vAlign w:val="center"/>
          </w:tcPr>
          <w:p w14:paraId="6F846B5B">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一季一次</w:t>
            </w:r>
          </w:p>
        </w:tc>
      </w:tr>
      <w:tr w14:paraId="7D89C0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jc w:val="center"/>
        </w:trPr>
        <w:tc>
          <w:tcPr>
            <w:tcW w:w="1008" w:type="dxa"/>
            <w:tcBorders>
              <w:left w:val="single" w:color="000000" w:sz="10" w:space="0"/>
            </w:tcBorders>
            <w:vAlign w:val="center"/>
          </w:tcPr>
          <w:p w14:paraId="254E44BC">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废水</w:t>
            </w:r>
          </w:p>
        </w:tc>
        <w:tc>
          <w:tcPr>
            <w:tcW w:w="608" w:type="dxa"/>
            <w:vAlign w:val="center"/>
          </w:tcPr>
          <w:p w14:paraId="5D766E8B">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6</w:t>
            </w:r>
          </w:p>
        </w:tc>
        <w:tc>
          <w:tcPr>
            <w:tcW w:w="1339" w:type="dxa"/>
            <w:vAlign w:val="center"/>
          </w:tcPr>
          <w:p w14:paraId="237BA7A2">
            <w:pPr>
              <w:tabs>
                <w:tab w:val="center" w:pos="4153"/>
                <w:tab w:val="right" w:pos="8306"/>
              </w:tabs>
              <w:snapToGrid w:val="0"/>
              <w:spacing w:line="240" w:lineRule="auto"/>
              <w:ind w:left="352" w:right="255" w:firstLine="0" w:firstLineChars="0"/>
              <w:jc w:val="center"/>
              <w:rPr>
                <w:rFonts w:cstheme="minorBidi"/>
                <w:snapToGrid w:val="0"/>
                <w:color w:val="auto"/>
                <w:kern w:val="2"/>
                <w:sz w:val="21"/>
                <w:szCs w:val="21"/>
              </w:rPr>
            </w:pPr>
            <w:r>
              <w:rPr>
                <w:rFonts w:cstheme="minorBidi"/>
                <w:snapToGrid w:val="0"/>
                <w:color w:val="auto"/>
                <w:kern w:val="2"/>
                <w:sz w:val="21"/>
                <w:szCs w:val="21"/>
              </w:rPr>
              <w:t>地下涌水 尾矿库</w:t>
            </w:r>
          </w:p>
        </w:tc>
        <w:tc>
          <w:tcPr>
            <w:tcW w:w="1943" w:type="dxa"/>
            <w:vAlign w:val="center"/>
          </w:tcPr>
          <w:p w14:paraId="59DAC339">
            <w:pPr>
              <w:tabs>
                <w:tab w:val="center" w:pos="4153"/>
                <w:tab w:val="right" w:pos="8306"/>
              </w:tabs>
              <w:snapToGrid w:val="0"/>
              <w:spacing w:line="240" w:lineRule="auto"/>
              <w:ind w:left="344" w:right="237" w:firstLine="0" w:firstLineChars="0"/>
              <w:jc w:val="center"/>
              <w:rPr>
                <w:rFonts w:cstheme="minorBidi"/>
                <w:snapToGrid w:val="0"/>
                <w:color w:val="auto"/>
                <w:kern w:val="2"/>
                <w:sz w:val="21"/>
                <w:szCs w:val="21"/>
              </w:rPr>
            </w:pPr>
            <w:r>
              <w:rPr>
                <w:rFonts w:cstheme="minorBidi"/>
                <w:snapToGrid w:val="0"/>
                <w:color w:val="auto"/>
                <w:kern w:val="2"/>
                <w:sz w:val="21"/>
                <w:szCs w:val="21"/>
              </w:rPr>
              <w:t>地下涌水排放口 尾矿库澄清水 渗滤水出水口</w:t>
            </w:r>
          </w:p>
        </w:tc>
        <w:tc>
          <w:tcPr>
            <w:tcW w:w="2422" w:type="dxa"/>
            <w:vAlign w:val="center"/>
          </w:tcPr>
          <w:p w14:paraId="3880459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pH、化学需氧量、氨氮、 悬浮物、石油类、氟化物、 砷、铁、锰、镉、锌、铅、 铜、铬、六价铬、硫酸盐</w:t>
            </w:r>
          </w:p>
        </w:tc>
        <w:tc>
          <w:tcPr>
            <w:tcW w:w="1470" w:type="dxa"/>
            <w:tcBorders>
              <w:right w:val="single" w:color="000000" w:sz="10" w:space="0"/>
            </w:tcBorders>
            <w:vAlign w:val="center"/>
          </w:tcPr>
          <w:p w14:paraId="40C91725">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每月一次</w:t>
            </w:r>
          </w:p>
        </w:tc>
      </w:tr>
      <w:tr w14:paraId="7E2E34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9" w:hRule="atLeast"/>
          <w:jc w:val="center"/>
        </w:trPr>
        <w:tc>
          <w:tcPr>
            <w:tcW w:w="1008" w:type="dxa"/>
            <w:tcBorders>
              <w:left w:val="single" w:color="000000" w:sz="10" w:space="0"/>
            </w:tcBorders>
            <w:vAlign w:val="center"/>
          </w:tcPr>
          <w:p w14:paraId="28AAFB7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噪声</w:t>
            </w:r>
          </w:p>
        </w:tc>
        <w:tc>
          <w:tcPr>
            <w:tcW w:w="608" w:type="dxa"/>
            <w:vAlign w:val="center"/>
          </w:tcPr>
          <w:p w14:paraId="427CEB27">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7</w:t>
            </w:r>
          </w:p>
        </w:tc>
        <w:tc>
          <w:tcPr>
            <w:tcW w:w="1339" w:type="dxa"/>
            <w:vAlign w:val="center"/>
          </w:tcPr>
          <w:p w14:paraId="4D560D7C">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选矿厂</w:t>
            </w:r>
          </w:p>
        </w:tc>
        <w:tc>
          <w:tcPr>
            <w:tcW w:w="1943" w:type="dxa"/>
            <w:vAlign w:val="center"/>
          </w:tcPr>
          <w:p w14:paraId="79503179">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厂界四周</w:t>
            </w:r>
          </w:p>
        </w:tc>
        <w:tc>
          <w:tcPr>
            <w:tcW w:w="2422" w:type="dxa"/>
            <w:vAlign w:val="center"/>
          </w:tcPr>
          <w:p w14:paraId="1486F096">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等效连续 A 声级</w:t>
            </w:r>
          </w:p>
        </w:tc>
        <w:tc>
          <w:tcPr>
            <w:tcW w:w="1470" w:type="dxa"/>
            <w:tcBorders>
              <w:right w:val="single" w:color="000000" w:sz="10" w:space="0"/>
            </w:tcBorders>
            <w:vAlign w:val="center"/>
          </w:tcPr>
          <w:p w14:paraId="17C86743">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半年一次（昼、 夜）</w:t>
            </w:r>
          </w:p>
        </w:tc>
      </w:tr>
      <w:tr w14:paraId="555195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1008" w:type="dxa"/>
            <w:vMerge w:val="restart"/>
            <w:tcBorders>
              <w:left w:val="single" w:color="000000" w:sz="10" w:space="0"/>
            </w:tcBorders>
            <w:vAlign w:val="center"/>
          </w:tcPr>
          <w:p w14:paraId="4DA9B709">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矿区环境质量</w:t>
            </w:r>
          </w:p>
        </w:tc>
        <w:tc>
          <w:tcPr>
            <w:tcW w:w="608" w:type="dxa"/>
            <w:vAlign w:val="center"/>
          </w:tcPr>
          <w:p w14:paraId="59A2FFCB">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8</w:t>
            </w:r>
          </w:p>
        </w:tc>
        <w:tc>
          <w:tcPr>
            <w:tcW w:w="1339" w:type="dxa"/>
            <w:vAlign w:val="center"/>
          </w:tcPr>
          <w:p w14:paraId="5DEF2FD2">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地表水</w:t>
            </w:r>
          </w:p>
        </w:tc>
        <w:tc>
          <w:tcPr>
            <w:tcW w:w="1943" w:type="dxa"/>
            <w:vAlign w:val="center"/>
          </w:tcPr>
          <w:p w14:paraId="3C0A7CE2">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沿岗河及陈大庄沟支流</w:t>
            </w:r>
          </w:p>
        </w:tc>
        <w:tc>
          <w:tcPr>
            <w:tcW w:w="2422" w:type="dxa"/>
            <w:vAlign w:val="center"/>
          </w:tcPr>
          <w:p w14:paraId="7965ABA9">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pH、总硬度、氨氮、硝酸 盐氮、氟化物、砷、铁、 锰、镉、锌、铅、铜、六价铬、硫酸盐、细菌总数、 总大肠菌群</w:t>
            </w:r>
          </w:p>
        </w:tc>
        <w:tc>
          <w:tcPr>
            <w:tcW w:w="1470" w:type="dxa"/>
            <w:tcBorders>
              <w:right w:val="single" w:color="000000" w:sz="10" w:space="0"/>
            </w:tcBorders>
            <w:vAlign w:val="center"/>
          </w:tcPr>
          <w:p w14:paraId="1D154DAD">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一年一次</w:t>
            </w:r>
          </w:p>
        </w:tc>
      </w:tr>
      <w:tr w14:paraId="6E4ABD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1008" w:type="dxa"/>
            <w:vMerge w:val="continue"/>
            <w:tcBorders>
              <w:left w:val="single" w:color="000000" w:sz="10" w:space="0"/>
            </w:tcBorders>
            <w:vAlign w:val="center"/>
          </w:tcPr>
          <w:p w14:paraId="7FBF2207">
            <w:pPr>
              <w:tabs>
                <w:tab w:val="center" w:pos="4153"/>
                <w:tab w:val="right" w:pos="8306"/>
              </w:tabs>
              <w:snapToGrid w:val="0"/>
              <w:spacing w:line="240" w:lineRule="auto"/>
              <w:ind w:firstLine="424" w:firstLineChars="0"/>
              <w:rPr>
                <w:rFonts w:cstheme="minorBidi"/>
                <w:snapToGrid w:val="0"/>
                <w:color w:val="auto"/>
                <w:kern w:val="2"/>
                <w:sz w:val="21"/>
                <w:szCs w:val="21"/>
              </w:rPr>
            </w:pPr>
          </w:p>
        </w:tc>
        <w:tc>
          <w:tcPr>
            <w:tcW w:w="608" w:type="dxa"/>
            <w:vAlign w:val="center"/>
          </w:tcPr>
          <w:p w14:paraId="628964A5">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hint="eastAsia" w:cstheme="minorBidi"/>
                <w:snapToGrid w:val="0"/>
                <w:color w:val="auto"/>
                <w:kern w:val="2"/>
                <w:sz w:val="21"/>
                <w:szCs w:val="21"/>
              </w:rPr>
              <w:t>9</w:t>
            </w:r>
          </w:p>
        </w:tc>
        <w:tc>
          <w:tcPr>
            <w:tcW w:w="1339" w:type="dxa"/>
            <w:vAlign w:val="center"/>
          </w:tcPr>
          <w:p w14:paraId="4BE702C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地下水</w:t>
            </w:r>
          </w:p>
        </w:tc>
        <w:tc>
          <w:tcPr>
            <w:tcW w:w="1943" w:type="dxa"/>
            <w:vAlign w:val="center"/>
          </w:tcPr>
          <w:p w14:paraId="786186C5">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生产区 2 号水源井、 尾矿库回水池水井、 冀老庄、腰庄、王油 坊、薛圩、蒋酒坊、 孟家前楼</w:t>
            </w:r>
          </w:p>
        </w:tc>
        <w:tc>
          <w:tcPr>
            <w:tcW w:w="2422" w:type="dxa"/>
            <w:vAlign w:val="center"/>
          </w:tcPr>
          <w:p w14:paraId="54B5D24A">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水位、pH、总硬度、氨氮、 硝酸盐氮、、亚硝酸盐、 氟化物、砷、铁、锰、镉、 锌、铅、铜、六价铬、硫 酸盐、细菌总数、总大肠</w:t>
            </w:r>
          </w:p>
          <w:p w14:paraId="507C198B">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菌群、水位</w:t>
            </w:r>
          </w:p>
        </w:tc>
        <w:tc>
          <w:tcPr>
            <w:tcW w:w="1470" w:type="dxa"/>
            <w:tcBorders>
              <w:right w:val="single" w:color="000000" w:sz="10" w:space="0"/>
            </w:tcBorders>
            <w:vAlign w:val="center"/>
          </w:tcPr>
          <w:p w14:paraId="43ECCB94">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一年一次</w:t>
            </w:r>
          </w:p>
        </w:tc>
      </w:tr>
      <w:tr w14:paraId="5C7AF3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1008" w:type="dxa"/>
            <w:vMerge w:val="continue"/>
            <w:tcBorders>
              <w:left w:val="single" w:color="000000" w:sz="10" w:space="0"/>
            </w:tcBorders>
            <w:vAlign w:val="center"/>
          </w:tcPr>
          <w:p w14:paraId="7DF92E2D">
            <w:pPr>
              <w:tabs>
                <w:tab w:val="center" w:pos="4153"/>
                <w:tab w:val="right" w:pos="8306"/>
              </w:tabs>
              <w:snapToGrid w:val="0"/>
              <w:spacing w:line="240" w:lineRule="auto"/>
              <w:ind w:firstLine="424" w:firstLineChars="0"/>
              <w:rPr>
                <w:rFonts w:cstheme="minorBidi"/>
                <w:snapToGrid w:val="0"/>
                <w:color w:val="auto"/>
                <w:kern w:val="2"/>
                <w:sz w:val="21"/>
                <w:szCs w:val="21"/>
              </w:rPr>
            </w:pPr>
          </w:p>
        </w:tc>
        <w:tc>
          <w:tcPr>
            <w:tcW w:w="608" w:type="dxa"/>
            <w:vAlign w:val="center"/>
          </w:tcPr>
          <w:p w14:paraId="5B6D621E">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w:t>
            </w:r>
            <w:r>
              <w:rPr>
                <w:rFonts w:hint="eastAsia" w:cstheme="minorBidi"/>
                <w:snapToGrid w:val="0"/>
                <w:color w:val="auto"/>
                <w:kern w:val="2"/>
                <w:sz w:val="21"/>
                <w:szCs w:val="21"/>
              </w:rPr>
              <w:t>0</w:t>
            </w:r>
          </w:p>
        </w:tc>
        <w:tc>
          <w:tcPr>
            <w:tcW w:w="1339" w:type="dxa"/>
            <w:vAlign w:val="center"/>
          </w:tcPr>
          <w:p w14:paraId="0E59F6C9">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环境空气</w:t>
            </w:r>
          </w:p>
        </w:tc>
        <w:tc>
          <w:tcPr>
            <w:tcW w:w="1943" w:type="dxa"/>
            <w:vAlign w:val="center"/>
          </w:tcPr>
          <w:p w14:paraId="2C5D475A">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朱老庄、王旮旯、 孟家前楼</w:t>
            </w:r>
          </w:p>
        </w:tc>
        <w:tc>
          <w:tcPr>
            <w:tcW w:w="2422" w:type="dxa"/>
            <w:vAlign w:val="center"/>
          </w:tcPr>
          <w:p w14:paraId="1187025E">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PM</w:t>
            </w:r>
            <w:r>
              <w:rPr>
                <w:rFonts w:cstheme="minorBidi"/>
                <w:snapToGrid w:val="0"/>
                <w:color w:val="auto"/>
                <w:kern w:val="2"/>
                <w:sz w:val="21"/>
                <w:szCs w:val="21"/>
                <w:vertAlign w:val="subscript"/>
              </w:rPr>
              <w:t>10</w:t>
            </w:r>
            <w:r>
              <w:rPr>
                <w:rFonts w:cstheme="minorBidi"/>
                <w:snapToGrid w:val="0"/>
                <w:color w:val="auto"/>
                <w:kern w:val="2"/>
                <w:sz w:val="21"/>
                <w:szCs w:val="21"/>
              </w:rPr>
              <w:t xml:space="preserve"> 、SO</w:t>
            </w:r>
            <w:r>
              <w:rPr>
                <w:rFonts w:cstheme="minorBidi"/>
                <w:snapToGrid w:val="0"/>
                <w:color w:val="auto"/>
                <w:kern w:val="2"/>
                <w:sz w:val="21"/>
                <w:szCs w:val="21"/>
                <w:vertAlign w:val="subscript"/>
              </w:rPr>
              <w:t>2</w:t>
            </w:r>
          </w:p>
        </w:tc>
        <w:tc>
          <w:tcPr>
            <w:tcW w:w="1470" w:type="dxa"/>
            <w:tcBorders>
              <w:right w:val="single" w:color="000000" w:sz="10" w:space="0"/>
            </w:tcBorders>
            <w:vAlign w:val="center"/>
          </w:tcPr>
          <w:p w14:paraId="03728C3F">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2 次/年</w:t>
            </w:r>
          </w:p>
        </w:tc>
      </w:tr>
      <w:tr w14:paraId="055F8D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1008" w:type="dxa"/>
            <w:vMerge w:val="continue"/>
            <w:tcBorders>
              <w:left w:val="single" w:color="000000" w:sz="10" w:space="0"/>
            </w:tcBorders>
            <w:vAlign w:val="center"/>
          </w:tcPr>
          <w:p w14:paraId="531A9E2B">
            <w:pPr>
              <w:tabs>
                <w:tab w:val="center" w:pos="4153"/>
                <w:tab w:val="right" w:pos="8306"/>
              </w:tabs>
              <w:snapToGrid w:val="0"/>
              <w:spacing w:line="240" w:lineRule="auto"/>
              <w:ind w:firstLine="424" w:firstLineChars="0"/>
              <w:rPr>
                <w:rFonts w:cstheme="minorBidi"/>
                <w:snapToGrid w:val="0"/>
                <w:color w:val="auto"/>
                <w:kern w:val="2"/>
                <w:sz w:val="21"/>
                <w:szCs w:val="21"/>
              </w:rPr>
            </w:pPr>
          </w:p>
        </w:tc>
        <w:tc>
          <w:tcPr>
            <w:tcW w:w="608" w:type="dxa"/>
            <w:vAlign w:val="center"/>
          </w:tcPr>
          <w:p w14:paraId="3F32B761">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w:t>
            </w:r>
            <w:r>
              <w:rPr>
                <w:rFonts w:hint="eastAsia" w:cstheme="minorBidi"/>
                <w:snapToGrid w:val="0"/>
                <w:color w:val="auto"/>
                <w:kern w:val="2"/>
                <w:sz w:val="21"/>
                <w:szCs w:val="21"/>
              </w:rPr>
              <w:t>1</w:t>
            </w:r>
          </w:p>
        </w:tc>
        <w:tc>
          <w:tcPr>
            <w:tcW w:w="1339" w:type="dxa"/>
            <w:vAlign w:val="center"/>
          </w:tcPr>
          <w:p w14:paraId="17B1E353">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声环境敏感点</w:t>
            </w:r>
          </w:p>
        </w:tc>
        <w:tc>
          <w:tcPr>
            <w:tcW w:w="1943" w:type="dxa"/>
            <w:vAlign w:val="center"/>
          </w:tcPr>
          <w:p w14:paraId="1E6AADE3">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倪庄、孟家前楼</w:t>
            </w:r>
          </w:p>
        </w:tc>
        <w:tc>
          <w:tcPr>
            <w:tcW w:w="2422" w:type="dxa"/>
            <w:vAlign w:val="center"/>
          </w:tcPr>
          <w:p w14:paraId="7D9DA2EC">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等效连续 A 声级</w:t>
            </w:r>
          </w:p>
        </w:tc>
        <w:tc>
          <w:tcPr>
            <w:tcW w:w="1470" w:type="dxa"/>
            <w:tcBorders>
              <w:right w:val="single" w:color="000000" w:sz="10" w:space="0"/>
            </w:tcBorders>
            <w:vAlign w:val="center"/>
          </w:tcPr>
          <w:p w14:paraId="23802030">
            <w:pPr>
              <w:tabs>
                <w:tab w:val="center" w:pos="4153"/>
                <w:tab w:val="right" w:pos="8306"/>
              </w:tabs>
              <w:snapToGrid w:val="0"/>
              <w:spacing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一年一次（昼、 夜）</w:t>
            </w:r>
          </w:p>
        </w:tc>
      </w:tr>
    </w:tbl>
    <w:p w14:paraId="3A2ACFEF">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营运期环境监测方案内容包括：</w:t>
      </w:r>
    </w:p>
    <w:p w14:paraId="1777C9BC">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（1）人工监测范围</w:t>
      </w:r>
    </w:p>
    <w:p w14:paraId="6044126F">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在线监测仪的对比监测及校准，选矿厂除尘设施，矿井涌水，尾矿库上下游水井，环境空气、厂界噪声、地下水等。</w:t>
      </w:r>
    </w:p>
    <w:p w14:paraId="2E8409FC">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（2）现场监督检查</w:t>
      </w:r>
    </w:p>
    <w:p w14:paraId="37677E46">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公司环保科专职环保人员通过便携式监测仪、摄像等方式在矿区内进行流动检查，发现问题，及时处理。</w:t>
      </w:r>
    </w:p>
    <w:p w14:paraId="186424C4">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（3）监测信息反馈</w:t>
      </w:r>
    </w:p>
    <w:p w14:paraId="54E324CE">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对监测、检查结果进行统计汇报，如有异常，及时反馈生产部门，查找原因， 及时解决。环境监测结果，如实向环境保护行政主管部门汇报。</w:t>
      </w:r>
    </w:p>
    <w:p w14:paraId="2907D61E">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（4）建立地下水长期动态监测网</w:t>
      </w:r>
    </w:p>
    <w:p w14:paraId="2CAE0A3A">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建立矿区地下水长期动态观测网，对地下水进行长期动态观测，对居民饮用水井水位、水质进行监测评估，监测内容见表 3.6-1，为矿山实施供水应急预案提供决策依据。</w:t>
      </w:r>
    </w:p>
    <w:p w14:paraId="2BCB17EE">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（5）建立地表变形的动态观测网</w:t>
      </w:r>
    </w:p>
    <w:p w14:paraId="682EDDA4">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建立矿区地表变形观测网，对地表变形进行长期动态观测，定期提供地表变形 评估报告，为矿山实施地表变形控制措施提供决策依据。</w:t>
      </w:r>
    </w:p>
    <w:p w14:paraId="5E273488">
      <w:pPr>
        <w:pStyle w:val="4"/>
      </w:pPr>
      <w:r>
        <w:rPr>
          <w:rFonts w:hint="eastAsia"/>
        </w:rPr>
        <w:t>2.3.2</w:t>
      </w:r>
      <w:r>
        <w:t xml:space="preserve"> </w:t>
      </w:r>
      <w:r>
        <w:rPr>
          <w:rFonts w:hint="eastAsia"/>
        </w:rPr>
        <w:t>监测计划执行情况</w:t>
      </w:r>
    </w:p>
    <w:p w14:paraId="0D70897D">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按照环境监测计划，</w:t>
      </w:r>
      <w:r>
        <w:rPr>
          <w:rFonts w:hint="eastAsia" w:ascii="Times New Roman" w:hAnsi="Times New Roman" w:eastAsia="宋体"/>
          <w:sz w:val="24"/>
          <w:szCs w:val="24"/>
        </w:rPr>
        <w:t>企业需</w:t>
      </w:r>
      <w:r>
        <w:rPr>
          <w:rFonts w:ascii="Times New Roman" w:hAnsi="Times New Roman" w:eastAsia="宋体"/>
          <w:sz w:val="24"/>
          <w:szCs w:val="24"/>
        </w:rPr>
        <w:t>对厂界噪声及周边地表水、地下水、大气、土壤、声环境进行了监测；验收期间对环保设施及周边地表水、地下水、大气、噪声等进行了全面监测；后续运营期间</w:t>
      </w:r>
      <w:r>
        <w:rPr>
          <w:rFonts w:hint="eastAsia" w:ascii="Times New Roman" w:hAnsi="Times New Roman" w:eastAsia="宋体"/>
          <w:sz w:val="24"/>
          <w:szCs w:val="24"/>
        </w:rPr>
        <w:t>由第三方检测单位定期检测。</w:t>
      </w:r>
    </w:p>
    <w:p w14:paraId="09328454">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2017年9月锅炉停用，配套的除尘器拆除，不再对锅炉废气进行监测，同时锅炉 停用，企业生产不再产生SO</w:t>
      </w:r>
      <w:r>
        <w:rPr>
          <w:rFonts w:ascii="Times New Roman" w:hAnsi="Times New Roman" w:eastAsia="宋体"/>
          <w:sz w:val="24"/>
          <w:szCs w:val="24"/>
          <w:vertAlign w:val="subscript"/>
        </w:rPr>
        <w:t>2</w:t>
      </w:r>
      <w:r>
        <w:rPr>
          <w:rFonts w:ascii="Times New Roman" w:hAnsi="Times New Roman" w:eastAsia="宋体"/>
          <w:sz w:val="24"/>
          <w:szCs w:val="24"/>
        </w:rPr>
        <w:t>废气，故对环境空气的监测减少了SO</w:t>
      </w:r>
      <w:r>
        <w:rPr>
          <w:rFonts w:ascii="Times New Roman" w:hAnsi="Times New Roman" w:eastAsia="宋体"/>
          <w:sz w:val="24"/>
          <w:szCs w:val="24"/>
          <w:vertAlign w:val="subscript"/>
        </w:rPr>
        <w:t>2</w:t>
      </w:r>
      <w:r>
        <w:rPr>
          <w:rFonts w:ascii="Times New Roman" w:hAnsi="Times New Roman" w:eastAsia="宋体"/>
          <w:sz w:val="24"/>
          <w:szCs w:val="24"/>
        </w:rPr>
        <w:t xml:space="preserve"> 因子。</w:t>
      </w:r>
    </w:p>
    <w:p w14:paraId="720B403D">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2020 年开始对选厂区废气处理设施进行全面改造，2021 年 5月改造完成，废气监测点位发生了变化。</w:t>
      </w:r>
    </w:p>
    <w:p w14:paraId="3B29FF33">
      <w:pPr>
        <w:pStyle w:val="3"/>
      </w:pPr>
      <w:bookmarkStart w:id="28" w:name="_Toc85213493"/>
      <w:r>
        <w:rPr>
          <w:rFonts w:hint="eastAsia"/>
        </w:rPr>
        <w:t>2.4</w:t>
      </w:r>
      <w:r>
        <w:t xml:space="preserve"> </w:t>
      </w:r>
      <w:r>
        <w:rPr>
          <w:rFonts w:hint="eastAsia"/>
        </w:rPr>
        <w:t>公众意见收集调查回顾</w:t>
      </w:r>
      <w:bookmarkEnd w:id="28"/>
    </w:p>
    <w:p w14:paraId="330F7E3A">
      <w:pPr>
        <w:pStyle w:val="4"/>
      </w:pPr>
      <w:r>
        <w:rPr>
          <w:rFonts w:hint="eastAsia"/>
        </w:rPr>
        <w:t>2.4.1</w:t>
      </w:r>
      <w:r>
        <w:t xml:space="preserve"> </w:t>
      </w:r>
      <w:r>
        <w:rPr>
          <w:rFonts w:hint="eastAsia"/>
        </w:rPr>
        <w:t>环评文件公众参与调查</w:t>
      </w:r>
    </w:p>
    <w:p w14:paraId="2ADD4CC7">
      <w:pPr>
        <w:pStyle w:val="14"/>
        <w:adjustRightInd w:val="0"/>
        <w:snapToGrid w:val="0"/>
        <w:spacing w:line="500" w:lineRule="exact"/>
        <w:ind w:firstLine="480"/>
        <w:rPr>
          <w:rFonts w:ascii="Times New Roman" w:hAnsi="Times New Roman" w:eastAsia="宋体"/>
          <w:sz w:val="24"/>
          <w:szCs w:val="24"/>
        </w:rPr>
      </w:pPr>
      <w:r>
        <w:rPr>
          <w:rFonts w:hint="eastAsia" w:hAnsi="宋体" w:eastAsia="宋体"/>
          <w:sz w:val="24"/>
          <w:szCs w:val="24"/>
        </w:rPr>
        <w:t>评价阶段对项目同步进行网站、村委会信息公布和发放调查问卷三种方式征询公众对于本项目</w:t>
      </w:r>
      <w:r>
        <w:rPr>
          <w:rFonts w:ascii="Times New Roman" w:hAnsi="Times New Roman" w:eastAsia="宋体"/>
          <w:sz w:val="24"/>
          <w:szCs w:val="24"/>
        </w:rPr>
        <w:t>的意见。</w:t>
      </w:r>
    </w:p>
    <w:p w14:paraId="53CEC5B0">
      <w:pPr>
        <w:pStyle w:val="14"/>
        <w:adjustRightInd w:val="0"/>
        <w:snapToGrid w:val="0"/>
        <w:spacing w:line="500" w:lineRule="exact"/>
        <w:ind w:firstLine="480"/>
        <w:rPr>
          <w:rFonts w:ascii="Times New Roman" w:hAnsi="Times New Roman" w:eastAsia="宋体"/>
          <w:sz w:val="24"/>
          <w:szCs w:val="24"/>
        </w:rPr>
      </w:pPr>
      <w:r>
        <w:rPr>
          <w:rFonts w:ascii="Times New Roman" w:hAnsi="Times New Roman" w:eastAsia="宋体"/>
          <w:sz w:val="24"/>
          <w:szCs w:val="24"/>
        </w:rPr>
        <w:t>鉴于本项目建设规模较大，涉及到部分居民搬迁问题，遵照科学发展观，建设和谐社会，为做到“发展经济，保护环境”。建设单位安徽</w:t>
      </w:r>
      <w:r>
        <w:rPr>
          <w:rFonts w:hint="eastAsia" w:ascii="Times New Roman" w:hAnsi="Times New Roman" w:eastAsia="宋体"/>
          <w:sz w:val="24"/>
          <w:szCs w:val="24"/>
        </w:rPr>
        <w:t>金安</w:t>
      </w:r>
      <w:r>
        <w:rPr>
          <w:rFonts w:ascii="Times New Roman" w:hAnsi="Times New Roman" w:eastAsia="宋体"/>
          <w:sz w:val="24"/>
          <w:szCs w:val="24"/>
        </w:rPr>
        <w:t>矿业有限公司在问卷调查基础上，邀请当地相关部门（霍邱县政府办公室、县林业局、水务局、发改委、环保局、开发区管委会、国土局等部门代表）﹑项目所在地范桥乡、冯井镇村民代表，建设单位及环评单位有关人员共计20人，并向与会代表介绍了公众参与的作用、重要意义，本项目公众参与的开展情况，问卷调查意见落实情况，有91.3％的被调查者认为该项目的建设对当地经济的发展以及附近民众生活水平的提高可起到积极的促进作用，对项目的建设给予了肯定，没有人反对。</w:t>
      </w:r>
    </w:p>
    <w:p w14:paraId="2B286EBA">
      <w:pPr>
        <w:pStyle w:val="4"/>
        <w:rPr>
          <w:rFonts w:cs="Times New Roman"/>
        </w:rPr>
      </w:pPr>
      <w:r>
        <w:rPr>
          <w:rFonts w:cs="Times New Roman"/>
        </w:rPr>
        <w:t>2.4.2 竣工环境保护验收公众参与调查</w:t>
      </w:r>
    </w:p>
    <w:p w14:paraId="52691FC8">
      <w:pPr>
        <w:ind w:firstLine="480"/>
      </w:pPr>
      <w:r>
        <w:rPr>
          <w:rFonts w:hint="eastAsia"/>
        </w:rPr>
        <w:t>验收调查期间，共</w:t>
      </w:r>
      <w:r>
        <w:rPr>
          <w:kern w:val="0"/>
        </w:rPr>
        <w:t>发放调查问卷1</w:t>
      </w:r>
      <w:r>
        <w:rPr>
          <w:rFonts w:hint="eastAsia"/>
          <w:kern w:val="0"/>
        </w:rPr>
        <w:t>5</w:t>
      </w:r>
      <w:r>
        <w:rPr>
          <w:kern w:val="0"/>
        </w:rPr>
        <w:t>0份，回收有效问卷</w:t>
      </w:r>
      <w:r>
        <w:rPr>
          <w:rFonts w:hint="eastAsia"/>
          <w:kern w:val="0"/>
        </w:rPr>
        <w:t>148</w:t>
      </w:r>
      <w:r>
        <w:rPr>
          <w:kern w:val="0"/>
        </w:rPr>
        <w:t>份，回收率9</w:t>
      </w:r>
      <w:r>
        <w:rPr>
          <w:rFonts w:hint="eastAsia"/>
          <w:kern w:val="0"/>
        </w:rPr>
        <w:t>8.67</w:t>
      </w:r>
      <w:r>
        <w:rPr>
          <w:kern w:val="0"/>
        </w:rPr>
        <w:t>%，其中拆迁户</w:t>
      </w:r>
      <w:r>
        <w:rPr>
          <w:rFonts w:hint="eastAsia"/>
          <w:kern w:val="0"/>
        </w:rPr>
        <w:t>20</w:t>
      </w:r>
      <w:r>
        <w:rPr>
          <w:kern w:val="0"/>
        </w:rPr>
        <w:t>份（占</w:t>
      </w:r>
      <w:r>
        <w:rPr>
          <w:rFonts w:hint="eastAsia"/>
          <w:kern w:val="0"/>
        </w:rPr>
        <w:t>13.51</w:t>
      </w:r>
      <w:r>
        <w:rPr>
          <w:kern w:val="0"/>
        </w:rPr>
        <w:t>%）</w:t>
      </w:r>
      <w:r>
        <w:rPr>
          <w:rFonts w:hint="eastAsia"/>
        </w:rPr>
        <w:t>。对该工程的环境保护工作，</w:t>
      </w:r>
      <w:r>
        <w:rPr>
          <w:rFonts w:hint="eastAsia"/>
          <w:szCs w:val="21"/>
        </w:rPr>
        <w:t>23.65</w:t>
      </w:r>
      <w:r>
        <w:rPr>
          <w:rFonts w:hint="eastAsia"/>
        </w:rPr>
        <w:t>%的被调查者表示满意，</w:t>
      </w:r>
      <w:r>
        <w:rPr>
          <w:rFonts w:hint="eastAsia"/>
          <w:szCs w:val="21"/>
        </w:rPr>
        <w:t>45.95</w:t>
      </w:r>
      <w:r>
        <w:rPr>
          <w:rFonts w:hint="eastAsia"/>
        </w:rPr>
        <w:t>%的被调查者表示基本满意，</w:t>
      </w:r>
      <w:r>
        <w:rPr>
          <w:rFonts w:hint="eastAsia"/>
          <w:szCs w:val="21"/>
        </w:rPr>
        <w:t>27.70</w:t>
      </w:r>
      <w:r>
        <w:rPr>
          <w:rFonts w:hint="eastAsia"/>
        </w:rPr>
        <w:t>%的被调查者不表态。被调查的</w:t>
      </w:r>
      <w:r>
        <w:t>4</w:t>
      </w:r>
      <w:r>
        <w:rPr>
          <w:rFonts w:hint="eastAsia"/>
        </w:rPr>
        <w:t>个团体对本项目都较熟悉，对该工程的环境保护工作，均表示基本满意。</w:t>
      </w:r>
    </w:p>
    <w:p w14:paraId="47043246">
      <w:pPr>
        <w:ind w:firstLine="480"/>
      </w:pPr>
      <w:r>
        <w:rPr>
          <w:rFonts w:hint="eastAsia"/>
        </w:rPr>
        <w:t>安徽金安矿业有限公司草楼铁矿项目的环境保护工作得到了周边公众及团体的认可。企业建立了环保信息公开制度，定期进行环保信息的公开。</w:t>
      </w:r>
    </w:p>
    <w:p w14:paraId="76D73C40">
      <w:pPr>
        <w:ind w:firstLine="480"/>
      </w:pPr>
    </w:p>
    <w:p w14:paraId="063E217F">
      <w:pPr>
        <w:ind w:firstLine="480"/>
        <w:sectPr>
          <w:pgSz w:w="11906" w:h="16838"/>
          <w:pgMar w:top="1440" w:right="1797" w:bottom="1440" w:left="1797" w:header="851" w:footer="992" w:gutter="0"/>
          <w:cols w:space="425" w:num="1"/>
          <w:docGrid w:type="lines" w:linePitch="312" w:charSpace="0"/>
        </w:sectPr>
      </w:pPr>
    </w:p>
    <w:p w14:paraId="0937B6C1">
      <w:pPr>
        <w:pStyle w:val="2"/>
        <w:ind w:firstLine="883"/>
      </w:pPr>
      <w:bookmarkStart w:id="29" w:name="_Toc85213494"/>
      <w:r>
        <w:rPr>
          <w:rFonts w:hint="eastAsia"/>
        </w:rPr>
        <w:t>3</w:t>
      </w:r>
      <w:r>
        <w:t xml:space="preserve"> </w:t>
      </w:r>
      <w:r>
        <w:rPr>
          <w:rFonts w:hint="eastAsia"/>
        </w:rPr>
        <w:t>建设项目工程评价</w:t>
      </w:r>
      <w:bookmarkEnd w:id="29"/>
    </w:p>
    <w:p w14:paraId="505F6B5C">
      <w:pPr>
        <w:pStyle w:val="3"/>
      </w:pPr>
      <w:bookmarkStart w:id="30" w:name="_Toc85213495"/>
      <w:r>
        <w:rPr>
          <w:rFonts w:hint="eastAsia"/>
        </w:rPr>
        <w:t>3.1</w:t>
      </w:r>
      <w:r>
        <w:t xml:space="preserve"> </w:t>
      </w:r>
      <w:r>
        <w:rPr>
          <w:rFonts w:hint="eastAsia"/>
        </w:rPr>
        <w:t>项目变动情况判定</w:t>
      </w:r>
      <w:bookmarkEnd w:id="30"/>
    </w:p>
    <w:p w14:paraId="40561B84">
      <w:pPr>
        <w:ind w:firstLine="480"/>
      </w:pPr>
      <w:r>
        <w:t>（1）停止使用燃煤锅炉</w:t>
      </w:r>
    </w:p>
    <w:p w14:paraId="426A6BD9">
      <w:pPr>
        <w:ind w:firstLine="480"/>
      </w:pPr>
      <w:r>
        <w:t>生活区燃煤锅炉于 2017 年 9 月停用。</w:t>
      </w:r>
    </w:p>
    <w:p w14:paraId="07B835F5">
      <w:pPr>
        <w:ind w:firstLine="480"/>
      </w:pPr>
      <w:r>
        <w:t>（2）新建一座危废库</w:t>
      </w:r>
    </w:p>
    <w:p w14:paraId="40FAAE7A">
      <w:pPr>
        <w:ind w:firstLine="480"/>
      </w:pPr>
      <w:r>
        <w:t>危废库于2019年10月建成，用于暂存企业产生的危险废物。</w:t>
      </w:r>
    </w:p>
    <w:p w14:paraId="6C045A2E">
      <w:pPr>
        <w:ind w:firstLine="480"/>
      </w:pPr>
      <w:r>
        <w:t>（3）选厂粉尘处理设施改造</w:t>
      </w:r>
    </w:p>
    <w:p w14:paraId="7E048B12">
      <w:pPr>
        <w:ind w:firstLine="480"/>
      </w:pPr>
      <w:r>
        <w:t>2020 年开始对选厂除尘设施进行全面改造，于2021年5月改造完成。</w:t>
      </w:r>
    </w:p>
    <w:p w14:paraId="0F583531">
      <w:pPr>
        <w:ind w:firstLine="480"/>
      </w:pPr>
      <w:r>
        <w:t>（4）增加湿抛工序</w:t>
      </w:r>
    </w:p>
    <w:p w14:paraId="45FD51D2">
      <w:pPr>
        <w:ind w:firstLine="480"/>
      </w:pPr>
      <w:r>
        <w:t>2015年5月，企业对选矿工艺进行了优化，增加了湿抛工序。</w:t>
      </w:r>
    </w:p>
    <w:p w14:paraId="3E4B5FFE">
      <w:pPr>
        <w:ind w:firstLine="480"/>
      </w:pPr>
      <w:r>
        <w:t>（</w:t>
      </w:r>
      <w:r>
        <w:rPr>
          <w:rFonts w:hint="eastAsia"/>
        </w:rPr>
        <w:t>5</w:t>
      </w:r>
      <w:r>
        <w:t>）尾矿压滤停用</w:t>
      </w:r>
    </w:p>
    <w:p w14:paraId="6CAE671E">
      <w:pPr>
        <w:ind w:firstLine="480"/>
      </w:pPr>
      <w:r>
        <w:t>2015年2月，尾矿压滤工序停止使用。</w:t>
      </w:r>
    </w:p>
    <w:p w14:paraId="79B6CD8D">
      <w:pPr>
        <w:ind w:firstLine="480"/>
      </w:pPr>
      <w:r>
        <w:t>（</w:t>
      </w:r>
      <w:r>
        <w:rPr>
          <w:rFonts w:hint="eastAsia"/>
        </w:rPr>
        <w:t>6</w:t>
      </w:r>
      <w:r>
        <w:t>）新增尾矿库干滩喷淋系统</w:t>
      </w:r>
    </w:p>
    <w:p w14:paraId="74F88A8A">
      <w:pPr>
        <w:ind w:firstLine="480"/>
      </w:pPr>
      <w:r>
        <w:t>为了控制尾矿库扬尘，2019 年 5 月尾矿库干滩喷淋系统建设完成。</w:t>
      </w:r>
    </w:p>
    <w:p w14:paraId="7DE7B4C2">
      <w:pPr>
        <w:ind w:firstLine="480"/>
      </w:pPr>
      <w:r>
        <w:t>（</w:t>
      </w:r>
      <w:r>
        <w:rPr>
          <w:rFonts w:hint="eastAsia"/>
        </w:rPr>
        <w:t>7</w:t>
      </w:r>
      <w:r>
        <w:t>）新增尾矿库尾砂转运系统</w:t>
      </w:r>
    </w:p>
    <w:p w14:paraId="3D0E7495">
      <w:pPr>
        <w:ind w:firstLine="480"/>
      </w:pPr>
      <w:r>
        <w:t>2020年11月，企业新增尾矿库尾砂转运系统，将部分尾矿库的尾砂转移入地下填充。</w:t>
      </w:r>
    </w:p>
    <w:p w14:paraId="75FBE8F8">
      <w:pPr>
        <w:pStyle w:val="4"/>
      </w:pPr>
      <w:r>
        <w:rPr>
          <w:rFonts w:hint="eastAsia"/>
        </w:rPr>
        <w:t>3.1.1</w:t>
      </w:r>
      <w:r>
        <w:t xml:space="preserve"> </w:t>
      </w:r>
      <w:r>
        <w:rPr>
          <w:rFonts w:hint="eastAsia"/>
        </w:rPr>
        <w:t>变动由来及情况</w:t>
      </w:r>
    </w:p>
    <w:p w14:paraId="110D1A87">
      <w:pPr>
        <w:ind w:firstLine="480"/>
      </w:pPr>
      <w:r>
        <w:t>（1）根据《安徽省打赢蓝天保卫战三年行动计划实施方案》要求，全省基本淘 汰每小时 35 蒸吨以下燃煤锅炉，项目的燃煤锅炉按照大气污染防治管理要求停止使 用。</w:t>
      </w:r>
    </w:p>
    <w:p w14:paraId="3EBF793F">
      <w:pPr>
        <w:ind w:firstLine="480"/>
      </w:pPr>
      <w:r>
        <w:t>（2）原环评和验收阶段未提及废矿物油及废油桶等危险废物，实际生产中产生， 故建设危废暂存库，用于暂存企业实际生产中产生的危险废物，防止其对环境产生 污染。</w:t>
      </w:r>
    </w:p>
    <w:p w14:paraId="207878C5">
      <w:pPr>
        <w:ind w:firstLine="480"/>
      </w:pPr>
      <w:r>
        <w:t>（3）根据《安徽省生态环境厅关于&lt;全面执行大气污染物特别排放限值&gt;的通知》（皖环函[2019]1120 号），项目排放的颗粒物需执行《铁矿采选工业污染物排放标准》（GB28661-2012）特别排放限值（10mg/m</w:t>
      </w:r>
      <w:r>
        <w:rPr>
          <w:vertAlign w:val="superscript"/>
        </w:rPr>
        <w:t>3</w:t>
      </w:r>
      <w:r>
        <w:t>）要求，需要对除尘设施进行改造。</w:t>
      </w:r>
    </w:p>
    <w:p w14:paraId="48BDDD08">
      <w:pPr>
        <w:ind w:firstLine="480"/>
      </w:pPr>
      <w:r>
        <w:t>（4）企业对选矿工艺进行了优化，增加了湿抛工序，使得尾砂产量减少，减小 了尾砂对环境的影响，同时降低了后续磨选工序的压力。</w:t>
      </w:r>
    </w:p>
    <w:p w14:paraId="3069FC05">
      <w:pPr>
        <w:ind w:firstLine="480"/>
      </w:pPr>
      <w:r>
        <w:t>（</w:t>
      </w:r>
      <w:r>
        <w:rPr>
          <w:rFonts w:hint="eastAsia"/>
        </w:rPr>
        <w:t>5</w:t>
      </w:r>
      <w:r>
        <w:t>）经尾矿压滤工序压滤后的尾矿水分不达标，不能用于井下填充，故尾矿压 滤工序停用。</w:t>
      </w:r>
    </w:p>
    <w:p w14:paraId="6CF60941">
      <w:pPr>
        <w:ind w:firstLine="480"/>
      </w:pPr>
      <w:r>
        <w:t>（</w:t>
      </w:r>
      <w:r>
        <w:rPr>
          <w:rFonts w:hint="eastAsia"/>
        </w:rPr>
        <w:t>6</w:t>
      </w:r>
      <w:r>
        <w:t>）为贯彻执行《安徽省尾矿库污染防治工作方案（2019—2020 年）》文件 要求，防范尾矿库环境污染，企业建设干滩喷淋系统，控制尾矿库扬尘。</w:t>
      </w:r>
    </w:p>
    <w:p w14:paraId="35CE00B8">
      <w:pPr>
        <w:ind w:firstLine="480"/>
      </w:pPr>
      <w:r>
        <w:t>（</w:t>
      </w:r>
      <w:r>
        <w:rPr>
          <w:rFonts w:hint="eastAsia"/>
        </w:rPr>
        <w:t>7</w:t>
      </w:r>
      <w:r>
        <w:t>）运行前期尾矿充填量较少，导致井下空区较大，企业产生的尾砂已不能满足井下空区充填需求，故 2020 年建设尾矿库尾砂转运系统将部分尾矿库内的尾砂转移入井下充填。</w:t>
      </w:r>
    </w:p>
    <w:p w14:paraId="539D6F45">
      <w:pPr>
        <w:pStyle w:val="4"/>
      </w:pPr>
      <w:r>
        <w:rPr>
          <w:rFonts w:hint="eastAsia"/>
        </w:rPr>
        <w:t>3.1.2</w:t>
      </w:r>
      <w:r>
        <w:t xml:space="preserve"> </w:t>
      </w:r>
      <w:r>
        <w:rPr>
          <w:rFonts w:hint="eastAsia"/>
        </w:rPr>
        <w:t>变动内容</w:t>
      </w:r>
    </w:p>
    <w:p w14:paraId="30E03964">
      <w:pPr>
        <w:ind w:firstLine="480"/>
      </w:pPr>
      <w:r>
        <w:t>（1）燃煤锅炉停止使用</w:t>
      </w:r>
    </w:p>
    <w:p w14:paraId="25069044">
      <w:pPr>
        <w:ind w:firstLine="480"/>
      </w:pPr>
      <w:r>
        <w:t>项目在环评及验收阶段在生活区设置一台 2t/h 燃煤锅炉，在生产区设置一台 1t/h 的燃煤锅炉，一直以来，生产区锅炉没有投入运行。</w:t>
      </w:r>
    </w:p>
    <w:p w14:paraId="07D93981">
      <w:pPr>
        <w:ind w:firstLine="480"/>
      </w:pPr>
      <w:r>
        <w:t>生产区燃煤锅炉拆除，生活区燃煤锅炉停用并拆除，同时拆除了配套的锅炉废 气处理设施。原生活区燃煤锅炉作用是为员工生活提供热水，现生活区所用能源为 空气能。</w:t>
      </w:r>
    </w:p>
    <w:p w14:paraId="7C510EF6">
      <w:pPr>
        <w:ind w:firstLine="480"/>
      </w:pPr>
      <w:r>
        <w:t>原生活区锅炉所在地现为员工宿舍楼，见下图 3.1-1。</w:t>
      </w:r>
    </w:p>
    <w:p w14:paraId="48C89132">
      <w:pPr>
        <w:ind w:firstLine="480"/>
      </w:pPr>
      <w:r>
        <w:drawing>
          <wp:inline distT="0" distB="0" distL="0" distR="0">
            <wp:extent cx="4772025" cy="3324225"/>
            <wp:effectExtent l="0" t="0" r="0" b="9525"/>
            <wp:docPr id="1249176971" name="IM 3"/>
            <wp:cNvGraphicFramePr/>
            <a:graphic xmlns:a="http://schemas.openxmlformats.org/drawingml/2006/main">
              <a:graphicData uri="http://schemas.openxmlformats.org/drawingml/2006/picture">
                <pic:pic xmlns:pic="http://schemas.openxmlformats.org/drawingml/2006/picture">
                  <pic:nvPicPr>
                    <pic:cNvPr id="1249176971" name="IM 3"/>
                    <pic:cNvPicPr/>
                  </pic:nvPicPr>
                  <pic:blipFill>
                    <a:blip r:embed="rId20"/>
                    <a:stretch>
                      <a:fillRect/>
                    </a:stretch>
                  </pic:blipFill>
                  <pic:spPr>
                    <a:xfrm>
                      <a:off x="0" y="0"/>
                      <a:ext cx="4772142" cy="3324307"/>
                    </a:xfrm>
                    <a:prstGeom prst="rect">
                      <a:avLst/>
                    </a:prstGeom>
                  </pic:spPr>
                </pic:pic>
              </a:graphicData>
            </a:graphic>
          </wp:inline>
        </w:drawing>
      </w:r>
    </w:p>
    <w:p w14:paraId="5EEADED1">
      <w:pPr>
        <w:pStyle w:val="18"/>
        <w:ind w:firstLine="482"/>
        <w:jc w:val="center"/>
        <w:rPr>
          <w:b/>
          <w:bCs/>
          <w:sz w:val="24"/>
          <w:szCs w:val="24"/>
        </w:rPr>
      </w:pPr>
      <w:r>
        <w:rPr>
          <w:b/>
          <w:bCs/>
          <w:sz w:val="24"/>
          <w:szCs w:val="24"/>
        </w:rPr>
        <w:t>图 3.1-1  原生活区锅炉位置现状图</w:t>
      </w:r>
    </w:p>
    <w:p w14:paraId="1939D614">
      <w:pPr>
        <w:widowControl/>
        <w:ind w:firstLine="520"/>
        <w:jc w:val="left"/>
        <w:rPr>
          <w:rFonts w:cs="Times New Roman"/>
          <w:spacing w:val="10"/>
          <w:szCs w:val="24"/>
        </w:rPr>
      </w:pPr>
      <w:r>
        <w:rPr>
          <w:rFonts w:cs="Times New Roman"/>
          <w:spacing w:val="10"/>
          <w:szCs w:val="24"/>
        </w:rPr>
        <w:t>（2）新建一座危废库</w:t>
      </w:r>
    </w:p>
    <w:p w14:paraId="19C8DCA4">
      <w:pPr>
        <w:widowControl/>
        <w:ind w:firstLine="520"/>
        <w:jc w:val="left"/>
        <w:rPr>
          <w:rFonts w:cs="Times New Roman"/>
          <w:spacing w:val="10"/>
          <w:szCs w:val="24"/>
        </w:rPr>
      </w:pPr>
      <w:r>
        <w:rPr>
          <w:rFonts w:cs="Times New Roman"/>
          <w:spacing w:val="10"/>
          <w:szCs w:val="24"/>
        </w:rPr>
        <w:t>在选厂区新建一座危废库，占地面积约 108m</w:t>
      </w:r>
      <w:r>
        <w:rPr>
          <w:rFonts w:cs="Times New Roman"/>
          <w:spacing w:val="10"/>
          <w:szCs w:val="24"/>
          <w:vertAlign w:val="superscript"/>
        </w:rPr>
        <w:t>2</w:t>
      </w:r>
      <w:r>
        <w:rPr>
          <w:rFonts w:cs="Times New Roman"/>
          <w:spacing w:val="10"/>
          <w:szCs w:val="24"/>
        </w:rPr>
        <w:t xml:space="preserve"> ，长约13.5m，宽约8m，高约4m，用于暂存企业产生的危险废物。</w:t>
      </w:r>
    </w:p>
    <w:p w14:paraId="2F77D869">
      <w:pPr>
        <w:ind w:firstLine="480"/>
      </w:pPr>
      <w:r>
        <w:drawing>
          <wp:inline distT="0" distB="0" distL="0" distR="0">
            <wp:extent cx="4724400" cy="3381375"/>
            <wp:effectExtent l="0" t="0" r="0" b="9525"/>
            <wp:docPr id="2012987321" name="IM 4"/>
            <wp:cNvGraphicFramePr/>
            <a:graphic xmlns:a="http://schemas.openxmlformats.org/drawingml/2006/main">
              <a:graphicData uri="http://schemas.openxmlformats.org/drawingml/2006/picture">
                <pic:pic xmlns:pic="http://schemas.openxmlformats.org/drawingml/2006/picture">
                  <pic:nvPicPr>
                    <pic:cNvPr id="2012987321" name="IM 4"/>
                    <pic:cNvPicPr/>
                  </pic:nvPicPr>
                  <pic:blipFill>
                    <a:blip r:embed="rId21"/>
                    <a:stretch>
                      <a:fillRect/>
                    </a:stretch>
                  </pic:blipFill>
                  <pic:spPr>
                    <a:xfrm>
                      <a:off x="0" y="0"/>
                      <a:ext cx="4724962" cy="3381777"/>
                    </a:xfrm>
                    <a:prstGeom prst="rect">
                      <a:avLst/>
                    </a:prstGeom>
                  </pic:spPr>
                </pic:pic>
              </a:graphicData>
            </a:graphic>
          </wp:inline>
        </w:drawing>
      </w:r>
    </w:p>
    <w:p w14:paraId="19E1929E">
      <w:pPr>
        <w:pStyle w:val="18"/>
        <w:ind w:firstLine="482"/>
        <w:jc w:val="center"/>
        <w:rPr>
          <w:b/>
          <w:bCs/>
          <w:sz w:val="24"/>
          <w:szCs w:val="24"/>
        </w:rPr>
      </w:pPr>
      <w:r>
        <w:rPr>
          <w:b/>
          <w:bCs/>
          <w:sz w:val="24"/>
          <w:szCs w:val="24"/>
        </w:rPr>
        <w:t>图 3.1-2  危废库</w:t>
      </w:r>
    </w:p>
    <w:p w14:paraId="210150A1">
      <w:pPr>
        <w:widowControl/>
        <w:ind w:firstLine="520"/>
        <w:jc w:val="left"/>
        <w:rPr>
          <w:rFonts w:cs="Times New Roman"/>
          <w:spacing w:val="10"/>
          <w:szCs w:val="24"/>
        </w:rPr>
      </w:pPr>
      <w:r>
        <w:rPr>
          <w:rFonts w:cs="Times New Roman"/>
          <w:spacing w:val="10"/>
          <w:szCs w:val="24"/>
        </w:rPr>
        <w:t>（3）除尘设施改造</w:t>
      </w:r>
    </w:p>
    <w:p w14:paraId="4A7F0681">
      <w:pPr>
        <w:widowControl/>
        <w:ind w:firstLine="520"/>
        <w:jc w:val="left"/>
        <w:rPr>
          <w:rFonts w:cs="Times New Roman"/>
          <w:spacing w:val="10"/>
          <w:szCs w:val="24"/>
        </w:rPr>
      </w:pPr>
      <w:r>
        <w:rPr>
          <w:rFonts w:cs="Times New Roman"/>
          <w:spacing w:val="10"/>
          <w:szCs w:val="24"/>
        </w:rPr>
        <w:t>对选厂除尘设施进行改造，使得除尘效率至上达到 99.5%以上，以满足颗粒物排放浓度低于 10mg/m</w:t>
      </w:r>
      <w:r>
        <w:rPr>
          <w:rFonts w:cs="Times New Roman"/>
          <w:spacing w:val="10"/>
          <w:szCs w:val="24"/>
          <w:vertAlign w:val="superscript"/>
        </w:rPr>
        <w:t>3</w:t>
      </w:r>
      <w:r>
        <w:rPr>
          <w:rFonts w:cs="Times New Roman"/>
          <w:spacing w:val="10"/>
          <w:szCs w:val="24"/>
        </w:rPr>
        <w:t xml:space="preserve"> 的特别排放限值要求。原有选厂除尘设施均不再使用。</w:t>
      </w:r>
    </w:p>
    <w:p w14:paraId="062970C9">
      <w:pPr>
        <w:widowControl/>
        <w:ind w:firstLine="520"/>
        <w:jc w:val="left"/>
        <w:rPr>
          <w:rFonts w:cs="Times New Roman"/>
          <w:spacing w:val="10"/>
          <w:szCs w:val="24"/>
        </w:rPr>
      </w:pPr>
      <w:r>
        <w:rPr>
          <w:rFonts w:ascii="Cambria Math" w:hAnsi="Cambria Math" w:cs="Cambria Math"/>
          <w:spacing w:val="10"/>
          <w:szCs w:val="24"/>
        </w:rPr>
        <w:t>①</w:t>
      </w:r>
      <w:r>
        <w:rPr>
          <w:rFonts w:cs="Times New Roman"/>
          <w:spacing w:val="10"/>
          <w:szCs w:val="24"/>
        </w:rPr>
        <w:t>中细碎车间：原采用1台水雾振弦洗涤除尘器WSCⅡ3.0，一台水雾振弦洗涤除尘器 WSCⅡ4.0；现采用一套低压脉冲长袋除尘系统，风量：98000m</w:t>
      </w:r>
      <w:r>
        <w:rPr>
          <w:rFonts w:cs="Times New Roman"/>
          <w:spacing w:val="10"/>
          <w:szCs w:val="24"/>
          <w:vertAlign w:val="superscript"/>
        </w:rPr>
        <w:t>3</w:t>
      </w:r>
      <w:r>
        <w:rPr>
          <w:rFonts w:cs="Times New Roman"/>
          <w:spacing w:val="10"/>
          <w:szCs w:val="24"/>
        </w:rPr>
        <w:t>/h，面积 2000m</w:t>
      </w:r>
      <w:r>
        <w:rPr>
          <w:rFonts w:cs="Times New Roman"/>
          <w:spacing w:val="10"/>
          <w:szCs w:val="24"/>
          <w:vertAlign w:val="superscript"/>
        </w:rPr>
        <w:t>2</w:t>
      </w:r>
      <w:r>
        <w:rPr>
          <w:rFonts w:cs="Times New Roman"/>
          <w:spacing w:val="10"/>
          <w:szCs w:val="24"/>
        </w:rPr>
        <w:t>， 过滤风速：0.78m/s。废气经除尘系统处理后通过一根 15m 高排气筒排放，排放筒编 号为 DA001。</w:t>
      </w:r>
    </w:p>
    <w:p w14:paraId="7ED89466">
      <w:pPr>
        <w:widowControl/>
        <w:ind w:firstLine="520"/>
        <w:jc w:val="left"/>
        <w:rPr>
          <w:rFonts w:cs="Times New Roman"/>
          <w:spacing w:val="10"/>
          <w:szCs w:val="24"/>
        </w:rPr>
      </w:pPr>
      <w:r>
        <w:rPr>
          <w:rFonts w:ascii="Cambria Math" w:hAnsi="Cambria Math" w:cs="Cambria Math"/>
          <w:spacing w:val="10"/>
          <w:szCs w:val="24"/>
        </w:rPr>
        <w:t>②</w:t>
      </w:r>
      <w:r>
        <w:rPr>
          <w:rFonts w:cs="Times New Roman"/>
          <w:spacing w:val="10"/>
          <w:szCs w:val="24"/>
        </w:rPr>
        <w:t>筛分车间：原采用 2 台荷电水雾振弦洗涤除尘器WSCⅡ5.0；现采用一套低压 脉冲长袋除尘系统，风量：150000m</w:t>
      </w:r>
      <w:r>
        <w:rPr>
          <w:rFonts w:cs="Times New Roman"/>
          <w:spacing w:val="10"/>
          <w:szCs w:val="24"/>
          <w:vertAlign w:val="superscript"/>
        </w:rPr>
        <w:t>3</w:t>
      </w:r>
      <w:r>
        <w:rPr>
          <w:rFonts w:cs="Times New Roman"/>
          <w:spacing w:val="10"/>
          <w:szCs w:val="24"/>
        </w:rPr>
        <w:t>/h，面积3600m</w:t>
      </w:r>
      <w:r>
        <w:rPr>
          <w:rFonts w:cs="Times New Roman"/>
          <w:spacing w:val="10"/>
          <w:szCs w:val="24"/>
          <w:vertAlign w:val="superscript"/>
        </w:rPr>
        <w:t>2</w:t>
      </w:r>
      <w:r>
        <w:rPr>
          <w:rFonts w:cs="Times New Roman"/>
          <w:spacing w:val="10"/>
          <w:szCs w:val="24"/>
        </w:rPr>
        <w:t xml:space="preserve"> ，过滤风速：0.78m/s。废气经除尘系统处理后通过一根 15m 高排气筒排放，排放筒编号为 DA002。</w:t>
      </w:r>
    </w:p>
    <w:p w14:paraId="55C214E6">
      <w:pPr>
        <w:widowControl/>
        <w:ind w:firstLine="520"/>
        <w:jc w:val="left"/>
        <w:rPr>
          <w:rFonts w:cs="Times New Roman"/>
          <w:spacing w:val="10"/>
          <w:szCs w:val="24"/>
        </w:rPr>
      </w:pPr>
      <w:r>
        <w:rPr>
          <w:rFonts w:ascii="Cambria Math" w:hAnsi="Cambria Math" w:cs="Cambria Math"/>
          <w:spacing w:val="10"/>
          <w:szCs w:val="24"/>
        </w:rPr>
        <w:t>③</w:t>
      </w:r>
      <w:r>
        <w:rPr>
          <w:rFonts w:cs="Times New Roman"/>
          <w:spacing w:val="10"/>
          <w:szCs w:val="24"/>
        </w:rPr>
        <w:t>干抛车间：原采用 1 台新型微孔膜过滤式除尘器 ZD1.0，除尘效率95%；现与 废石仓共用一套低压脉冲长袋除尘系统，风量：10000m</w:t>
      </w:r>
      <w:r>
        <w:rPr>
          <w:rFonts w:cs="Times New Roman"/>
          <w:spacing w:val="10"/>
          <w:szCs w:val="24"/>
          <w:vertAlign w:val="superscript"/>
        </w:rPr>
        <w:t>3</w:t>
      </w:r>
      <w:r>
        <w:rPr>
          <w:rFonts w:cs="Times New Roman"/>
          <w:spacing w:val="10"/>
          <w:szCs w:val="24"/>
        </w:rPr>
        <w:t>/h，面积150m</w:t>
      </w:r>
      <w:r>
        <w:rPr>
          <w:rFonts w:cs="Times New Roman"/>
          <w:spacing w:val="10"/>
          <w:szCs w:val="24"/>
          <w:vertAlign w:val="superscript"/>
        </w:rPr>
        <w:t>2</w:t>
      </w:r>
      <w:r>
        <w:rPr>
          <w:rFonts w:cs="Times New Roman"/>
          <w:spacing w:val="10"/>
          <w:szCs w:val="24"/>
        </w:rPr>
        <w:t xml:space="preserve"> ，过滤风速：1.1m/s。废气经除尘系统处理后，并入筛分车间除尘系统的排气筒 DA002 排放。</w:t>
      </w:r>
    </w:p>
    <w:p w14:paraId="119B94E8">
      <w:pPr>
        <w:widowControl/>
        <w:ind w:firstLine="520"/>
        <w:jc w:val="left"/>
        <w:rPr>
          <w:rFonts w:cs="Times New Roman"/>
          <w:spacing w:val="10"/>
          <w:szCs w:val="24"/>
        </w:rPr>
      </w:pPr>
      <w:r>
        <w:rPr>
          <w:rFonts w:ascii="Cambria Math" w:hAnsi="Cambria Math" w:cs="Cambria Math"/>
          <w:spacing w:val="10"/>
          <w:szCs w:val="24"/>
        </w:rPr>
        <w:t>④</w:t>
      </w:r>
      <w:r>
        <w:rPr>
          <w:rFonts w:cs="Times New Roman"/>
          <w:spacing w:val="10"/>
          <w:szCs w:val="24"/>
        </w:rPr>
        <w:t>1#皮带：新增一台低压脉冲布袋除尘器，风量17000m</w:t>
      </w:r>
      <w:r>
        <w:rPr>
          <w:rFonts w:cs="Times New Roman"/>
          <w:spacing w:val="10"/>
          <w:szCs w:val="24"/>
          <w:vertAlign w:val="superscript"/>
        </w:rPr>
        <w:t>3</w:t>
      </w:r>
      <w:r>
        <w:rPr>
          <w:rFonts w:cs="Times New Roman"/>
          <w:spacing w:val="10"/>
          <w:szCs w:val="24"/>
        </w:rPr>
        <w:t>/h，面积150m2 ，过滤风速1.1m/s，废气经处理后经排气筒排放，排气筒编号为DA003。</w:t>
      </w:r>
    </w:p>
    <w:p w14:paraId="18AC43A1">
      <w:pPr>
        <w:widowControl/>
        <w:ind w:firstLine="520"/>
        <w:jc w:val="left"/>
        <w:rPr>
          <w:rFonts w:cs="Times New Roman"/>
          <w:spacing w:val="10"/>
          <w:szCs w:val="24"/>
        </w:rPr>
      </w:pPr>
      <w:r>
        <w:rPr>
          <w:rFonts w:ascii="Cambria Math" w:hAnsi="Cambria Math" w:cs="Cambria Math"/>
          <w:spacing w:val="10"/>
          <w:szCs w:val="24"/>
        </w:rPr>
        <w:t>④</w:t>
      </w:r>
      <w:r>
        <w:rPr>
          <w:rFonts w:cs="Times New Roman"/>
          <w:spacing w:val="10"/>
          <w:szCs w:val="24"/>
        </w:rPr>
        <w:t>8#、9#皮带：各新增一台单机低压脉冲布袋除尘器，风量8000m</w:t>
      </w:r>
      <w:r>
        <w:rPr>
          <w:rFonts w:cs="Times New Roman"/>
          <w:spacing w:val="10"/>
          <w:szCs w:val="24"/>
          <w:vertAlign w:val="superscript"/>
        </w:rPr>
        <w:t>3</w:t>
      </w:r>
      <w:r>
        <w:rPr>
          <w:rFonts w:cs="Times New Roman"/>
          <w:spacing w:val="10"/>
          <w:szCs w:val="24"/>
        </w:rPr>
        <w:t>/h，面积120m</w:t>
      </w:r>
      <w:r>
        <w:rPr>
          <w:rFonts w:cs="Times New Roman"/>
          <w:spacing w:val="10"/>
          <w:szCs w:val="24"/>
          <w:vertAlign w:val="superscript"/>
        </w:rPr>
        <w:t>2</w:t>
      </w:r>
      <w:r>
        <w:rPr>
          <w:rFonts w:cs="Times New Roman"/>
          <w:spacing w:val="10"/>
          <w:szCs w:val="24"/>
        </w:rPr>
        <w:t>， 过滤风速1.1m/s。</w:t>
      </w:r>
    </w:p>
    <w:p w14:paraId="23AB2592">
      <w:pPr>
        <w:widowControl/>
        <w:ind w:firstLine="520"/>
        <w:jc w:val="left"/>
        <w:rPr>
          <w:rFonts w:cs="Times New Roman"/>
          <w:spacing w:val="10"/>
          <w:szCs w:val="24"/>
        </w:rPr>
      </w:pPr>
      <w:r>
        <w:rPr>
          <w:rFonts w:ascii="Cambria Math" w:hAnsi="Cambria Math" w:cs="Cambria Math"/>
          <w:spacing w:val="10"/>
          <w:szCs w:val="24"/>
        </w:rPr>
        <w:t>⑤</w:t>
      </w:r>
      <w:r>
        <w:rPr>
          <w:rFonts w:cs="Times New Roman"/>
          <w:spacing w:val="10"/>
          <w:szCs w:val="24"/>
        </w:rPr>
        <w:t>9#皮带移动小车除尘系统： 新增一台单机低压脉冲布袋除尘器 ，风量 20000m</w:t>
      </w:r>
      <w:r>
        <w:rPr>
          <w:rFonts w:cs="Times New Roman"/>
          <w:spacing w:val="10"/>
          <w:szCs w:val="24"/>
          <w:vertAlign w:val="superscript"/>
        </w:rPr>
        <w:t>3</w:t>
      </w:r>
      <w:r>
        <w:rPr>
          <w:rFonts w:cs="Times New Roman"/>
          <w:spacing w:val="10"/>
          <w:szCs w:val="24"/>
        </w:rPr>
        <w:t>/h，面积 300m</w:t>
      </w:r>
      <w:r>
        <w:rPr>
          <w:rFonts w:cs="Times New Roman"/>
          <w:spacing w:val="10"/>
          <w:szCs w:val="24"/>
          <w:vertAlign w:val="superscript"/>
        </w:rPr>
        <w:t>2</w:t>
      </w:r>
      <w:r>
        <w:rPr>
          <w:rFonts w:cs="Times New Roman"/>
          <w:spacing w:val="10"/>
          <w:szCs w:val="24"/>
        </w:rPr>
        <w:t xml:space="preserve"> ，过滤风速 1.1m/s。</w:t>
      </w:r>
    </w:p>
    <w:p w14:paraId="77CD20B6">
      <w:pPr>
        <w:widowControl/>
        <w:ind w:firstLine="520"/>
        <w:jc w:val="left"/>
        <w:rPr>
          <w:rFonts w:cs="Times New Roman"/>
          <w:spacing w:val="10"/>
          <w:szCs w:val="24"/>
        </w:rPr>
      </w:pPr>
      <w:r>
        <w:rPr>
          <w:rFonts w:ascii="Cambria Math" w:hAnsi="Cambria Math" w:cs="Cambria Math"/>
          <w:spacing w:val="10"/>
          <w:szCs w:val="24"/>
        </w:rPr>
        <w:t>⑥</w:t>
      </w:r>
      <w:r>
        <w:rPr>
          <w:rFonts w:cs="Times New Roman"/>
          <w:spacing w:val="10"/>
          <w:szCs w:val="24"/>
        </w:rPr>
        <w:t>9#皮带机头环境除尘系统：新增一台单机低压脉冲布袋除尘器，风量8000m</w:t>
      </w:r>
      <w:r>
        <w:rPr>
          <w:rFonts w:cs="Times New Roman"/>
          <w:spacing w:val="10"/>
          <w:szCs w:val="24"/>
          <w:vertAlign w:val="superscript"/>
        </w:rPr>
        <w:t>3</w:t>
      </w:r>
      <w:r>
        <w:rPr>
          <w:rFonts w:cs="Times New Roman"/>
          <w:spacing w:val="10"/>
          <w:szCs w:val="24"/>
        </w:rPr>
        <w:t>/h， 面积 120m</w:t>
      </w:r>
      <w:r>
        <w:rPr>
          <w:rFonts w:cs="Times New Roman"/>
          <w:spacing w:val="10"/>
          <w:szCs w:val="24"/>
          <w:vertAlign w:val="superscript"/>
        </w:rPr>
        <w:t>2</w:t>
      </w:r>
      <w:r>
        <w:rPr>
          <w:rFonts w:cs="Times New Roman"/>
          <w:spacing w:val="10"/>
          <w:szCs w:val="24"/>
        </w:rPr>
        <w:t xml:space="preserve"> ，过滤风速 1.1m/s</w:t>
      </w:r>
    </w:p>
    <w:p w14:paraId="136CDBAF">
      <w:pPr>
        <w:widowControl/>
        <w:ind w:firstLine="520"/>
        <w:jc w:val="left"/>
        <w:rPr>
          <w:rFonts w:cs="Times New Roman"/>
          <w:spacing w:val="10"/>
          <w:szCs w:val="24"/>
        </w:rPr>
      </w:pPr>
      <w:r>
        <w:rPr>
          <w:rFonts w:ascii="Cambria Math" w:hAnsi="Cambria Math" w:cs="Cambria Math"/>
          <w:spacing w:val="10"/>
          <w:szCs w:val="24"/>
        </w:rPr>
        <w:t>⑦</w:t>
      </w:r>
      <w:r>
        <w:rPr>
          <w:rFonts w:cs="Times New Roman"/>
          <w:spacing w:val="10"/>
          <w:szCs w:val="24"/>
        </w:rPr>
        <w:t>3#皮带给矿小车除尘：新增一台单机低压脉冲布袋除尘器，风量20000m</w:t>
      </w:r>
      <w:r>
        <w:rPr>
          <w:rFonts w:cs="Times New Roman"/>
          <w:spacing w:val="10"/>
          <w:szCs w:val="24"/>
          <w:vertAlign w:val="superscript"/>
        </w:rPr>
        <w:t>3</w:t>
      </w:r>
      <w:r>
        <w:rPr>
          <w:rFonts w:cs="Times New Roman"/>
          <w:spacing w:val="10"/>
          <w:szCs w:val="24"/>
        </w:rPr>
        <w:t>/h， 面积300m</w:t>
      </w:r>
      <w:r>
        <w:rPr>
          <w:rFonts w:cs="Times New Roman"/>
          <w:spacing w:val="10"/>
          <w:szCs w:val="24"/>
          <w:vertAlign w:val="superscript"/>
        </w:rPr>
        <w:t>2</w:t>
      </w:r>
      <w:r>
        <w:rPr>
          <w:rFonts w:cs="Times New Roman"/>
          <w:spacing w:val="10"/>
          <w:szCs w:val="24"/>
        </w:rPr>
        <w:t xml:space="preserve"> ，过滤风速1.1m/s</w:t>
      </w:r>
    </w:p>
    <w:p w14:paraId="52347BE6">
      <w:pPr>
        <w:widowControl/>
        <w:ind w:firstLine="520"/>
        <w:jc w:val="left"/>
        <w:rPr>
          <w:rFonts w:cs="Times New Roman"/>
          <w:spacing w:val="10"/>
          <w:szCs w:val="24"/>
        </w:rPr>
      </w:pPr>
      <w:r>
        <w:rPr>
          <w:rFonts w:ascii="Cambria Math" w:hAnsi="Cambria Math" w:cs="Cambria Math"/>
          <w:spacing w:val="10"/>
          <w:szCs w:val="24"/>
        </w:rPr>
        <w:t>⑧</w:t>
      </w:r>
      <w:r>
        <w:rPr>
          <w:rFonts w:cs="Times New Roman"/>
          <w:spacing w:val="10"/>
          <w:szCs w:val="24"/>
        </w:rPr>
        <w:t>中转皮带尾轮除尘：新增一台单机低压脉冲布袋除尘器，风量 10500m</w:t>
      </w:r>
      <w:r>
        <w:rPr>
          <w:rFonts w:cs="Times New Roman"/>
          <w:spacing w:val="10"/>
          <w:szCs w:val="24"/>
          <w:vertAlign w:val="superscript"/>
        </w:rPr>
        <w:t>3</w:t>
      </w:r>
      <w:r>
        <w:rPr>
          <w:rFonts w:cs="Times New Roman"/>
          <w:spacing w:val="10"/>
          <w:szCs w:val="24"/>
        </w:rPr>
        <w:t>/h，面积 150m</w:t>
      </w:r>
      <w:r>
        <w:rPr>
          <w:rFonts w:cs="Times New Roman"/>
          <w:spacing w:val="10"/>
          <w:szCs w:val="24"/>
          <w:vertAlign w:val="superscript"/>
        </w:rPr>
        <w:t>2</w:t>
      </w:r>
      <w:r>
        <w:rPr>
          <w:rFonts w:cs="Times New Roman"/>
          <w:spacing w:val="10"/>
          <w:szCs w:val="24"/>
        </w:rPr>
        <w:t xml:space="preserve"> ，过滤风速 1.1m/s。</w:t>
      </w:r>
    </w:p>
    <w:p w14:paraId="428210A7">
      <w:pPr>
        <w:widowControl/>
        <w:ind w:firstLine="520"/>
        <w:jc w:val="left"/>
        <w:rPr>
          <w:rFonts w:cs="Times New Roman"/>
          <w:spacing w:val="10"/>
          <w:szCs w:val="24"/>
        </w:rPr>
      </w:pPr>
      <w:r>
        <w:rPr>
          <w:rFonts w:cs="Times New Roman"/>
          <w:spacing w:val="10"/>
          <w:szCs w:val="24"/>
        </w:rPr>
        <w:t>（4）增加湿抛工序</w:t>
      </w:r>
    </w:p>
    <w:p w14:paraId="12C5B84D">
      <w:pPr>
        <w:widowControl/>
        <w:ind w:firstLine="520"/>
        <w:jc w:val="left"/>
        <w:rPr>
          <w:rFonts w:cs="Times New Roman"/>
          <w:spacing w:val="10"/>
          <w:szCs w:val="24"/>
        </w:rPr>
      </w:pPr>
      <w:r>
        <w:rPr>
          <w:rFonts w:cs="Times New Roman"/>
          <w:spacing w:val="10"/>
          <w:szCs w:val="24"/>
        </w:rPr>
        <w:t>企业对选矿工艺进行优化，在磨矿工序前增加湿抛工序，同时增加磁选机、直线筛等设备，湿抛工序位于磨选车间内。</w:t>
      </w:r>
    </w:p>
    <w:p w14:paraId="1015D33B">
      <w:pPr>
        <w:widowControl/>
        <w:ind w:firstLine="520"/>
        <w:jc w:val="left"/>
        <w:rPr>
          <w:rFonts w:cs="Times New Roman"/>
          <w:spacing w:val="10"/>
          <w:szCs w:val="24"/>
        </w:rPr>
      </w:pPr>
      <w:r>
        <w:rPr>
          <w:rFonts w:cs="Times New Roman"/>
          <w:spacing w:val="10"/>
          <w:szCs w:val="24"/>
        </w:rPr>
        <w:t>（</w:t>
      </w:r>
      <w:r>
        <w:rPr>
          <w:rFonts w:hint="eastAsia" w:cs="Times New Roman"/>
          <w:spacing w:val="10"/>
          <w:szCs w:val="24"/>
        </w:rPr>
        <w:t>5</w:t>
      </w:r>
      <w:r>
        <w:rPr>
          <w:rFonts w:cs="Times New Roman"/>
          <w:spacing w:val="10"/>
          <w:szCs w:val="24"/>
        </w:rPr>
        <w:t>）尾矿压滤停止使用</w:t>
      </w:r>
    </w:p>
    <w:p w14:paraId="7EE4D438">
      <w:pPr>
        <w:widowControl/>
        <w:ind w:firstLine="520"/>
        <w:jc w:val="left"/>
        <w:rPr>
          <w:rFonts w:cs="Times New Roman"/>
          <w:spacing w:val="10"/>
          <w:szCs w:val="24"/>
        </w:rPr>
      </w:pPr>
      <w:r>
        <w:rPr>
          <w:rFonts w:cs="Times New Roman"/>
          <w:spacing w:val="10"/>
          <w:szCs w:val="24"/>
        </w:rPr>
        <w:t>从 2015 年起，原尾矿压滤车间停用，尾矿经浓密机浓缩后直接通过管道输送至 充填站，入井下填充，剩余少量尾砂入尾矿库。</w:t>
      </w:r>
    </w:p>
    <w:p w14:paraId="44ED8C0D">
      <w:pPr>
        <w:widowControl/>
        <w:ind w:firstLine="520"/>
        <w:jc w:val="left"/>
        <w:rPr>
          <w:rFonts w:cs="Times New Roman"/>
          <w:spacing w:val="10"/>
          <w:szCs w:val="24"/>
        </w:rPr>
      </w:pPr>
      <w:r>
        <w:rPr>
          <w:rFonts w:cs="Times New Roman"/>
          <w:spacing w:val="10"/>
          <w:szCs w:val="24"/>
        </w:rPr>
        <w:t>（</w:t>
      </w:r>
      <w:r>
        <w:rPr>
          <w:rFonts w:hint="eastAsia" w:cs="Times New Roman"/>
          <w:spacing w:val="10"/>
          <w:szCs w:val="24"/>
        </w:rPr>
        <w:t>6</w:t>
      </w:r>
      <w:r>
        <w:rPr>
          <w:rFonts w:cs="Times New Roman"/>
          <w:spacing w:val="10"/>
          <w:szCs w:val="24"/>
        </w:rPr>
        <w:t>）新增尾矿库干滩喷淋系统</w:t>
      </w:r>
    </w:p>
    <w:p w14:paraId="5EB3C02C">
      <w:pPr>
        <w:widowControl/>
        <w:ind w:firstLine="520"/>
        <w:jc w:val="left"/>
      </w:pPr>
      <w:r>
        <w:rPr>
          <w:rFonts w:cs="Times New Roman"/>
          <w:spacing w:val="10"/>
          <w:szCs w:val="24"/>
        </w:rPr>
        <w:t>尾矿库三面放旷，在三面均布设干滩喷淋管道，喷淋水从尾矿库中取水。喷淋 防尘系统由防尘喷枪、 电磁阀、供水泵、管路、阀门、配电及喷淋自动控制系统组成。为防止冬季喷淋防尘系统无法正常作业，在每个喷淋喷枪控制电磁阀后面安装自动泄水阀，将洒水喷枪内的存水放净。</w:t>
      </w:r>
    </w:p>
    <w:p w14:paraId="5815D42C">
      <w:pPr>
        <w:ind w:firstLine="480"/>
      </w:pPr>
      <w:r>
        <w:drawing>
          <wp:inline distT="0" distB="0" distL="0" distR="0">
            <wp:extent cx="4429125" cy="3143250"/>
            <wp:effectExtent l="0" t="0" r="9525"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2"/>
                    <a:stretch>
                      <a:fillRect/>
                    </a:stretch>
                  </pic:blipFill>
                  <pic:spPr>
                    <a:xfrm>
                      <a:off x="0" y="0"/>
                      <a:ext cx="4429738" cy="3143685"/>
                    </a:xfrm>
                    <a:prstGeom prst="rect">
                      <a:avLst/>
                    </a:prstGeom>
                  </pic:spPr>
                </pic:pic>
              </a:graphicData>
            </a:graphic>
          </wp:inline>
        </w:drawing>
      </w:r>
    </w:p>
    <w:p w14:paraId="23BA0BD4">
      <w:pPr>
        <w:pStyle w:val="18"/>
        <w:ind w:firstLine="482"/>
        <w:jc w:val="center"/>
        <w:rPr>
          <w:b/>
          <w:bCs/>
          <w:sz w:val="24"/>
          <w:szCs w:val="24"/>
        </w:rPr>
      </w:pPr>
      <w:r>
        <w:rPr>
          <w:b/>
          <w:bCs/>
          <w:sz w:val="24"/>
          <w:szCs w:val="24"/>
        </w:rPr>
        <w:t>图3.1-4  尾矿库干滩喷淋</w:t>
      </w:r>
    </w:p>
    <w:p w14:paraId="50461460">
      <w:pPr>
        <w:widowControl/>
        <w:ind w:firstLine="520"/>
        <w:jc w:val="left"/>
        <w:rPr>
          <w:rFonts w:cs="Times New Roman"/>
          <w:spacing w:val="10"/>
          <w:szCs w:val="24"/>
        </w:rPr>
      </w:pPr>
      <w:r>
        <w:rPr>
          <w:rFonts w:cs="Times New Roman"/>
          <w:spacing w:val="10"/>
          <w:szCs w:val="24"/>
        </w:rPr>
        <w:t>（8）新增尾矿库尾砂转运系统</w:t>
      </w:r>
    </w:p>
    <w:p w14:paraId="32D57117">
      <w:pPr>
        <w:widowControl/>
        <w:ind w:firstLine="520"/>
        <w:jc w:val="left"/>
        <w:rPr>
          <w:rFonts w:cs="Times New Roman"/>
          <w:spacing w:val="10"/>
          <w:szCs w:val="24"/>
        </w:rPr>
      </w:pPr>
      <w:r>
        <w:rPr>
          <w:rFonts w:cs="Times New Roman"/>
          <w:spacing w:val="10"/>
          <w:szCs w:val="24"/>
        </w:rPr>
        <w:t>将尾矿库部分尾砂转移运输至浓密机浓缩后入井下充填。</w:t>
      </w:r>
    </w:p>
    <w:p w14:paraId="26031F17">
      <w:pPr>
        <w:ind w:firstLine="480"/>
      </w:pPr>
      <w:r>
        <w:drawing>
          <wp:inline distT="0" distB="0" distL="0" distR="0">
            <wp:extent cx="4300220" cy="3294380"/>
            <wp:effectExtent l="0" t="0" r="0" b="0"/>
            <wp:docPr id="67382496" name="IM 7"/>
            <wp:cNvGraphicFramePr/>
            <a:graphic xmlns:a="http://schemas.openxmlformats.org/drawingml/2006/main">
              <a:graphicData uri="http://schemas.openxmlformats.org/drawingml/2006/picture">
                <pic:pic xmlns:pic="http://schemas.openxmlformats.org/drawingml/2006/picture">
                  <pic:nvPicPr>
                    <pic:cNvPr id="67382496" name="IM 7"/>
                    <pic:cNvPicPr/>
                  </pic:nvPicPr>
                  <pic:blipFill>
                    <a:blip r:embed="rId23"/>
                    <a:stretch>
                      <a:fillRect/>
                    </a:stretch>
                  </pic:blipFill>
                  <pic:spPr>
                    <a:xfrm>
                      <a:off x="0" y="0"/>
                      <a:ext cx="4300728" cy="3294888"/>
                    </a:xfrm>
                    <a:prstGeom prst="rect">
                      <a:avLst/>
                    </a:prstGeom>
                  </pic:spPr>
                </pic:pic>
              </a:graphicData>
            </a:graphic>
          </wp:inline>
        </w:drawing>
      </w:r>
    </w:p>
    <w:p w14:paraId="4C8C8F7F">
      <w:pPr>
        <w:pStyle w:val="18"/>
        <w:ind w:firstLine="482"/>
        <w:jc w:val="center"/>
        <w:rPr>
          <w:b/>
          <w:bCs/>
          <w:sz w:val="24"/>
          <w:szCs w:val="24"/>
        </w:rPr>
      </w:pPr>
      <w:r>
        <w:rPr>
          <w:b/>
          <w:bCs/>
          <w:sz w:val="24"/>
          <w:szCs w:val="24"/>
        </w:rPr>
        <w:t>图 3.1-5  尾矿库尾砂转运</w:t>
      </w:r>
    </w:p>
    <w:p w14:paraId="0E8AC3B7">
      <w:pPr>
        <w:pStyle w:val="4"/>
      </w:pPr>
      <w:r>
        <w:rPr>
          <w:rFonts w:hint="eastAsia"/>
        </w:rPr>
        <w:t>3.1.</w:t>
      </w:r>
      <w:r>
        <w:t xml:space="preserve">3 </w:t>
      </w:r>
      <w:r>
        <w:rPr>
          <w:rFonts w:hint="eastAsia"/>
        </w:rPr>
        <w:t>变动情况判定</w:t>
      </w:r>
    </w:p>
    <w:p w14:paraId="46FB4A2B">
      <w:pPr>
        <w:ind w:firstLine="480"/>
      </w:pPr>
      <w:r>
        <w:rPr>
          <w:rFonts w:hint="eastAsia"/>
        </w:rPr>
        <w:t>《中华人民共和国环境影响评价法》中重大变动是指建设项目的性质、规模、地点、采用的生产工艺或者防治污染、防止生态破坏的措施等方面的重大变动。</w:t>
      </w:r>
    </w:p>
    <w:p w14:paraId="769D24A8">
      <w:pPr>
        <w:ind w:firstLine="480"/>
      </w:pPr>
      <w:r>
        <w:rPr>
          <w:rFonts w:hint="eastAsia"/>
        </w:rPr>
        <w:t>目前环境保护管理部门未发布铁矿采选行业建设项目重大变动清单，根据生态环境部已印发的各行业建设项目重大变动清单，项目的重大变动主要体现为一是建设项目原辅料种类、产品方案、生产工艺等发生变动，导致新增污染项目、污染物排放量增加属于重大变动。二是建设项目规模增大导致污染物排放量增加、不利环境影响加重。三是建设地点发生变化引起的环境敏感目标、评价范围、防护距离范围等发生变化导致不利环境影响加重的界定为重大变动。四是排放方式及排放去向变动、间接排放调整为直接排放、环保措施发生重大变化（特别是弱化）界定为重大变动。</w:t>
      </w:r>
    </w:p>
    <w:p w14:paraId="2E4CE697">
      <w:pPr>
        <w:ind w:firstLine="480"/>
      </w:pPr>
      <w:r>
        <w:rPr>
          <w:rFonts w:hint="eastAsia"/>
        </w:rPr>
        <w:t>《煤炭建设项目重大变动清单（试行）》中重大变动是指建设项目的规模、地点、生产工艺、环境保护措施等方面的重大变动。</w:t>
      </w:r>
    </w:p>
    <w:p w14:paraId="37303823">
      <w:pPr>
        <w:ind w:firstLine="480"/>
      </w:pPr>
      <w:r>
        <w:rPr>
          <w:rFonts w:hint="eastAsia"/>
        </w:rPr>
        <w:t>生态环境部《污染影响类建设项目重大变动清单（试行）》中规定项目性质、规模、地点、生产工艺及环保措施发生变动，且导致不利环境影响加重的，界定为项目发生重大变动</w:t>
      </w:r>
    </w:p>
    <w:p w14:paraId="2310528D">
      <w:pPr>
        <w:ind w:firstLine="480"/>
      </w:pPr>
      <w:r>
        <w:rPr>
          <w:rFonts w:hint="eastAsia"/>
        </w:rPr>
        <w:t>根据以上对重大变动的界定，后评价阶段项目的性质、规模、地点、生产工艺与环评及验收阶段未发生变化；其中有变动的地方为燃煤锅炉改为燃气锅炉、污染物的排放方式和去向未发生变动。因此，</w:t>
      </w:r>
      <w:r>
        <w:rPr>
          <w:rFonts w:hint="eastAsia"/>
          <w:b/>
          <w:bCs/>
        </w:rPr>
        <w:t>项目发生的变动不属于重大变动。</w:t>
      </w:r>
    </w:p>
    <w:p w14:paraId="3229B402">
      <w:pPr>
        <w:ind w:firstLine="480"/>
        <w:sectPr>
          <w:pgSz w:w="11906" w:h="16838"/>
          <w:pgMar w:top="1440" w:right="1797" w:bottom="1440" w:left="1797" w:header="851" w:footer="992" w:gutter="0"/>
          <w:cols w:space="425" w:num="1"/>
          <w:docGrid w:type="lines" w:linePitch="312" w:charSpace="0"/>
        </w:sectPr>
      </w:pPr>
    </w:p>
    <w:p w14:paraId="2F8620F3">
      <w:pPr>
        <w:pStyle w:val="3"/>
      </w:pPr>
      <w:bookmarkStart w:id="31" w:name="_Toc85213496"/>
      <w:r>
        <w:rPr>
          <w:rFonts w:hint="eastAsia"/>
        </w:rPr>
        <w:t>3.2</w:t>
      </w:r>
      <w:r>
        <w:t xml:space="preserve"> </w:t>
      </w:r>
      <w:r>
        <w:rPr>
          <w:rFonts w:hint="eastAsia"/>
        </w:rPr>
        <w:t>建设项目基本情况</w:t>
      </w:r>
      <w:bookmarkEnd w:id="31"/>
    </w:p>
    <w:p w14:paraId="015A62F3">
      <w:pPr>
        <w:pStyle w:val="4"/>
      </w:pPr>
      <w:r>
        <w:rPr>
          <w:rFonts w:hint="eastAsia"/>
        </w:rPr>
        <w:t>3.2.1</w:t>
      </w:r>
      <w:r>
        <w:t xml:space="preserve"> </w:t>
      </w:r>
      <w:r>
        <w:rPr>
          <w:rFonts w:hint="eastAsia"/>
        </w:rPr>
        <w:t>地理位置及交通</w:t>
      </w:r>
    </w:p>
    <w:p w14:paraId="358E021E">
      <w:pPr>
        <w:ind w:firstLine="480"/>
      </w:pPr>
      <w:r>
        <w:t>与环评及验收阶段相比，项目的地理位置未发生变化。安徽金安矿业有限公司 草 楼 铁 矿 位 于 安 徽 省 霍邱 县 的 范 桥 乡境 内 ，  矿 床 中 心 地 理 坐 标 为 东经 115°58′45″ ，北纬 32°25′19″ 。105 国道和正在建设中的商景高速公路分别 从矿床西侧约 4.7km 和 3.5km 通过。东南至霍邱县城约 85km，北至淮河 20km、至 阜阳 65km、南至六安约 120km，交通方便。</w:t>
      </w:r>
    </w:p>
    <w:p w14:paraId="5DAAD265">
      <w:pPr>
        <w:ind w:firstLine="480"/>
      </w:pPr>
      <w:r>
        <w:rPr>
          <w:rFonts w:hint="eastAsia"/>
        </w:rPr>
        <w:t>具体地理位置见图3.2-1。</w:t>
      </w:r>
    </w:p>
    <w:p w14:paraId="78C58E03">
      <w:pPr>
        <w:ind w:firstLine="480"/>
      </w:pPr>
    </w:p>
    <w:p w14:paraId="0BDA2130">
      <w:pPr>
        <w:ind w:firstLine="480"/>
      </w:pPr>
    </w:p>
    <w:p w14:paraId="5D9D7746">
      <w:pPr>
        <w:ind w:firstLine="480"/>
      </w:pPr>
    </w:p>
    <w:p w14:paraId="5948D9F3">
      <w:pPr>
        <w:ind w:firstLine="480"/>
      </w:pPr>
      <w:r>
        <w:br w:type="page"/>
      </w:r>
    </w:p>
    <w:p w14:paraId="6E099280">
      <w:pPr>
        <w:pStyle w:val="31"/>
        <w:spacing w:after="0"/>
        <w:ind w:left="0" w:leftChars="0" w:firstLine="0" w:firstLineChars="0"/>
        <w:jc w:val="center"/>
      </w:pPr>
      <w:r>
        <w:drawing>
          <wp:inline distT="0" distB="0" distL="0" distR="0">
            <wp:extent cx="5278120" cy="6459220"/>
            <wp:effectExtent l="0" t="0" r="0" b="0"/>
            <wp:docPr id="459860631" name="IM 8"/>
            <wp:cNvGraphicFramePr/>
            <a:graphic xmlns:a="http://schemas.openxmlformats.org/drawingml/2006/main">
              <a:graphicData uri="http://schemas.openxmlformats.org/drawingml/2006/picture">
                <pic:pic xmlns:pic="http://schemas.openxmlformats.org/drawingml/2006/picture">
                  <pic:nvPicPr>
                    <pic:cNvPr id="459860631" name="IM 8"/>
                    <pic:cNvPicPr/>
                  </pic:nvPicPr>
                  <pic:blipFill>
                    <a:blip r:embed="rId24"/>
                    <a:stretch>
                      <a:fillRect/>
                    </a:stretch>
                  </pic:blipFill>
                  <pic:spPr>
                    <a:xfrm>
                      <a:off x="0" y="0"/>
                      <a:ext cx="5278120" cy="6459294"/>
                    </a:xfrm>
                    <a:prstGeom prst="rect">
                      <a:avLst/>
                    </a:prstGeom>
                  </pic:spPr>
                </pic:pic>
              </a:graphicData>
            </a:graphic>
          </wp:inline>
        </w:drawing>
      </w:r>
    </w:p>
    <w:p w14:paraId="004636C2">
      <w:pPr>
        <w:pStyle w:val="18"/>
        <w:ind w:firstLine="482"/>
        <w:jc w:val="center"/>
        <w:rPr>
          <w:b/>
          <w:bCs/>
          <w:sz w:val="24"/>
          <w:szCs w:val="24"/>
        </w:rPr>
      </w:pPr>
      <w:r>
        <w:rPr>
          <w:rFonts w:hint="eastAsia"/>
          <w:b/>
          <w:bCs/>
          <w:sz w:val="24"/>
          <w:szCs w:val="24"/>
        </w:rPr>
        <w:t>图3.2</w:t>
      </w:r>
      <w:r>
        <w:rPr>
          <w:b/>
          <w:bCs/>
          <w:sz w:val="24"/>
          <w:szCs w:val="24"/>
        </w:rPr>
        <w:t xml:space="preserve">-1  </w:t>
      </w:r>
      <w:r>
        <w:rPr>
          <w:rFonts w:hint="eastAsia"/>
          <w:b/>
          <w:bCs/>
          <w:sz w:val="24"/>
          <w:szCs w:val="24"/>
        </w:rPr>
        <w:t>安徽金安矿业有限公司草楼铁矿地理位置图</w:t>
      </w:r>
    </w:p>
    <w:p w14:paraId="36519B89">
      <w:pPr>
        <w:pStyle w:val="4"/>
      </w:pPr>
      <w:r>
        <w:rPr>
          <w:rFonts w:hint="eastAsia"/>
        </w:rPr>
        <w:t>3.2.2</w:t>
      </w:r>
      <w:r>
        <w:t xml:space="preserve"> </w:t>
      </w:r>
      <w:r>
        <w:rPr>
          <w:rFonts w:hint="eastAsia"/>
        </w:rPr>
        <w:t>矿区范围及资源概况</w:t>
      </w:r>
    </w:p>
    <w:p w14:paraId="751DC2FD">
      <w:pPr>
        <w:spacing w:line="500" w:lineRule="exact"/>
        <w:ind w:firstLine="480"/>
      </w:pPr>
      <w:r>
        <w:t>与环评及验收阶段相比，项目的矿区范围未发生变化，资源储量因开采减少， 其他情况未发生变化。</w:t>
      </w:r>
    </w:p>
    <w:p w14:paraId="39618E58">
      <w:pPr>
        <w:pStyle w:val="5"/>
      </w:pPr>
      <w:r>
        <w:rPr>
          <w:rFonts w:hint="eastAsia"/>
        </w:rPr>
        <w:t>3.2.2.1</w:t>
      </w:r>
      <w:r>
        <w:t xml:space="preserve"> </w:t>
      </w:r>
      <w:r>
        <w:rPr>
          <w:rFonts w:hint="eastAsia"/>
        </w:rPr>
        <w:t>矿区范围</w:t>
      </w:r>
    </w:p>
    <w:p w14:paraId="3C390A34">
      <w:pPr>
        <w:spacing w:line="500" w:lineRule="exact"/>
        <w:ind w:firstLine="480"/>
      </w:pPr>
      <w:r>
        <w:t>草楼铁矿矿区长 2600m，宽 1800m，矿区由 7 个拐点圈定，矿区面积为 4.679km</w:t>
      </w:r>
      <w:r>
        <w:rPr>
          <w:vertAlign w:val="superscript"/>
        </w:rPr>
        <w:t>2</w:t>
      </w:r>
      <w:r>
        <w:t>。 草楼铁矿划分为 Ⅰ 、 Ⅱ 、Ⅲ号三个矿体， Ⅱ号为主矿体。三个矿体总体呈层～似层状整合产出，倾向西，平均倾角 40～52° 。矿区范围拐点坐标见下表。</w:t>
      </w:r>
    </w:p>
    <w:p w14:paraId="73494959">
      <w:pPr>
        <w:pStyle w:val="18"/>
        <w:ind w:firstLine="482"/>
        <w:jc w:val="center"/>
        <w:rPr>
          <w:b/>
          <w:bCs/>
          <w:sz w:val="24"/>
          <w:szCs w:val="24"/>
        </w:rPr>
      </w:pPr>
      <w:r>
        <w:rPr>
          <w:b/>
          <w:bCs/>
          <w:sz w:val="24"/>
          <w:szCs w:val="24"/>
        </w:rPr>
        <w:t>表 3.2-1  矿区范围拐点坐标（1980 西安坐标系）</w:t>
      </w:r>
    </w:p>
    <w:tbl>
      <w:tblPr>
        <w:tblStyle w:val="32"/>
        <w:tblW w:w="8945"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320"/>
        <w:gridCol w:w="3786"/>
        <w:gridCol w:w="3839"/>
      </w:tblGrid>
      <w:tr w14:paraId="4DC026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20" w:hRule="atLeast"/>
        </w:trPr>
        <w:tc>
          <w:tcPr>
            <w:tcW w:w="1320" w:type="dxa"/>
            <w:tcBorders>
              <w:left w:val="single" w:color="000000" w:sz="10" w:space="0"/>
            </w:tcBorders>
          </w:tcPr>
          <w:p w14:paraId="5D8FE114">
            <w:pPr>
              <w:spacing w:line="500" w:lineRule="exact"/>
              <w:ind w:firstLine="0" w:firstLineChars="0"/>
              <w:jc w:val="center"/>
            </w:pPr>
            <w:r>
              <w:t>序号</w:t>
            </w:r>
          </w:p>
        </w:tc>
        <w:tc>
          <w:tcPr>
            <w:tcW w:w="3786" w:type="dxa"/>
          </w:tcPr>
          <w:p w14:paraId="73BA9EF1">
            <w:pPr>
              <w:spacing w:line="500" w:lineRule="exact"/>
              <w:ind w:firstLine="0" w:firstLineChars="0"/>
              <w:jc w:val="center"/>
            </w:pPr>
            <w:r>
              <w:t>X</w:t>
            </w:r>
          </w:p>
        </w:tc>
        <w:tc>
          <w:tcPr>
            <w:tcW w:w="3839" w:type="dxa"/>
            <w:tcBorders>
              <w:right w:val="single" w:color="000000" w:sz="10" w:space="0"/>
            </w:tcBorders>
          </w:tcPr>
          <w:p w14:paraId="59708C38">
            <w:pPr>
              <w:spacing w:line="500" w:lineRule="exact"/>
              <w:ind w:firstLine="0" w:firstLineChars="0"/>
              <w:jc w:val="center"/>
            </w:pPr>
            <w:r>
              <w:t>Y</w:t>
            </w:r>
          </w:p>
        </w:tc>
      </w:tr>
      <w:tr w14:paraId="4E9933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5" w:hRule="atLeast"/>
        </w:trPr>
        <w:tc>
          <w:tcPr>
            <w:tcW w:w="1320" w:type="dxa"/>
            <w:tcBorders>
              <w:left w:val="single" w:color="000000" w:sz="10" w:space="0"/>
            </w:tcBorders>
          </w:tcPr>
          <w:p w14:paraId="5F853A0D">
            <w:pPr>
              <w:spacing w:line="500" w:lineRule="exact"/>
              <w:ind w:firstLine="0" w:firstLineChars="0"/>
              <w:jc w:val="center"/>
            </w:pPr>
            <w:r>
              <w:t>1</w:t>
            </w:r>
          </w:p>
        </w:tc>
        <w:tc>
          <w:tcPr>
            <w:tcW w:w="3786" w:type="dxa"/>
          </w:tcPr>
          <w:p w14:paraId="1510FD49">
            <w:pPr>
              <w:spacing w:line="500" w:lineRule="exact"/>
              <w:ind w:firstLine="0" w:firstLineChars="0"/>
              <w:jc w:val="center"/>
            </w:pPr>
            <w:r>
              <w:t>3591312.50</w:t>
            </w:r>
          </w:p>
        </w:tc>
        <w:tc>
          <w:tcPr>
            <w:tcW w:w="3839" w:type="dxa"/>
            <w:tcBorders>
              <w:right w:val="single" w:color="000000" w:sz="10" w:space="0"/>
            </w:tcBorders>
          </w:tcPr>
          <w:p w14:paraId="47D196F6">
            <w:pPr>
              <w:spacing w:line="500" w:lineRule="exact"/>
              <w:ind w:firstLine="0" w:firstLineChars="0"/>
              <w:jc w:val="center"/>
            </w:pPr>
            <w:r>
              <w:t>39403058.96</w:t>
            </w:r>
          </w:p>
        </w:tc>
      </w:tr>
      <w:tr w14:paraId="6F5983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6" w:hRule="atLeast"/>
        </w:trPr>
        <w:tc>
          <w:tcPr>
            <w:tcW w:w="1320" w:type="dxa"/>
            <w:tcBorders>
              <w:left w:val="single" w:color="000000" w:sz="10" w:space="0"/>
            </w:tcBorders>
          </w:tcPr>
          <w:p w14:paraId="664A878B">
            <w:pPr>
              <w:spacing w:line="500" w:lineRule="exact"/>
              <w:ind w:firstLine="0" w:firstLineChars="0"/>
              <w:jc w:val="center"/>
            </w:pPr>
            <w:r>
              <w:t>2</w:t>
            </w:r>
          </w:p>
        </w:tc>
        <w:tc>
          <w:tcPr>
            <w:tcW w:w="3786" w:type="dxa"/>
          </w:tcPr>
          <w:p w14:paraId="543EDF8C">
            <w:pPr>
              <w:spacing w:line="500" w:lineRule="exact"/>
              <w:ind w:firstLine="0" w:firstLineChars="0"/>
              <w:jc w:val="center"/>
            </w:pPr>
            <w:r>
              <w:t>3591299.00</w:t>
            </w:r>
          </w:p>
        </w:tc>
        <w:tc>
          <w:tcPr>
            <w:tcW w:w="3839" w:type="dxa"/>
            <w:tcBorders>
              <w:right w:val="single" w:color="000000" w:sz="10" w:space="0"/>
            </w:tcBorders>
          </w:tcPr>
          <w:p w14:paraId="0B12E7F6">
            <w:pPr>
              <w:spacing w:line="500" w:lineRule="exact"/>
              <w:ind w:firstLine="0" w:firstLineChars="0"/>
              <w:jc w:val="center"/>
            </w:pPr>
            <w:r>
              <w:t>39404469.65</w:t>
            </w:r>
          </w:p>
        </w:tc>
      </w:tr>
      <w:tr w14:paraId="3E1AA4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5" w:hRule="atLeast"/>
        </w:trPr>
        <w:tc>
          <w:tcPr>
            <w:tcW w:w="1320" w:type="dxa"/>
            <w:tcBorders>
              <w:left w:val="single" w:color="000000" w:sz="10" w:space="0"/>
            </w:tcBorders>
          </w:tcPr>
          <w:p w14:paraId="581BD1B1">
            <w:pPr>
              <w:spacing w:line="500" w:lineRule="exact"/>
              <w:ind w:firstLine="0" w:firstLineChars="0"/>
              <w:jc w:val="center"/>
            </w:pPr>
            <w:r>
              <w:t>3</w:t>
            </w:r>
          </w:p>
        </w:tc>
        <w:tc>
          <w:tcPr>
            <w:tcW w:w="3786" w:type="dxa"/>
          </w:tcPr>
          <w:p w14:paraId="3E48463F">
            <w:pPr>
              <w:spacing w:line="500" w:lineRule="exact"/>
              <w:ind w:firstLine="0" w:firstLineChars="0"/>
              <w:jc w:val="center"/>
            </w:pPr>
            <w:r>
              <w:t>3589111.67</w:t>
            </w:r>
          </w:p>
        </w:tc>
        <w:tc>
          <w:tcPr>
            <w:tcW w:w="3839" w:type="dxa"/>
            <w:tcBorders>
              <w:right w:val="single" w:color="000000" w:sz="10" w:space="0"/>
            </w:tcBorders>
          </w:tcPr>
          <w:p w14:paraId="75BBBBA5">
            <w:pPr>
              <w:spacing w:line="500" w:lineRule="exact"/>
              <w:ind w:firstLine="0" w:firstLineChars="0"/>
              <w:jc w:val="center"/>
            </w:pPr>
            <w:r>
              <w:t>39404448.87</w:t>
            </w:r>
          </w:p>
        </w:tc>
      </w:tr>
      <w:tr w14:paraId="0B1B12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6" w:hRule="atLeast"/>
        </w:trPr>
        <w:tc>
          <w:tcPr>
            <w:tcW w:w="1320" w:type="dxa"/>
            <w:tcBorders>
              <w:left w:val="single" w:color="000000" w:sz="10" w:space="0"/>
            </w:tcBorders>
          </w:tcPr>
          <w:p w14:paraId="1F1A0ABA">
            <w:pPr>
              <w:spacing w:line="500" w:lineRule="exact"/>
              <w:ind w:firstLine="0" w:firstLineChars="0"/>
              <w:jc w:val="center"/>
            </w:pPr>
            <w:r>
              <w:t>4</w:t>
            </w:r>
          </w:p>
        </w:tc>
        <w:tc>
          <w:tcPr>
            <w:tcW w:w="3786" w:type="dxa"/>
          </w:tcPr>
          <w:p w14:paraId="451A3F03">
            <w:pPr>
              <w:spacing w:line="500" w:lineRule="exact"/>
              <w:ind w:firstLine="0" w:firstLineChars="0"/>
              <w:jc w:val="center"/>
            </w:pPr>
            <w:r>
              <w:t>3588651.60</w:t>
            </w:r>
          </w:p>
        </w:tc>
        <w:tc>
          <w:tcPr>
            <w:tcW w:w="3839" w:type="dxa"/>
            <w:tcBorders>
              <w:right w:val="single" w:color="000000" w:sz="10" w:space="0"/>
            </w:tcBorders>
          </w:tcPr>
          <w:p w14:paraId="1AF02DD5">
            <w:pPr>
              <w:spacing w:line="500" w:lineRule="exact"/>
              <w:ind w:firstLine="0" w:firstLineChars="0"/>
              <w:jc w:val="center"/>
            </w:pPr>
            <w:r>
              <w:t>39404235.44</w:t>
            </w:r>
          </w:p>
        </w:tc>
      </w:tr>
      <w:tr w14:paraId="477FCA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6" w:hRule="atLeast"/>
        </w:trPr>
        <w:tc>
          <w:tcPr>
            <w:tcW w:w="1320" w:type="dxa"/>
            <w:tcBorders>
              <w:left w:val="single" w:color="000000" w:sz="10" w:space="0"/>
            </w:tcBorders>
          </w:tcPr>
          <w:p w14:paraId="28AB4FCE">
            <w:pPr>
              <w:spacing w:line="500" w:lineRule="exact"/>
              <w:ind w:firstLine="0" w:firstLineChars="0"/>
              <w:jc w:val="center"/>
            </w:pPr>
            <w:r>
              <w:t>5</w:t>
            </w:r>
          </w:p>
        </w:tc>
        <w:tc>
          <w:tcPr>
            <w:tcW w:w="3786" w:type="dxa"/>
          </w:tcPr>
          <w:p w14:paraId="4F215592">
            <w:pPr>
              <w:spacing w:line="500" w:lineRule="exact"/>
              <w:ind w:firstLine="0" w:firstLineChars="0"/>
              <w:jc w:val="center"/>
            </w:pPr>
            <w:r>
              <w:t>3588438.69</w:t>
            </w:r>
          </w:p>
        </w:tc>
        <w:tc>
          <w:tcPr>
            <w:tcW w:w="3839" w:type="dxa"/>
            <w:tcBorders>
              <w:right w:val="single" w:color="000000" w:sz="10" w:space="0"/>
            </w:tcBorders>
          </w:tcPr>
          <w:p w14:paraId="4CDCA3AC">
            <w:pPr>
              <w:spacing w:line="500" w:lineRule="exact"/>
              <w:ind w:firstLine="0" w:firstLineChars="0"/>
              <w:jc w:val="center"/>
            </w:pPr>
            <w:r>
              <w:t>39403945.94</w:t>
            </w:r>
          </w:p>
        </w:tc>
      </w:tr>
      <w:tr w14:paraId="058AAE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6" w:hRule="atLeast"/>
        </w:trPr>
        <w:tc>
          <w:tcPr>
            <w:tcW w:w="1320" w:type="dxa"/>
            <w:tcBorders>
              <w:left w:val="single" w:color="000000" w:sz="10" w:space="0"/>
            </w:tcBorders>
          </w:tcPr>
          <w:p w14:paraId="0C9A122B">
            <w:pPr>
              <w:spacing w:line="500" w:lineRule="exact"/>
              <w:ind w:firstLine="0" w:firstLineChars="0"/>
              <w:jc w:val="center"/>
            </w:pPr>
            <w:r>
              <w:t>6</w:t>
            </w:r>
          </w:p>
        </w:tc>
        <w:tc>
          <w:tcPr>
            <w:tcW w:w="3786" w:type="dxa"/>
          </w:tcPr>
          <w:p w14:paraId="0DB7A416">
            <w:pPr>
              <w:spacing w:line="500" w:lineRule="exact"/>
              <w:ind w:firstLine="0" w:firstLineChars="0"/>
              <w:jc w:val="center"/>
            </w:pPr>
            <w:r>
              <w:t>3587606.91</w:t>
            </w:r>
          </w:p>
        </w:tc>
        <w:tc>
          <w:tcPr>
            <w:tcW w:w="3839" w:type="dxa"/>
            <w:tcBorders>
              <w:right w:val="single" w:color="000000" w:sz="10" w:space="0"/>
            </w:tcBorders>
          </w:tcPr>
          <w:p w14:paraId="591E96C3">
            <w:pPr>
              <w:spacing w:line="500" w:lineRule="exact"/>
              <w:ind w:firstLine="0" w:firstLineChars="0"/>
              <w:jc w:val="center"/>
            </w:pPr>
            <w:r>
              <w:t>39403938.01</w:t>
            </w:r>
          </w:p>
        </w:tc>
      </w:tr>
      <w:tr w14:paraId="781A1A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19" w:hRule="atLeast"/>
        </w:trPr>
        <w:tc>
          <w:tcPr>
            <w:tcW w:w="1320" w:type="dxa"/>
            <w:tcBorders>
              <w:left w:val="single" w:color="000000" w:sz="10" w:space="0"/>
            </w:tcBorders>
          </w:tcPr>
          <w:p w14:paraId="34582148">
            <w:pPr>
              <w:spacing w:line="500" w:lineRule="exact"/>
              <w:ind w:firstLine="0" w:firstLineChars="0"/>
              <w:jc w:val="center"/>
            </w:pPr>
            <w:r>
              <w:t>7</w:t>
            </w:r>
          </w:p>
        </w:tc>
        <w:tc>
          <w:tcPr>
            <w:tcW w:w="3786" w:type="dxa"/>
          </w:tcPr>
          <w:p w14:paraId="3401A5DE">
            <w:pPr>
              <w:spacing w:line="500" w:lineRule="exact"/>
              <w:ind w:firstLine="0" w:firstLineChars="0"/>
              <w:jc w:val="center"/>
            </w:pPr>
            <w:r>
              <w:t>3587615.68</w:t>
            </w:r>
          </w:p>
        </w:tc>
        <w:tc>
          <w:tcPr>
            <w:tcW w:w="3839" w:type="dxa"/>
            <w:tcBorders>
              <w:right w:val="single" w:color="000000" w:sz="10" w:space="0"/>
            </w:tcBorders>
          </w:tcPr>
          <w:p w14:paraId="3E44FFE7">
            <w:pPr>
              <w:spacing w:line="500" w:lineRule="exact"/>
              <w:ind w:firstLine="0" w:firstLineChars="0"/>
              <w:jc w:val="center"/>
            </w:pPr>
            <w:r>
              <w:t>39403023.33</w:t>
            </w:r>
          </w:p>
        </w:tc>
      </w:tr>
    </w:tbl>
    <w:p w14:paraId="0F3E50BD">
      <w:pPr>
        <w:pStyle w:val="5"/>
      </w:pPr>
      <w:r>
        <w:rPr>
          <w:rFonts w:hint="eastAsia"/>
        </w:rPr>
        <w:t>3.2.2.2</w:t>
      </w:r>
      <w:r>
        <w:t xml:space="preserve"> </w:t>
      </w:r>
      <w:r>
        <w:rPr>
          <w:rFonts w:hint="eastAsia"/>
        </w:rPr>
        <w:t>矿体特征</w:t>
      </w:r>
    </w:p>
    <w:p w14:paraId="694CF3A1">
      <w:pPr>
        <w:spacing w:line="500" w:lineRule="exact"/>
        <w:ind w:firstLine="480"/>
      </w:pPr>
      <w:r>
        <w:t>草楼铁矿划分为 Ⅰ 、 Ⅱ 、Ⅲ号三个矿体， Ⅱ号为主矿体。</w:t>
      </w:r>
    </w:p>
    <w:p w14:paraId="482B4AFE">
      <w:pPr>
        <w:spacing w:line="500" w:lineRule="exact"/>
        <w:ind w:firstLine="480"/>
      </w:pPr>
      <w:r>
        <w:t>根据矿体的规模、形态等局部特征， 自上而下三个矿体编号为 Ⅰ 、 Ⅱ 、Ⅲ号，</w:t>
      </w:r>
    </w:p>
    <w:p w14:paraId="3FE8D481">
      <w:pPr>
        <w:spacing w:line="500" w:lineRule="exact"/>
        <w:ind w:firstLine="480"/>
      </w:pPr>
      <w:r>
        <w:t>Ⅰ 、Ⅲ号为含矿岩层段顶、底部小矿体， Ⅱ号矿体为含矿岩层段中部主矿体。三个 矿体的层间距离为 6.27～15.66m，分布较集中，含矿岩段呈向东突出的宽缓弧形。</w:t>
      </w:r>
    </w:p>
    <w:p w14:paraId="622D37B9">
      <w:pPr>
        <w:spacing w:line="500" w:lineRule="exact"/>
        <w:ind w:firstLine="480"/>
      </w:pPr>
      <w:r>
        <w:t>Ⅰ号矿体分布于 0～7 线和 15 线，控制矿体长度 400m，埋深位置在-200m 至-320m 之间，宽 70～200m，平均 135m，呈薄层状产出，矿体在 0～7 线之间厚度变化较小， 11 线尖灭，平均假厚度 10.50m。</w:t>
      </w:r>
    </w:p>
    <w:p w14:paraId="5ADD708F">
      <w:pPr>
        <w:spacing w:line="500" w:lineRule="exact"/>
        <w:ind w:firstLine="480"/>
      </w:pPr>
      <w:r>
        <w:t>Ⅱ号矿体分布于 16～23 线，为含矿岩段中部主矿体，其中心（0～19 线）较厚， 但 0 线、7 线夹石层较多。0 线以南走向为南南西，0-7 线总体近南北向，7 线以北 为北北西。走向两端随矿体变薄夹石层尖灭，复合为单层。控制长度 2400m，向南延 深至 24 线（ZK241 孔）变薄（假厚度 6.86m）有尖灭趋势。埋深亦在-100m 至-480m 之间，宽 90～410m，平均 210m，矿体厚度在 0～19 线之间较厚，且夹石率逐渐降低。 0 线以南和 19 线以北，厚度变化呈急促变薄和尖灭趋势，平均假厚度 52.29m，倾向 西，倾向上延伸较稳定，倾角 30-70° ，平均斜深 280m，在控制的延伸部位无迅速 自然尖灭迹象。矿体呈层～似层状产出。</w:t>
      </w:r>
    </w:p>
    <w:p w14:paraId="6EDEC600">
      <w:pPr>
        <w:spacing w:line="500" w:lineRule="exact"/>
        <w:ind w:firstLine="480"/>
      </w:pPr>
      <w:r>
        <w:t>Ⅲ号矿体分布于 0～8 线，为含矿岩段底部小矿体，呈单层产出，控制长度400m, 埋深位置在-130m 至-225m 之间，宽 130～180m,平均假厚度 10.89m，走向上厚度变化不大，倾向上易尖灭。呈较稳定的似层状。</w:t>
      </w:r>
    </w:p>
    <w:p w14:paraId="735EE1B0">
      <w:pPr>
        <w:spacing w:line="500" w:lineRule="exact"/>
        <w:ind w:firstLine="480"/>
      </w:pPr>
      <w:r>
        <w:t>三个矿体总体呈层～似层状整合产出，倾向西，平均倾角 40～52° 。在 7 线、 15 线深部混合花岗岩侵入切割，终止于-500m 附近。矿体厚度沿倾向 Ⅰ 、Ⅲ矿体在浅部尖灭， Ⅱ号矿体沿倾向有变薄现象，唯有 15 线深部增厚，推测可能花岗岩的侵入而产生的拖曳或断层呈上冲和逆掩挤压所引起的。</w:t>
      </w:r>
    </w:p>
    <w:p w14:paraId="5740D3E7">
      <w:pPr>
        <w:pStyle w:val="5"/>
      </w:pPr>
      <w:r>
        <w:rPr>
          <w:rFonts w:hint="eastAsia"/>
        </w:rPr>
        <w:t>3.2.2.3</w:t>
      </w:r>
      <w:r>
        <w:t xml:space="preserve"> </w:t>
      </w:r>
      <w:r>
        <w:rPr>
          <w:rFonts w:hint="eastAsia"/>
        </w:rPr>
        <w:t>矿石质量特征</w:t>
      </w:r>
    </w:p>
    <w:p w14:paraId="64764B16">
      <w:pPr>
        <w:spacing w:line="500" w:lineRule="exact"/>
        <w:ind w:firstLine="480"/>
      </w:pPr>
      <w:r>
        <w:t>（1）矿石类型</w:t>
      </w:r>
    </w:p>
    <w:p w14:paraId="292B8055">
      <w:pPr>
        <w:spacing w:line="500" w:lineRule="exact"/>
        <w:ind w:firstLine="480"/>
      </w:pPr>
      <w:r>
        <w:t>草楼铁矿按矿石的主要矿物组合可分为：</w:t>
      </w:r>
    </w:p>
    <w:p w14:paraId="04E70198">
      <w:pPr>
        <w:spacing w:line="500" w:lineRule="exact"/>
        <w:ind w:firstLine="480"/>
      </w:pPr>
      <w:r>
        <w:t>1）石英——磁铁矿石</w:t>
      </w:r>
    </w:p>
    <w:p w14:paraId="2D34C6FD">
      <w:pPr>
        <w:spacing w:line="500" w:lineRule="exact"/>
        <w:ind w:firstLine="480"/>
      </w:pPr>
      <w:r>
        <w:t>2）石英——角闪石——磁铁矿石</w:t>
      </w:r>
    </w:p>
    <w:p w14:paraId="5CC2962D">
      <w:pPr>
        <w:spacing w:line="500" w:lineRule="exact"/>
        <w:ind w:firstLine="480"/>
      </w:pPr>
      <w:r>
        <w:t>3）石英——阳起石——磁铁矿石</w:t>
      </w:r>
    </w:p>
    <w:p w14:paraId="30081404">
      <w:pPr>
        <w:spacing w:line="500" w:lineRule="exact"/>
        <w:ind w:firstLine="480"/>
      </w:pPr>
      <w:r>
        <w:t>4）石英——铁闪石——磁铁矿石</w:t>
      </w:r>
    </w:p>
    <w:p w14:paraId="40F4A4DC">
      <w:pPr>
        <w:spacing w:line="500" w:lineRule="exact"/>
        <w:ind w:firstLine="480"/>
      </w:pPr>
      <w:r>
        <w:t>5）石英——角闪石——蓝闪石——磁铁矿石</w:t>
      </w:r>
    </w:p>
    <w:p w14:paraId="046569BC">
      <w:pPr>
        <w:spacing w:line="500" w:lineRule="exact"/>
        <w:ind w:firstLine="480"/>
      </w:pPr>
      <w:r>
        <w:t>6）石英——阳起石——透辉石——磁铁矿石</w:t>
      </w:r>
    </w:p>
    <w:p w14:paraId="419614A8">
      <w:pPr>
        <w:spacing w:line="500" w:lineRule="exact"/>
        <w:ind w:firstLine="480"/>
      </w:pPr>
      <w:r>
        <w:t>7）石英——角闪石——石榴石——磁铁矿石</w:t>
      </w:r>
    </w:p>
    <w:p w14:paraId="35A3562F">
      <w:pPr>
        <w:spacing w:line="500" w:lineRule="exact"/>
        <w:ind w:firstLine="480"/>
      </w:pPr>
      <w:r>
        <w:t>8）石英——阳起石——角闪石——磁铁矿石</w:t>
      </w:r>
    </w:p>
    <w:p w14:paraId="562E2B28">
      <w:pPr>
        <w:spacing w:line="500" w:lineRule="exact"/>
        <w:ind w:firstLine="480"/>
      </w:pPr>
      <w:r>
        <w:t>9）石英——透辉石——碱性闪石——磁铁矿石</w:t>
      </w:r>
    </w:p>
    <w:p w14:paraId="443A6E74">
      <w:pPr>
        <w:spacing w:line="500" w:lineRule="exact"/>
        <w:ind w:firstLine="480"/>
      </w:pPr>
      <w:r>
        <w:t>10）角闪石——黑云母——磁铁矿石</w:t>
      </w:r>
    </w:p>
    <w:p w14:paraId="10AC3894">
      <w:pPr>
        <w:spacing w:line="500" w:lineRule="exact"/>
        <w:ind w:firstLine="480"/>
      </w:pPr>
      <w:r>
        <w:t>11）石英——绿泥石——假象赤铁矿石</w:t>
      </w:r>
    </w:p>
    <w:p w14:paraId="3A03307A">
      <w:pPr>
        <w:spacing w:line="500" w:lineRule="exact"/>
        <w:ind w:firstLine="480"/>
      </w:pPr>
      <w:r>
        <w:t>上述类型以第 1～2 类为主；3～4 类为次；5～9 类为局部或偶见；第 10 类为富 矿石；第 11 类为氧化矿石。</w:t>
      </w:r>
    </w:p>
    <w:p w14:paraId="27678054">
      <w:pPr>
        <w:spacing w:line="500" w:lineRule="exact"/>
        <w:ind w:firstLine="480"/>
      </w:pPr>
      <w:r>
        <w:t>（2）矿石矿物成份</w:t>
      </w:r>
    </w:p>
    <w:p w14:paraId="48B2DF59">
      <w:pPr>
        <w:spacing w:line="500" w:lineRule="exact"/>
        <w:ind w:firstLine="480"/>
      </w:pPr>
      <w:r>
        <w:t>按矿石性质分，本矿床可分为氧化带和原生带，大致与古风化带平行或等标高分布。位于氧化带中矿石为氧化矿石，其下为原生矿石。</w:t>
      </w:r>
    </w:p>
    <w:p w14:paraId="62B4B81C">
      <w:pPr>
        <w:spacing w:line="500" w:lineRule="exact"/>
        <w:ind w:firstLine="480"/>
      </w:pPr>
      <w:r>
        <w:t>矿石的主要金属矿物成份为磁铁矿（氧化带为假象赤铁矿），时有少量赤铁矿、 微量黄铁矿、黄铜矿、磁黄铁矿、钛铁矿等。</w:t>
      </w:r>
    </w:p>
    <w:p w14:paraId="50A99871">
      <w:pPr>
        <w:spacing w:line="500" w:lineRule="exact"/>
        <w:ind w:firstLine="480"/>
      </w:pPr>
      <w:r>
        <w:t>主要脉石矿物为石英，次为角闪石（钠铁石）、纤闪石、阳起石、铁闪石（透 闪石），局部有蓝闪石、透辉石、石榴石、黑云母，偶有少量或微量斜长石、钾长 石、磷灰石、榍石、电气石、绢云母、绿泥石、碳酸盐矿物等。</w:t>
      </w:r>
    </w:p>
    <w:p w14:paraId="1549FF8B">
      <w:pPr>
        <w:spacing w:line="500" w:lineRule="exact"/>
        <w:ind w:firstLine="480"/>
      </w:pPr>
      <w:r>
        <w:t>矿石全铁最高含量为 44.50%，最低小于 10%，TFe 多集中分布在 27～38%间， 占 全部采样长度的65%。有害元素含量均在一般工业要求的允许范围之内。</w:t>
      </w:r>
    </w:p>
    <w:p w14:paraId="52DD3ED4">
      <w:pPr>
        <w:spacing w:line="500" w:lineRule="exact"/>
        <w:ind w:firstLine="480"/>
      </w:pPr>
      <w:r>
        <w:t>（2）矿石结构和构造</w:t>
      </w:r>
    </w:p>
    <w:p w14:paraId="0CC021DC">
      <w:pPr>
        <w:spacing w:line="500" w:lineRule="exact"/>
        <w:ind w:firstLine="480"/>
      </w:pPr>
      <w:r>
        <w:t>矿石的结构以细粒变晶结构为主，部分迭加不等粒和斑状变晶结构。矿石的主 要矿物成分紧密镶嵌，少量相互包裹。</w:t>
      </w:r>
    </w:p>
    <w:p w14:paraId="2E5DFAC2">
      <w:pPr>
        <w:spacing w:line="500" w:lineRule="exact"/>
        <w:ind w:firstLine="480"/>
      </w:pPr>
      <w:r>
        <w:t>矿石的构造，主要有条带状构造、片状构造、皱纹构造、块状构造。</w:t>
      </w:r>
    </w:p>
    <w:p w14:paraId="782DA6AF">
      <w:pPr>
        <w:pStyle w:val="5"/>
      </w:pPr>
      <w:r>
        <w:rPr>
          <w:rFonts w:hint="eastAsia"/>
        </w:rPr>
        <w:t>3.2.2.5</w:t>
      </w:r>
      <w:r>
        <w:t xml:space="preserve"> </w:t>
      </w:r>
      <w:r>
        <w:rPr>
          <w:rFonts w:hint="eastAsia"/>
        </w:rPr>
        <w:t>资源储量</w:t>
      </w:r>
    </w:p>
    <w:p w14:paraId="791F3C9E">
      <w:pPr>
        <w:ind w:firstLine="480"/>
        <w:rPr>
          <w:snapToGrid w:val="0"/>
          <w:kern w:val="0"/>
        </w:rPr>
      </w:pPr>
      <w:r>
        <w:rPr>
          <w:rFonts w:hint="eastAsia"/>
          <w:snapToGrid w:val="0"/>
          <w:kern w:val="0"/>
        </w:rPr>
        <w:t>截至2021年12月31日，根据资源储量评估矿山累计查明资源储量（111b+122b+333）类9690.83万吨，TFe品位为27.77%。截至2021年12月31日，矿山累计消耗资源储量4936.56万吨，平均品位为28.61%。保有资源总量4754.27万吨，TFe平均品位26.62%，</w:t>
      </w:r>
      <w:r>
        <w:rPr>
          <w:snapToGrid w:val="0"/>
          <w:kern w:val="0"/>
        </w:rPr>
        <w:t>远景资源较丰富。</w:t>
      </w:r>
    </w:p>
    <w:p w14:paraId="7CC75C31">
      <w:pPr>
        <w:pStyle w:val="4"/>
      </w:pPr>
      <w:r>
        <w:rPr>
          <w:rFonts w:hint="eastAsia"/>
        </w:rPr>
        <w:t>3.2.3</w:t>
      </w:r>
      <w:r>
        <w:t xml:space="preserve"> </w:t>
      </w:r>
      <w:r>
        <w:rPr>
          <w:rFonts w:hint="eastAsia"/>
        </w:rPr>
        <w:t>建设规模及产品方案</w:t>
      </w:r>
    </w:p>
    <w:p w14:paraId="3E92F31D">
      <w:pPr>
        <w:ind w:firstLine="480"/>
      </w:pPr>
      <w:r>
        <w:rPr>
          <w:rFonts w:hint="eastAsia"/>
        </w:rPr>
        <w:t>与环评及验收阶段相比，项目的建设规模和产品方案均未发生变化。</w:t>
      </w:r>
    </w:p>
    <w:p w14:paraId="7C9BF6CB">
      <w:pPr>
        <w:ind w:firstLine="480"/>
      </w:pPr>
      <w:r>
        <w:t>建设规模：年采选原矿 300 万 t，采出矿石品位 TFe=26.62%。</w:t>
      </w:r>
    </w:p>
    <w:p w14:paraId="251047B7">
      <w:pPr>
        <w:ind w:firstLine="480"/>
      </w:pPr>
      <w:r>
        <w:t>产品方案：年产铁精矿 96.06 万 t，品位 TFe=66.5%。</w:t>
      </w:r>
    </w:p>
    <w:p w14:paraId="4490E0C8">
      <w:pPr>
        <w:pStyle w:val="4"/>
      </w:pPr>
      <w:r>
        <w:rPr>
          <w:rFonts w:hint="eastAsia"/>
        </w:rPr>
        <w:t>3.2.4</w:t>
      </w:r>
      <w:r>
        <w:t xml:space="preserve"> </w:t>
      </w:r>
      <w:r>
        <w:rPr>
          <w:rFonts w:hint="eastAsia"/>
        </w:rPr>
        <w:t>项目组成</w:t>
      </w:r>
    </w:p>
    <w:p w14:paraId="078C0DCF">
      <w:pPr>
        <w:pStyle w:val="5"/>
      </w:pPr>
      <w:r>
        <w:rPr>
          <w:rFonts w:hint="eastAsia"/>
        </w:rPr>
        <w:t>3.2.4.1</w:t>
      </w:r>
      <w:r>
        <w:t xml:space="preserve"> </w:t>
      </w:r>
      <w:r>
        <w:rPr>
          <w:rFonts w:hint="eastAsia"/>
        </w:rPr>
        <w:t>本项目项目组成</w:t>
      </w:r>
    </w:p>
    <w:p w14:paraId="0280340B">
      <w:pPr>
        <w:ind w:firstLine="480"/>
      </w:pPr>
      <w:r>
        <w:rPr>
          <w:rFonts w:hint="eastAsia"/>
        </w:rPr>
        <w:t>与环评及验收阶段相比，项目的组成发生了变化，后评价阶段项目组成与原环评及验收阶段的变化情况如下表。</w:t>
      </w:r>
    </w:p>
    <w:p w14:paraId="5C7174FC">
      <w:pPr>
        <w:ind w:firstLine="480"/>
        <w:sectPr>
          <w:pgSz w:w="11906" w:h="16838"/>
          <w:pgMar w:top="1440" w:right="1797" w:bottom="1440" w:left="1797" w:header="851" w:footer="992" w:gutter="0"/>
          <w:cols w:space="425" w:num="1"/>
          <w:docGrid w:type="lines" w:linePitch="312" w:charSpace="0"/>
        </w:sectPr>
      </w:pPr>
    </w:p>
    <w:p w14:paraId="51E3A572">
      <w:pPr>
        <w:pStyle w:val="18"/>
        <w:ind w:firstLine="482"/>
        <w:jc w:val="center"/>
        <w:rPr>
          <w:b/>
          <w:bCs/>
          <w:sz w:val="24"/>
          <w:szCs w:val="24"/>
        </w:rPr>
      </w:pPr>
      <w:r>
        <w:rPr>
          <w:rFonts w:hint="eastAsia"/>
          <w:b/>
          <w:bCs/>
          <w:sz w:val="24"/>
          <w:szCs w:val="24"/>
        </w:rPr>
        <w:t>表3.2-4</w:t>
      </w:r>
      <w:r>
        <w:rPr>
          <w:b/>
          <w:bCs/>
          <w:sz w:val="24"/>
          <w:szCs w:val="24"/>
        </w:rPr>
        <w:t xml:space="preserve">  </w:t>
      </w:r>
      <w:r>
        <w:rPr>
          <w:rFonts w:hint="eastAsia"/>
          <w:b/>
          <w:bCs/>
          <w:sz w:val="24"/>
          <w:szCs w:val="24"/>
        </w:rPr>
        <w:t>项目主体工程建设变化情况一览表</w:t>
      </w:r>
    </w:p>
    <w:tbl>
      <w:tblPr>
        <w:tblStyle w:val="141"/>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10"/>
        <w:gridCol w:w="964"/>
        <w:gridCol w:w="6242"/>
        <w:gridCol w:w="4541"/>
        <w:gridCol w:w="1907"/>
      </w:tblGrid>
      <w:tr w14:paraId="592904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Align w:val="center"/>
          </w:tcPr>
          <w:p w14:paraId="20F4C300">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ascii="Calibri" w:hAnsi="Calibri" w:cs="Calibri"/>
                <w:b/>
                <w:kern w:val="0"/>
                <w:sz w:val="21"/>
                <w:szCs w:val="21"/>
                <w:lang w:eastAsia="en-US"/>
              </w:rPr>
              <w:t>工程</w:t>
            </w:r>
          </w:p>
        </w:tc>
        <w:tc>
          <w:tcPr>
            <w:tcW w:w="345" w:type="pct"/>
            <w:vAlign w:val="center"/>
          </w:tcPr>
          <w:p w14:paraId="68E99291">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ascii="Calibri" w:hAnsi="Calibri" w:cs="Calibri"/>
                <w:b/>
                <w:kern w:val="0"/>
                <w:sz w:val="21"/>
                <w:szCs w:val="21"/>
                <w:lang w:eastAsia="en-US"/>
              </w:rPr>
              <w:t>类型</w:t>
            </w:r>
          </w:p>
        </w:tc>
        <w:tc>
          <w:tcPr>
            <w:tcW w:w="2235" w:type="pct"/>
            <w:vAlign w:val="center"/>
          </w:tcPr>
          <w:p w14:paraId="63A8AE06">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ascii="Calibri" w:hAnsi="Calibri" w:cs="Calibri"/>
                <w:b/>
                <w:kern w:val="0"/>
                <w:sz w:val="21"/>
                <w:szCs w:val="21"/>
                <w:lang w:eastAsia="en-US"/>
              </w:rPr>
              <w:t>工程内容及规模</w:t>
            </w:r>
          </w:p>
        </w:tc>
        <w:tc>
          <w:tcPr>
            <w:tcW w:w="1626" w:type="pct"/>
            <w:vAlign w:val="center"/>
          </w:tcPr>
          <w:p w14:paraId="2B08B06E">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r>
              <w:rPr>
                <w:rFonts w:hint="eastAsia" w:ascii="Calibri" w:hAnsi="Calibri" w:cs="Calibri"/>
                <w:b/>
                <w:kern w:val="0"/>
                <w:sz w:val="21"/>
                <w:szCs w:val="21"/>
                <w:lang w:eastAsia="zh-CN"/>
              </w:rPr>
              <w:t>现状建设情况</w:t>
            </w:r>
          </w:p>
        </w:tc>
        <w:tc>
          <w:tcPr>
            <w:tcW w:w="683" w:type="pct"/>
            <w:vAlign w:val="center"/>
          </w:tcPr>
          <w:p w14:paraId="4E9DD626">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hint="eastAsia" w:ascii="Calibri" w:hAnsi="Calibri" w:cs="Calibri"/>
                <w:b/>
                <w:kern w:val="0"/>
                <w:sz w:val="21"/>
                <w:szCs w:val="21"/>
                <w:lang w:eastAsia="zh-CN"/>
              </w:rPr>
              <w:t>变化情况</w:t>
            </w:r>
          </w:p>
        </w:tc>
      </w:tr>
      <w:tr w14:paraId="4147BE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restart"/>
            <w:vAlign w:val="center"/>
          </w:tcPr>
          <w:p w14:paraId="15AC15E2">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hint="eastAsia" w:ascii="Calibri" w:hAnsi="Calibri" w:cs="Calibri"/>
                <w:b/>
                <w:kern w:val="0"/>
                <w:sz w:val="21"/>
                <w:szCs w:val="21"/>
                <w:lang w:eastAsia="en-US"/>
              </w:rPr>
              <w:t>采矿工程</w:t>
            </w:r>
          </w:p>
        </w:tc>
        <w:tc>
          <w:tcPr>
            <w:tcW w:w="345" w:type="pct"/>
            <w:vAlign w:val="center"/>
          </w:tcPr>
          <w:p w14:paraId="05D04E28">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主井</w:t>
            </w:r>
          </w:p>
        </w:tc>
        <w:tc>
          <w:tcPr>
            <w:tcW w:w="2235" w:type="pct"/>
            <w:vAlign w:val="center"/>
          </w:tcPr>
          <w:p w14:paraId="2352F9D9">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主井为箕斗提升井，井筒净值径 4.5m，采用 14m</w:t>
            </w:r>
            <w:r>
              <w:rPr>
                <w:rFonts w:cs="Times New Roman"/>
                <w:spacing w:val="8"/>
                <w:kern w:val="0"/>
                <w:sz w:val="21"/>
                <w:szCs w:val="21"/>
                <w:vertAlign w:val="superscript"/>
                <w:lang w:eastAsia="zh-CN"/>
              </w:rPr>
              <w:t>3</w:t>
            </w:r>
            <w:r>
              <w:rPr>
                <w:rFonts w:cs="Times New Roman"/>
                <w:spacing w:val="8"/>
                <w:kern w:val="0"/>
                <w:sz w:val="21"/>
                <w:szCs w:val="21"/>
                <w:lang w:eastAsia="zh-CN"/>
              </w:rPr>
              <w:t>底卸单箕斗，4×4 多绳落地摩擦轮提升机，担负矿石提升任务。</w:t>
            </w:r>
          </w:p>
        </w:tc>
        <w:tc>
          <w:tcPr>
            <w:tcW w:w="1626" w:type="pct"/>
            <w:vAlign w:val="center"/>
          </w:tcPr>
          <w:p w14:paraId="4F62471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随着企业生产，井深及井底标高变化</w:t>
            </w:r>
          </w:p>
        </w:tc>
        <w:tc>
          <w:tcPr>
            <w:tcW w:w="683" w:type="pct"/>
            <w:vAlign w:val="center"/>
          </w:tcPr>
          <w:p w14:paraId="1C9FEE6B">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井深及井底标高变化</w:t>
            </w:r>
          </w:p>
        </w:tc>
      </w:tr>
      <w:tr w14:paraId="0AFB51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7871231B">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275CBD51">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副井</w:t>
            </w:r>
          </w:p>
        </w:tc>
        <w:tc>
          <w:tcPr>
            <w:tcW w:w="2235" w:type="pct"/>
            <w:vAlign w:val="center"/>
          </w:tcPr>
          <w:p w14:paraId="2BD7A5AB">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副井为罐笼提升井，井筒净值径 5.5m，采用 5 号双层单罐笼，2.8×4 落地式多绳摩擦轮提升机，担负废石、材料设备、人员的提升任务。</w:t>
            </w:r>
          </w:p>
        </w:tc>
        <w:tc>
          <w:tcPr>
            <w:tcW w:w="1626" w:type="pct"/>
            <w:vAlign w:val="center"/>
          </w:tcPr>
          <w:p w14:paraId="5C4C3BA9">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随着企业生产，井深及井底标高变化</w:t>
            </w:r>
          </w:p>
        </w:tc>
        <w:tc>
          <w:tcPr>
            <w:tcW w:w="683" w:type="pct"/>
            <w:vAlign w:val="center"/>
          </w:tcPr>
          <w:p w14:paraId="57A8E745">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井深及井底标高变化</w:t>
            </w:r>
          </w:p>
        </w:tc>
      </w:tr>
      <w:tr w14:paraId="5520BA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666EFD23">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4AF2194E">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措施井</w:t>
            </w:r>
          </w:p>
        </w:tc>
        <w:tc>
          <w:tcPr>
            <w:tcW w:w="2235" w:type="pct"/>
            <w:vAlign w:val="center"/>
          </w:tcPr>
          <w:p w14:paraId="44C1AD4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措施井兼进风，井筒净值径 4.5m。该井现主要作为专用进风井，在矿山建设期间作为临时提升之用。</w:t>
            </w:r>
          </w:p>
        </w:tc>
        <w:tc>
          <w:tcPr>
            <w:tcW w:w="1626" w:type="pct"/>
            <w:vAlign w:val="center"/>
          </w:tcPr>
          <w:p w14:paraId="6BE54399">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随着企业生产，井深及井底标高变化</w:t>
            </w:r>
          </w:p>
        </w:tc>
        <w:tc>
          <w:tcPr>
            <w:tcW w:w="683" w:type="pct"/>
            <w:vAlign w:val="center"/>
          </w:tcPr>
          <w:p w14:paraId="434EC02B">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井深及井底标高变化</w:t>
            </w:r>
          </w:p>
        </w:tc>
      </w:tr>
      <w:tr w14:paraId="7E3080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63A783A6">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2C72659A">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北风井</w:t>
            </w:r>
          </w:p>
        </w:tc>
        <w:tc>
          <w:tcPr>
            <w:tcW w:w="2235" w:type="pct"/>
            <w:vAlign w:val="center"/>
          </w:tcPr>
          <w:p w14:paraId="3BB086C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作为矿山的</w:t>
            </w:r>
            <w:r>
              <w:rPr>
                <w:rFonts w:hint="eastAsia" w:cs="Times New Roman"/>
                <w:spacing w:val="8"/>
                <w:kern w:val="0"/>
                <w:sz w:val="21"/>
                <w:szCs w:val="21"/>
                <w:lang w:eastAsia="zh-CN"/>
              </w:rPr>
              <w:t>北</w:t>
            </w:r>
            <w:r>
              <w:rPr>
                <w:rFonts w:cs="Times New Roman"/>
                <w:spacing w:val="8"/>
                <w:kern w:val="0"/>
                <w:sz w:val="21"/>
                <w:szCs w:val="21"/>
                <w:lang w:eastAsia="zh-CN"/>
              </w:rPr>
              <w:t>部通风井，井筒净直径 3.5m，井口标高 37m，主要用来回风，同时做为第二安全出口。</w:t>
            </w:r>
          </w:p>
        </w:tc>
        <w:tc>
          <w:tcPr>
            <w:tcW w:w="1626" w:type="pct"/>
            <w:vAlign w:val="center"/>
          </w:tcPr>
          <w:p w14:paraId="407D402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随着企业生产，井深及井底标高变化</w:t>
            </w:r>
          </w:p>
        </w:tc>
        <w:tc>
          <w:tcPr>
            <w:tcW w:w="683" w:type="pct"/>
            <w:vAlign w:val="center"/>
          </w:tcPr>
          <w:p w14:paraId="0AEB9EA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井深及井底标高变化</w:t>
            </w:r>
          </w:p>
        </w:tc>
      </w:tr>
      <w:tr w14:paraId="388B58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25AE40AE">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28F41CB8">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南风井</w:t>
            </w:r>
          </w:p>
        </w:tc>
        <w:tc>
          <w:tcPr>
            <w:tcW w:w="2235" w:type="pct"/>
            <w:vAlign w:val="center"/>
          </w:tcPr>
          <w:p w14:paraId="37FE7997">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作为矿山的南部通风井，该风井井口标高+39m，井筒直径 4.5m。主要用来回风，同时做为第二安全出口。</w:t>
            </w:r>
          </w:p>
        </w:tc>
        <w:tc>
          <w:tcPr>
            <w:tcW w:w="1626" w:type="pct"/>
            <w:vAlign w:val="center"/>
          </w:tcPr>
          <w:p w14:paraId="3F859A6E">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随着企业生产，井深及井底标高变化</w:t>
            </w:r>
          </w:p>
        </w:tc>
        <w:tc>
          <w:tcPr>
            <w:tcW w:w="683" w:type="pct"/>
            <w:vAlign w:val="center"/>
          </w:tcPr>
          <w:p w14:paraId="67B710A1">
            <w:pPr>
              <w:spacing w:before="72" w:line="190" w:lineRule="auto"/>
              <w:ind w:hanging="8" w:firstLineChars="0"/>
              <w:jc w:val="center"/>
              <w:rPr>
                <w:rFonts w:cs="Times New Roman"/>
                <w:spacing w:val="8"/>
                <w:kern w:val="0"/>
                <w:sz w:val="21"/>
                <w:szCs w:val="21"/>
                <w:lang w:eastAsia="zh-CN"/>
              </w:rPr>
            </w:pPr>
          </w:p>
          <w:p w14:paraId="6464D65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井深及井底标高变化</w:t>
            </w:r>
          </w:p>
        </w:tc>
      </w:tr>
      <w:tr w14:paraId="045B5C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54DEF8A6">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08F5EAE0">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井下粗破碎</w:t>
            </w:r>
          </w:p>
        </w:tc>
        <w:tc>
          <w:tcPr>
            <w:tcW w:w="2235" w:type="pct"/>
            <w:vAlign w:val="center"/>
          </w:tcPr>
          <w:p w14:paraId="5D403C6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北辅助井-309m 设置粗破碎站，安装 C100 式破碎机一台；南辅助井-290m 设置粗破碎 站，安装 PE600*900 式破碎机一台。</w:t>
            </w:r>
          </w:p>
        </w:tc>
        <w:tc>
          <w:tcPr>
            <w:tcW w:w="1626" w:type="pct"/>
            <w:vAlign w:val="center"/>
          </w:tcPr>
          <w:p w14:paraId="38A1AE4A">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随着企业生产，井深及井底标高变化</w:t>
            </w:r>
          </w:p>
        </w:tc>
        <w:tc>
          <w:tcPr>
            <w:tcW w:w="683" w:type="pct"/>
            <w:vAlign w:val="center"/>
          </w:tcPr>
          <w:p w14:paraId="588C146E">
            <w:pPr>
              <w:spacing w:line="299" w:lineRule="auto"/>
              <w:ind w:firstLine="452"/>
              <w:rPr>
                <w:rFonts w:cs="Times New Roman"/>
                <w:spacing w:val="8"/>
                <w:kern w:val="0"/>
                <w:sz w:val="21"/>
                <w:szCs w:val="21"/>
                <w:lang w:eastAsia="zh-CN"/>
              </w:rPr>
            </w:pPr>
          </w:p>
          <w:p w14:paraId="23540D98">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井深及井底标高变化</w:t>
            </w:r>
          </w:p>
        </w:tc>
      </w:tr>
      <w:tr w14:paraId="188B50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4005A13C">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330761AD">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hint="eastAsia" w:ascii="宋体" w:hAnsi="宋体" w:cs="宋体"/>
                <w:spacing w:val="3"/>
                <w:kern w:val="0"/>
                <w:sz w:val="21"/>
                <w:szCs w:val="21"/>
                <w:lang w:eastAsia="en-US"/>
              </w:rPr>
              <w:t>充填站</w:t>
            </w:r>
          </w:p>
        </w:tc>
        <w:tc>
          <w:tcPr>
            <w:tcW w:w="2235" w:type="pct"/>
            <w:vAlign w:val="center"/>
          </w:tcPr>
          <w:p w14:paraId="3D3AEC62">
            <w:pPr>
              <w:spacing w:before="72" w:line="190" w:lineRule="auto"/>
              <w:ind w:hanging="8" w:firstLineChars="0"/>
              <w:jc w:val="center"/>
              <w:rPr>
                <w:rFonts w:ascii="Calibri" w:hAnsi="Calibri" w:cs="Calibri"/>
                <w:spacing w:val="8"/>
                <w:kern w:val="0"/>
                <w:sz w:val="21"/>
                <w:szCs w:val="21"/>
                <w:lang w:eastAsia="zh-CN"/>
              </w:rPr>
            </w:pPr>
            <w:r>
              <w:rPr>
                <w:rFonts w:cs="Times New Roman"/>
                <w:spacing w:val="8"/>
                <w:kern w:val="0"/>
                <w:sz w:val="21"/>
                <w:szCs w:val="21"/>
                <w:lang w:eastAsia="zh-CN"/>
              </w:rPr>
              <w:t>现有北区充填站系统</w:t>
            </w:r>
            <w:r>
              <w:rPr>
                <w:rFonts w:hint="eastAsia" w:cs="Times New Roman"/>
                <w:spacing w:val="8"/>
                <w:kern w:val="0"/>
                <w:sz w:val="21"/>
                <w:szCs w:val="21"/>
                <w:lang w:eastAsia="zh-CN"/>
              </w:rPr>
              <w:t>、</w:t>
            </w:r>
            <w:r>
              <w:rPr>
                <w:rFonts w:cs="Times New Roman"/>
                <w:spacing w:val="8"/>
                <w:kern w:val="0"/>
                <w:sz w:val="21"/>
                <w:szCs w:val="21"/>
                <w:lang w:eastAsia="zh-CN"/>
              </w:rPr>
              <w:t>南区充填站</w:t>
            </w:r>
            <w:r>
              <w:rPr>
                <w:rFonts w:hint="eastAsia" w:cs="Times New Roman"/>
                <w:spacing w:val="8"/>
                <w:kern w:val="0"/>
                <w:sz w:val="21"/>
                <w:szCs w:val="21"/>
                <w:lang w:eastAsia="zh-CN"/>
              </w:rPr>
              <w:t>各一个。</w:t>
            </w:r>
            <w:r>
              <w:rPr>
                <w:rFonts w:cs="Times New Roman"/>
                <w:spacing w:val="8"/>
                <w:kern w:val="0"/>
                <w:sz w:val="21"/>
                <w:szCs w:val="21"/>
                <w:lang w:eastAsia="zh-CN"/>
              </w:rPr>
              <w:t>北区充填站系统和南区充填站系统各设 2 套彼此独立的充填系统，共 4 套充填系统，每套系统制备输送能力为 70～90m</w:t>
            </w:r>
            <w:r>
              <w:rPr>
                <w:rFonts w:cs="Times New Roman"/>
                <w:spacing w:val="8"/>
                <w:kern w:val="0"/>
                <w:sz w:val="21"/>
                <w:szCs w:val="21"/>
                <w:vertAlign w:val="superscript"/>
                <w:lang w:eastAsia="zh-CN"/>
              </w:rPr>
              <w:t>3</w:t>
            </w:r>
            <w:r>
              <w:rPr>
                <w:rFonts w:cs="Times New Roman"/>
                <w:spacing w:val="8"/>
                <w:kern w:val="0"/>
                <w:sz w:val="21"/>
                <w:szCs w:val="21"/>
                <w:lang w:eastAsia="zh-CN"/>
              </w:rPr>
              <w:t>/h，单套系统连续稳定运行时间 10～12h，单套系统一次最大充填量 800～1000m</w:t>
            </w:r>
            <w:r>
              <w:rPr>
                <w:rFonts w:cs="Times New Roman"/>
                <w:spacing w:val="8"/>
                <w:kern w:val="0"/>
                <w:sz w:val="21"/>
                <w:szCs w:val="21"/>
                <w:vertAlign w:val="superscript"/>
                <w:lang w:eastAsia="zh-CN"/>
              </w:rPr>
              <w:t>3</w:t>
            </w:r>
            <w:r>
              <w:rPr>
                <w:rFonts w:cs="Times New Roman"/>
                <w:spacing w:val="8"/>
                <w:kern w:val="0"/>
                <w:sz w:val="21"/>
                <w:szCs w:val="21"/>
                <w:lang w:eastAsia="zh-CN"/>
              </w:rPr>
              <w:t>。</w:t>
            </w:r>
          </w:p>
        </w:tc>
        <w:tc>
          <w:tcPr>
            <w:tcW w:w="1626" w:type="pct"/>
            <w:vAlign w:val="center"/>
          </w:tcPr>
          <w:p w14:paraId="2894655A">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随着企业生产，井深及井底标高变化</w:t>
            </w:r>
          </w:p>
        </w:tc>
        <w:tc>
          <w:tcPr>
            <w:tcW w:w="683" w:type="pct"/>
            <w:vAlign w:val="center"/>
          </w:tcPr>
          <w:p w14:paraId="3BC3428C">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井深及井底标高变化</w:t>
            </w:r>
          </w:p>
        </w:tc>
      </w:tr>
      <w:tr w14:paraId="211857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33A8BE11">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6B905EFA">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炸药库</w:t>
            </w:r>
          </w:p>
        </w:tc>
        <w:tc>
          <w:tcPr>
            <w:tcW w:w="2235" w:type="pct"/>
            <w:vAlign w:val="center"/>
          </w:tcPr>
          <w:p w14:paraId="1C987DA1">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井下南风井-230m中段设炸药库1座</w:t>
            </w:r>
          </w:p>
        </w:tc>
        <w:tc>
          <w:tcPr>
            <w:tcW w:w="1626" w:type="pct"/>
            <w:vAlign w:val="center"/>
          </w:tcPr>
          <w:p w14:paraId="2134D3D5">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4E79949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2AAA39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restart"/>
            <w:vAlign w:val="center"/>
          </w:tcPr>
          <w:p w14:paraId="3DCFF466">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hint="eastAsia" w:ascii="Calibri" w:hAnsi="Calibri" w:cs="Calibri"/>
                <w:b/>
                <w:kern w:val="0"/>
                <w:sz w:val="21"/>
                <w:szCs w:val="21"/>
                <w:lang w:eastAsia="en-US"/>
              </w:rPr>
              <w:t>选矿工程</w:t>
            </w:r>
          </w:p>
        </w:tc>
        <w:tc>
          <w:tcPr>
            <w:tcW w:w="345" w:type="pct"/>
            <w:vAlign w:val="center"/>
          </w:tcPr>
          <w:p w14:paraId="6DDFB7C1">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选矿厂中细碎系统</w:t>
            </w:r>
          </w:p>
        </w:tc>
        <w:tc>
          <w:tcPr>
            <w:tcW w:w="2235" w:type="pct"/>
            <w:vAlign w:val="center"/>
          </w:tcPr>
          <w:p w14:paraId="3A996AF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中碎</w:t>
            </w:r>
            <w:r>
              <w:rPr>
                <w:rFonts w:hint="eastAsia" w:cs="Times New Roman"/>
                <w:spacing w:val="8"/>
                <w:kern w:val="0"/>
                <w:sz w:val="21"/>
                <w:szCs w:val="21"/>
                <w:lang w:eastAsia="zh-CN"/>
              </w:rPr>
              <w:t>采用</w:t>
            </w:r>
            <w:r>
              <w:rPr>
                <w:rFonts w:cs="Times New Roman"/>
                <w:spacing w:val="8"/>
                <w:kern w:val="0"/>
                <w:sz w:val="21"/>
                <w:szCs w:val="21"/>
                <w:lang w:eastAsia="zh-CN"/>
              </w:rPr>
              <w:t>一台 H6800 中碎圆锥破碎机， PYH-5cc 圆锥破碎机作为备用；细碎</w:t>
            </w:r>
            <w:r>
              <w:rPr>
                <w:rFonts w:hint="eastAsia" w:cs="Times New Roman"/>
                <w:spacing w:val="8"/>
                <w:kern w:val="0"/>
                <w:sz w:val="21"/>
                <w:szCs w:val="21"/>
                <w:lang w:eastAsia="zh-CN"/>
              </w:rPr>
              <w:t>采用</w:t>
            </w:r>
            <w:r>
              <w:rPr>
                <w:rFonts w:cs="Times New Roman"/>
                <w:spacing w:val="8"/>
                <w:kern w:val="0"/>
                <w:sz w:val="21"/>
                <w:szCs w:val="21"/>
                <w:lang w:eastAsia="zh-CN"/>
              </w:rPr>
              <w:t>两台H6800 细碎圆锥破碎机，配套的胶带输送机。</w:t>
            </w:r>
          </w:p>
        </w:tc>
        <w:tc>
          <w:tcPr>
            <w:tcW w:w="1626" w:type="pct"/>
            <w:vAlign w:val="center"/>
          </w:tcPr>
          <w:p w14:paraId="1D872126">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3484D6A1">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6AE0E5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5F76BD1D">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6941E21E">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选矿厂磨选系列</w:t>
            </w:r>
          </w:p>
        </w:tc>
        <w:tc>
          <w:tcPr>
            <w:tcW w:w="2235" w:type="pct"/>
            <w:vAlign w:val="center"/>
          </w:tcPr>
          <w:p w14:paraId="1F8C77E9">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1-4 系列一段磨矿采用MQCG2700×3600 格子型滚动轴承球磨机与2FG-20 高堰式双螺旋分级机组成的闭路磨矿分级流程；5 系列一段磨矿用 3245 格子型球磨机与旋流器分级组成的闭路磨矿流程</w:t>
            </w:r>
            <w:r>
              <w:rPr>
                <w:rFonts w:hint="eastAsia" w:cs="Times New Roman"/>
                <w:spacing w:val="8"/>
                <w:kern w:val="0"/>
                <w:sz w:val="21"/>
                <w:szCs w:val="21"/>
                <w:lang w:eastAsia="zh-CN"/>
              </w:rPr>
              <w:t>，</w:t>
            </w:r>
            <w:r>
              <w:rPr>
                <w:rFonts w:cs="Times New Roman"/>
                <w:spacing w:val="8"/>
                <w:kern w:val="0"/>
                <w:sz w:val="21"/>
                <w:szCs w:val="21"/>
                <w:lang w:eastAsia="zh-CN"/>
              </w:rPr>
              <w:t>二段</w:t>
            </w:r>
            <w:r>
              <w:rPr>
                <w:rFonts w:hint="eastAsia" w:cs="Times New Roman"/>
                <w:spacing w:val="8"/>
                <w:kern w:val="0"/>
                <w:sz w:val="21"/>
                <w:szCs w:val="21"/>
                <w:lang w:eastAsia="zh-CN"/>
              </w:rPr>
              <w:t>磨矿采用</w:t>
            </w:r>
            <w:r>
              <w:rPr>
                <w:rFonts w:cs="Times New Roman"/>
                <w:spacing w:val="8"/>
                <w:kern w:val="0"/>
                <w:sz w:val="21"/>
                <w:szCs w:val="21"/>
                <w:lang w:eastAsia="zh-CN"/>
              </w:rPr>
              <w:t xml:space="preserve">MQCY2700×3600 </w:t>
            </w:r>
            <w:r>
              <w:rPr>
                <w:rFonts w:hint="eastAsia" w:cs="Times New Roman"/>
                <w:spacing w:val="8"/>
                <w:kern w:val="0"/>
                <w:sz w:val="21"/>
                <w:szCs w:val="21"/>
                <w:lang w:eastAsia="zh-CN"/>
              </w:rPr>
              <w:t>溢流型滚动轴承球磨机与高频细筛组成的闭路磨矿分级流程得最终铁精矿。</w:t>
            </w:r>
            <w:r>
              <w:rPr>
                <w:rFonts w:cs="Times New Roman"/>
                <w:spacing w:val="8"/>
                <w:kern w:val="0"/>
                <w:sz w:val="21"/>
                <w:szCs w:val="21"/>
                <w:lang w:eastAsia="zh-CN"/>
              </w:rPr>
              <w:t>在磨矿工序前增加湿抛工序，同时增加磁选机、直 线筛等设备，湿抛工序位于磨选车间内</w:t>
            </w:r>
            <w:r>
              <w:rPr>
                <w:rFonts w:hint="eastAsia" w:cs="Times New Roman"/>
                <w:spacing w:val="8"/>
                <w:kern w:val="0"/>
                <w:sz w:val="21"/>
                <w:szCs w:val="21"/>
                <w:lang w:eastAsia="zh-CN"/>
              </w:rPr>
              <w:t>。</w:t>
            </w:r>
            <w:r>
              <w:rPr>
                <w:rFonts w:cs="Times New Roman"/>
                <w:spacing w:val="8"/>
                <w:kern w:val="0"/>
                <w:sz w:val="21"/>
                <w:szCs w:val="21"/>
                <w:lang w:eastAsia="zh-CN"/>
              </w:rPr>
              <w:t>使得尾砂产量减少，减小了尾砂对环境的影响，同时降低了后续磨选工序的压力。</w:t>
            </w:r>
          </w:p>
        </w:tc>
        <w:tc>
          <w:tcPr>
            <w:tcW w:w="1626" w:type="pct"/>
            <w:vAlign w:val="center"/>
          </w:tcPr>
          <w:p w14:paraId="406D87F9">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增加湿抛工序</w:t>
            </w:r>
          </w:p>
        </w:tc>
        <w:tc>
          <w:tcPr>
            <w:tcW w:w="683" w:type="pct"/>
            <w:vAlign w:val="center"/>
          </w:tcPr>
          <w:p w14:paraId="69030D52">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选矿工艺优化</w:t>
            </w:r>
          </w:p>
        </w:tc>
      </w:tr>
      <w:tr w14:paraId="1037D6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50CDB6B9">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7EE7BF6E">
            <w:pPr>
              <w:autoSpaceDE w:val="0"/>
              <w:autoSpaceDN w:val="0"/>
              <w:adjustRightInd w:val="0"/>
              <w:spacing w:before="116" w:line="240" w:lineRule="auto"/>
              <w:ind w:firstLine="0" w:firstLineChars="0"/>
              <w:jc w:val="center"/>
              <w:rPr>
                <w:rFonts w:hint="eastAsia" w:ascii="宋体" w:hAnsi="宋体" w:cs="宋体"/>
                <w:spacing w:val="3"/>
                <w:kern w:val="0"/>
                <w:sz w:val="21"/>
                <w:szCs w:val="21"/>
                <w:lang w:eastAsia="en-US"/>
              </w:rPr>
            </w:pPr>
            <w:r>
              <w:rPr>
                <w:rFonts w:ascii="宋体" w:hAnsi="宋体" w:cs="宋体"/>
                <w:spacing w:val="3"/>
                <w:kern w:val="0"/>
                <w:sz w:val="21"/>
                <w:szCs w:val="21"/>
                <w:lang w:eastAsia="en-US"/>
              </w:rPr>
              <w:t>选矿厂尾矿输送</w:t>
            </w:r>
          </w:p>
        </w:tc>
        <w:tc>
          <w:tcPr>
            <w:tcW w:w="2235" w:type="pct"/>
            <w:vAlign w:val="center"/>
          </w:tcPr>
          <w:p w14:paraId="1BA7D234">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草楼铁矿</w:t>
            </w:r>
            <w:r>
              <w:rPr>
                <w:rFonts w:hint="eastAsia" w:cs="Times New Roman"/>
                <w:spacing w:val="8"/>
                <w:kern w:val="0"/>
                <w:sz w:val="21"/>
                <w:szCs w:val="21"/>
                <w:lang w:eastAsia="zh-CN"/>
              </w:rPr>
              <w:t>原</w:t>
            </w:r>
            <w:r>
              <w:rPr>
                <w:rFonts w:cs="Times New Roman"/>
                <w:spacing w:val="8"/>
                <w:kern w:val="0"/>
                <w:sz w:val="21"/>
                <w:szCs w:val="21"/>
                <w:lang w:eastAsia="zh-CN"/>
              </w:rPr>
              <w:t xml:space="preserve">尾矿压滤停用，尾矿经浓密机浓缩后通过管道输送至充填站， </w:t>
            </w:r>
            <w:r>
              <w:rPr>
                <w:rFonts w:hint="eastAsia" w:cs="Times New Roman"/>
                <w:spacing w:val="8"/>
                <w:kern w:val="0"/>
                <w:sz w:val="21"/>
                <w:szCs w:val="21"/>
                <w:lang w:eastAsia="zh-CN"/>
              </w:rPr>
              <w:t>优先</w:t>
            </w:r>
            <w:r>
              <w:rPr>
                <w:rFonts w:cs="Times New Roman"/>
                <w:spacing w:val="8"/>
                <w:kern w:val="0"/>
                <w:sz w:val="21"/>
                <w:szCs w:val="21"/>
                <w:lang w:eastAsia="zh-CN"/>
              </w:rPr>
              <w:t>全部入井下充填，</w:t>
            </w:r>
            <w:r>
              <w:rPr>
                <w:rFonts w:hint="eastAsia" w:cs="Times New Roman"/>
                <w:spacing w:val="8"/>
                <w:kern w:val="0"/>
                <w:sz w:val="21"/>
                <w:szCs w:val="21"/>
                <w:lang w:eastAsia="zh-CN"/>
              </w:rPr>
              <w:t>多余</w:t>
            </w:r>
            <w:r>
              <w:rPr>
                <w:rFonts w:cs="Times New Roman"/>
                <w:spacing w:val="8"/>
                <w:kern w:val="0"/>
                <w:sz w:val="21"/>
                <w:szCs w:val="21"/>
                <w:lang w:eastAsia="zh-CN"/>
              </w:rPr>
              <w:t>尾砂排放到尾矿库</w:t>
            </w:r>
            <w:r>
              <w:rPr>
                <w:rFonts w:hint="eastAsia" w:cs="Times New Roman"/>
                <w:spacing w:val="8"/>
                <w:kern w:val="0"/>
                <w:sz w:val="21"/>
                <w:szCs w:val="21"/>
                <w:lang w:eastAsia="zh-CN"/>
              </w:rPr>
              <w:t>。</w:t>
            </w:r>
            <w:r>
              <w:rPr>
                <w:rFonts w:cs="Times New Roman"/>
                <w:spacing w:val="8"/>
                <w:kern w:val="0"/>
                <w:sz w:val="21"/>
                <w:szCs w:val="21"/>
                <w:lang w:eastAsia="zh-CN"/>
              </w:rPr>
              <w:t>尾矿输送管线长约 1km，管道采用高分子管，将尾砂直接输送至尾矿库</w:t>
            </w:r>
          </w:p>
        </w:tc>
        <w:tc>
          <w:tcPr>
            <w:tcW w:w="1626" w:type="pct"/>
            <w:vAlign w:val="center"/>
          </w:tcPr>
          <w:p w14:paraId="1B00AD3B">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尾矿压滤停用，尾矿 经浓密机浓缩后通过 管道输送至充填站， 全部入井下充填，仅 发生应急故障时少量尾砂排放到尾矿库，其他不变。</w:t>
            </w:r>
          </w:p>
        </w:tc>
        <w:tc>
          <w:tcPr>
            <w:tcW w:w="683" w:type="pct"/>
            <w:vAlign w:val="center"/>
          </w:tcPr>
          <w:p w14:paraId="18371E7A">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压滤工序停用，尾矿全部用于井下充填，发生应急故障时，少量尾砂排入尾矿库</w:t>
            </w:r>
          </w:p>
        </w:tc>
      </w:tr>
      <w:tr w14:paraId="385ADE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492AF782">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10660820">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尾矿库</w:t>
            </w:r>
          </w:p>
        </w:tc>
        <w:tc>
          <w:tcPr>
            <w:tcW w:w="2235" w:type="pct"/>
            <w:vAlign w:val="center"/>
          </w:tcPr>
          <w:p w14:paraId="35527B8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利用现有前楼尾矿库</w:t>
            </w:r>
            <w:r>
              <w:rPr>
                <w:rFonts w:hint="eastAsia" w:cs="Times New Roman"/>
                <w:spacing w:val="8"/>
                <w:kern w:val="0"/>
                <w:sz w:val="21"/>
                <w:szCs w:val="21"/>
                <w:lang w:eastAsia="zh-CN"/>
              </w:rPr>
              <w:t>，环境防护距离5</w:t>
            </w:r>
            <w:r>
              <w:rPr>
                <w:rFonts w:cs="Times New Roman"/>
                <w:spacing w:val="8"/>
                <w:kern w:val="0"/>
                <w:sz w:val="21"/>
                <w:szCs w:val="21"/>
                <w:lang w:eastAsia="zh-CN"/>
              </w:rPr>
              <w:t>00m</w:t>
            </w:r>
            <w:r>
              <w:rPr>
                <w:rFonts w:hint="eastAsia" w:cs="Times New Roman"/>
                <w:spacing w:val="8"/>
                <w:kern w:val="0"/>
                <w:sz w:val="21"/>
                <w:szCs w:val="21"/>
                <w:lang w:eastAsia="zh-CN"/>
              </w:rPr>
              <w:t>。</w:t>
            </w:r>
          </w:p>
        </w:tc>
        <w:tc>
          <w:tcPr>
            <w:tcW w:w="1626" w:type="pct"/>
            <w:vAlign w:val="center"/>
          </w:tcPr>
          <w:p w14:paraId="6D719447">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28F5146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2115D9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restart"/>
            <w:vAlign w:val="center"/>
          </w:tcPr>
          <w:p w14:paraId="11229E71">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hint="eastAsia" w:ascii="Calibri" w:hAnsi="Calibri" w:cs="Calibri"/>
                <w:b/>
                <w:kern w:val="0"/>
                <w:sz w:val="21"/>
                <w:szCs w:val="21"/>
                <w:lang w:eastAsia="en-US"/>
              </w:rPr>
              <w:t>公辅工程</w:t>
            </w:r>
          </w:p>
        </w:tc>
        <w:tc>
          <w:tcPr>
            <w:tcW w:w="345" w:type="pct"/>
            <w:vAlign w:val="center"/>
          </w:tcPr>
          <w:p w14:paraId="78251676">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供水系统</w:t>
            </w:r>
          </w:p>
        </w:tc>
        <w:tc>
          <w:tcPr>
            <w:tcW w:w="2235" w:type="pct"/>
            <w:vAlign w:val="center"/>
          </w:tcPr>
          <w:p w14:paraId="41DB9CA9">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生产新水用水水源为沿岗河取水，</w:t>
            </w:r>
            <w:r>
              <w:rPr>
                <w:rFonts w:hint="eastAsia" w:cs="Times New Roman"/>
                <w:spacing w:val="8"/>
                <w:kern w:val="0"/>
                <w:sz w:val="21"/>
                <w:szCs w:val="21"/>
                <w:lang w:eastAsia="zh-CN"/>
              </w:rPr>
              <w:t>循环水</w:t>
            </w:r>
            <w:r>
              <w:rPr>
                <w:rFonts w:cs="Times New Roman"/>
                <w:spacing w:val="8"/>
                <w:kern w:val="0"/>
                <w:sz w:val="21"/>
                <w:szCs w:val="21"/>
                <w:lang w:eastAsia="zh-CN"/>
              </w:rPr>
              <w:t>由万吨水池供给。</w:t>
            </w:r>
            <w:r>
              <w:rPr>
                <w:rFonts w:ascii="宋体" w:hAnsi="宋体" w:cs="宋体"/>
                <w:spacing w:val="9"/>
                <w:kern w:val="0"/>
                <w:sz w:val="20"/>
                <w:szCs w:val="20"/>
                <w:lang w:eastAsia="zh-CN"/>
              </w:rPr>
              <w:t>生活用水部分取</w:t>
            </w:r>
            <w:r>
              <w:rPr>
                <w:rFonts w:ascii="宋体" w:hAnsi="宋体" w:cs="宋体"/>
                <w:spacing w:val="8"/>
                <w:kern w:val="0"/>
                <w:sz w:val="20"/>
                <w:szCs w:val="20"/>
                <w:lang w:eastAsia="zh-CN"/>
              </w:rPr>
              <w:t>自厂</w:t>
            </w:r>
            <w:r>
              <w:rPr>
                <w:rFonts w:ascii="宋体" w:hAnsi="宋体" w:cs="宋体"/>
                <w:kern w:val="0"/>
                <w:sz w:val="20"/>
                <w:szCs w:val="20"/>
                <w:lang w:eastAsia="zh-CN"/>
              </w:rPr>
              <w:t xml:space="preserve"> </w:t>
            </w:r>
            <w:r>
              <w:rPr>
                <w:rFonts w:ascii="宋体" w:hAnsi="宋体" w:cs="宋体"/>
                <w:spacing w:val="9"/>
                <w:kern w:val="0"/>
                <w:sz w:val="20"/>
                <w:szCs w:val="20"/>
                <w:lang w:eastAsia="zh-CN"/>
              </w:rPr>
              <w:t>区水源井地</w:t>
            </w:r>
            <w:r>
              <w:rPr>
                <w:rFonts w:ascii="宋体" w:hAnsi="宋体" w:cs="宋体"/>
                <w:spacing w:val="8"/>
                <w:kern w:val="0"/>
                <w:sz w:val="20"/>
                <w:szCs w:val="20"/>
                <w:lang w:eastAsia="zh-CN"/>
              </w:rPr>
              <w:t>下水</w:t>
            </w:r>
            <w:r>
              <w:rPr>
                <w:rFonts w:ascii="宋体" w:hAnsi="宋体" w:cs="宋体"/>
                <w:spacing w:val="9"/>
                <w:kern w:val="0"/>
                <w:sz w:val="20"/>
                <w:szCs w:val="20"/>
                <w:lang w:eastAsia="zh-CN"/>
              </w:rPr>
              <w:t>，</w:t>
            </w:r>
            <w:r>
              <w:rPr>
                <w:rFonts w:ascii="宋体" w:hAnsi="宋体" w:cs="宋体"/>
                <w:spacing w:val="8"/>
                <w:kern w:val="0"/>
                <w:sz w:val="20"/>
                <w:szCs w:val="20"/>
                <w:lang w:eastAsia="zh-CN"/>
              </w:rPr>
              <w:t>部</w:t>
            </w:r>
            <w:r>
              <w:rPr>
                <w:rFonts w:ascii="宋体" w:hAnsi="宋体" w:cs="宋体"/>
                <w:spacing w:val="9"/>
                <w:kern w:val="0"/>
                <w:sz w:val="20"/>
                <w:szCs w:val="20"/>
                <w:lang w:eastAsia="zh-CN"/>
              </w:rPr>
              <w:t>分来自市政管</w:t>
            </w:r>
            <w:r>
              <w:rPr>
                <w:rFonts w:ascii="宋体" w:hAnsi="宋体" w:cs="宋体"/>
                <w:spacing w:val="8"/>
                <w:kern w:val="0"/>
                <w:sz w:val="20"/>
                <w:szCs w:val="20"/>
                <w:lang w:eastAsia="zh-CN"/>
              </w:rPr>
              <w:t>网供水</w:t>
            </w:r>
            <w:r>
              <w:rPr>
                <w:rFonts w:cs="Times New Roman"/>
                <w:spacing w:val="8"/>
                <w:kern w:val="0"/>
                <w:sz w:val="21"/>
                <w:szCs w:val="21"/>
                <w:lang w:eastAsia="zh-CN"/>
              </w:rPr>
              <w:t>。</w:t>
            </w:r>
          </w:p>
        </w:tc>
        <w:tc>
          <w:tcPr>
            <w:tcW w:w="1626" w:type="pct"/>
            <w:vAlign w:val="center"/>
          </w:tcPr>
          <w:p w14:paraId="24DD67E4">
            <w:pPr>
              <w:spacing w:before="72" w:line="190" w:lineRule="auto"/>
              <w:ind w:hanging="8" w:firstLineChars="0"/>
              <w:jc w:val="center"/>
              <w:rPr>
                <w:rFonts w:cs="Times New Roman"/>
                <w:spacing w:val="8"/>
                <w:kern w:val="0"/>
                <w:sz w:val="21"/>
                <w:szCs w:val="21"/>
                <w:lang w:eastAsia="zh-CN"/>
              </w:rPr>
            </w:pPr>
            <w:r>
              <w:rPr>
                <w:rFonts w:ascii="宋体" w:hAnsi="宋体" w:cs="宋体"/>
                <w:spacing w:val="9"/>
                <w:kern w:val="0"/>
                <w:sz w:val="20"/>
                <w:szCs w:val="20"/>
                <w:lang w:eastAsia="en-US"/>
              </w:rPr>
              <w:t>与</w:t>
            </w:r>
            <w:r>
              <w:rPr>
                <w:rFonts w:ascii="宋体" w:hAnsi="宋体" w:cs="宋体"/>
                <w:spacing w:val="8"/>
                <w:kern w:val="0"/>
                <w:sz w:val="20"/>
                <w:szCs w:val="20"/>
                <w:lang w:eastAsia="en-US"/>
              </w:rPr>
              <w:t>环评及验收一致</w:t>
            </w:r>
          </w:p>
        </w:tc>
        <w:tc>
          <w:tcPr>
            <w:tcW w:w="683" w:type="pct"/>
            <w:vAlign w:val="center"/>
          </w:tcPr>
          <w:p w14:paraId="48F47A22">
            <w:pPr>
              <w:spacing w:before="72" w:line="190" w:lineRule="auto"/>
              <w:ind w:hanging="8" w:firstLineChars="0"/>
              <w:jc w:val="center"/>
              <w:rPr>
                <w:rFonts w:cs="Times New Roman"/>
                <w:spacing w:val="8"/>
                <w:kern w:val="0"/>
                <w:sz w:val="21"/>
                <w:szCs w:val="21"/>
                <w:lang w:eastAsia="zh-CN"/>
              </w:rPr>
            </w:pPr>
            <w:r>
              <w:rPr>
                <w:rFonts w:ascii="宋体" w:hAnsi="宋体" w:cs="宋体"/>
                <w:spacing w:val="7"/>
                <w:kern w:val="0"/>
                <w:sz w:val="20"/>
                <w:szCs w:val="20"/>
                <w:lang w:eastAsia="en-US"/>
              </w:rPr>
              <w:t>无</w:t>
            </w:r>
            <w:r>
              <w:rPr>
                <w:rFonts w:ascii="宋体" w:hAnsi="宋体" w:cs="宋体"/>
                <w:spacing w:val="6"/>
                <w:kern w:val="0"/>
                <w:sz w:val="20"/>
                <w:szCs w:val="20"/>
                <w:lang w:eastAsia="en-US"/>
              </w:rPr>
              <w:t>变化</w:t>
            </w:r>
          </w:p>
        </w:tc>
      </w:tr>
      <w:tr w14:paraId="6D952A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5E4723F3">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6A3B108B">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排水系统</w:t>
            </w:r>
          </w:p>
        </w:tc>
        <w:tc>
          <w:tcPr>
            <w:tcW w:w="2235" w:type="pct"/>
            <w:vAlign w:val="center"/>
          </w:tcPr>
          <w:p w14:paraId="76F69A94">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全厂实行雨污分</w:t>
            </w:r>
            <w:r>
              <w:rPr>
                <w:rFonts w:hint="eastAsia" w:cs="Times New Roman"/>
                <w:spacing w:val="8"/>
                <w:kern w:val="0"/>
                <w:sz w:val="21"/>
                <w:szCs w:val="21"/>
                <w:lang w:eastAsia="zh-CN"/>
              </w:rPr>
              <w:t>流</w:t>
            </w:r>
            <w:r>
              <w:rPr>
                <w:rFonts w:cs="Times New Roman"/>
                <w:spacing w:val="8"/>
                <w:kern w:val="0"/>
                <w:sz w:val="21"/>
                <w:szCs w:val="21"/>
                <w:lang w:eastAsia="zh-CN"/>
              </w:rPr>
              <w:t>。矿井采用集中排水，在-290m 中段泵房附近设-500m</w:t>
            </w:r>
            <w:r>
              <w:rPr>
                <w:rFonts w:cs="Times New Roman"/>
                <w:spacing w:val="8"/>
                <w:kern w:val="0"/>
                <w:sz w:val="21"/>
                <w:szCs w:val="21"/>
                <w:vertAlign w:val="superscript"/>
                <w:lang w:eastAsia="zh-CN"/>
              </w:rPr>
              <w:t>3</w:t>
            </w:r>
            <w:r>
              <w:rPr>
                <w:rFonts w:cs="Times New Roman"/>
                <w:spacing w:val="8"/>
                <w:kern w:val="0"/>
                <w:sz w:val="21"/>
                <w:szCs w:val="21"/>
                <w:lang w:eastAsia="zh-CN"/>
              </w:rPr>
              <w:t xml:space="preserve"> 水仓</w:t>
            </w:r>
            <w:r>
              <w:rPr>
                <w:rFonts w:hint="eastAsia" w:cs="Times New Roman"/>
                <w:spacing w:val="8"/>
                <w:kern w:val="0"/>
                <w:sz w:val="21"/>
                <w:szCs w:val="21"/>
                <w:lang w:eastAsia="zh-CN"/>
              </w:rPr>
              <w:t>，将</w:t>
            </w:r>
            <w:r>
              <w:rPr>
                <w:rFonts w:cs="Times New Roman"/>
                <w:spacing w:val="8"/>
                <w:kern w:val="0"/>
                <w:sz w:val="21"/>
                <w:szCs w:val="21"/>
                <w:lang w:eastAsia="zh-CN"/>
              </w:rPr>
              <w:t>矿井涌水排至地表</w:t>
            </w:r>
            <w:r>
              <w:rPr>
                <w:rFonts w:hint="eastAsia" w:cs="Times New Roman"/>
                <w:spacing w:val="8"/>
                <w:kern w:val="0"/>
                <w:sz w:val="21"/>
                <w:szCs w:val="21"/>
                <w:lang w:eastAsia="zh-CN"/>
              </w:rPr>
              <w:t>万吨水池；办公区</w:t>
            </w:r>
            <w:r>
              <w:rPr>
                <w:rFonts w:ascii="Calibri" w:hAnsi="Calibri" w:cs="Calibri"/>
                <w:kern w:val="0"/>
                <w:sz w:val="21"/>
                <w:szCs w:val="24"/>
                <w:lang w:eastAsia="zh-CN"/>
              </w:rPr>
              <w:t>生活污水在经隔油池、化粪池初步处理后送万吨水池，重复利用</w:t>
            </w:r>
            <w:r>
              <w:rPr>
                <w:rFonts w:hint="eastAsia" w:ascii="Calibri" w:hAnsi="Calibri" w:cs="Calibri"/>
                <w:kern w:val="0"/>
                <w:sz w:val="21"/>
                <w:szCs w:val="24"/>
                <w:lang w:eastAsia="zh-CN"/>
              </w:rPr>
              <w:t>；</w:t>
            </w:r>
            <w:r>
              <w:rPr>
                <w:rFonts w:cs="Times New Roman"/>
                <w:spacing w:val="8"/>
                <w:kern w:val="0"/>
                <w:sz w:val="21"/>
                <w:szCs w:val="21"/>
                <w:lang w:eastAsia="zh-CN"/>
              </w:rPr>
              <w:t>南、北辅井各设一套生活污水经一体化处理设施。</w:t>
            </w:r>
          </w:p>
        </w:tc>
        <w:tc>
          <w:tcPr>
            <w:tcW w:w="1626" w:type="pct"/>
            <w:vAlign w:val="center"/>
          </w:tcPr>
          <w:p w14:paraId="3474B326">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生活用水部分取自厂 区水源井地下水，部 分来自市政管网供水</w:t>
            </w:r>
          </w:p>
        </w:tc>
        <w:tc>
          <w:tcPr>
            <w:tcW w:w="683" w:type="pct"/>
            <w:vAlign w:val="center"/>
          </w:tcPr>
          <w:p w14:paraId="676273C5">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生活用水部分来自市 政管网供水</w:t>
            </w:r>
          </w:p>
        </w:tc>
      </w:tr>
      <w:tr w14:paraId="48F554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0E7F2D41">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3FF7DFAB">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供热系统</w:t>
            </w:r>
          </w:p>
        </w:tc>
        <w:tc>
          <w:tcPr>
            <w:tcW w:w="2235" w:type="pct"/>
            <w:vAlign w:val="center"/>
          </w:tcPr>
          <w:p w14:paraId="234C80C9">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生产区燃煤锅炉拆除，生活区燃煤锅炉停用并拆除，同时拆除了配套的锅炉废 气处理设施。原生活区燃煤锅炉作用是为员工生活提供热水，现生活区所用能源为空气能。</w:t>
            </w:r>
          </w:p>
        </w:tc>
        <w:tc>
          <w:tcPr>
            <w:tcW w:w="1626" w:type="pct"/>
            <w:vAlign w:val="center"/>
          </w:tcPr>
          <w:p w14:paraId="15CA3B70">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目前锅炉全部停用， 不再使用锅炉进行</w:t>
            </w:r>
            <w:r>
              <w:rPr>
                <w:rFonts w:hint="eastAsia" w:cs="Times New Roman"/>
                <w:spacing w:val="8"/>
                <w:kern w:val="0"/>
                <w:sz w:val="21"/>
                <w:szCs w:val="21"/>
                <w:lang w:eastAsia="zh-CN"/>
              </w:rPr>
              <w:t>供热</w:t>
            </w:r>
          </w:p>
        </w:tc>
        <w:tc>
          <w:tcPr>
            <w:tcW w:w="683" w:type="pct"/>
            <w:vAlign w:val="center"/>
          </w:tcPr>
          <w:p w14:paraId="712957C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燃煤锅炉停止使用</w:t>
            </w:r>
          </w:p>
        </w:tc>
      </w:tr>
      <w:tr w14:paraId="0883A1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06B56073">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7741D6BE">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供电系统</w:t>
            </w:r>
          </w:p>
        </w:tc>
        <w:tc>
          <w:tcPr>
            <w:tcW w:w="2235" w:type="pct"/>
            <w:vAlign w:val="center"/>
          </w:tcPr>
          <w:p w14:paraId="33D8355B">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北风井电源从金安矿 35KV 总降变电所供电，南风井电源从金安矿 35KV 总降变电所引来，选矿车间电源来自于现有选矿车间变电所。</w:t>
            </w:r>
            <w:r>
              <w:rPr>
                <w:rFonts w:hint="eastAsia" w:cs="Times New Roman"/>
                <w:spacing w:val="8"/>
                <w:kern w:val="0"/>
                <w:sz w:val="21"/>
                <w:szCs w:val="21"/>
                <w:lang w:eastAsia="zh-CN"/>
              </w:rPr>
              <w:t>采用</w:t>
            </w:r>
            <w:r>
              <w:rPr>
                <w:rFonts w:cs="Times New Roman"/>
                <w:spacing w:val="8"/>
                <w:kern w:val="0"/>
                <w:sz w:val="21"/>
                <w:szCs w:val="21"/>
                <w:lang w:eastAsia="zh-CN"/>
              </w:rPr>
              <w:t>一台10000KVA 变压器 。尾矿回水泵房</w:t>
            </w:r>
            <w:r>
              <w:rPr>
                <w:rFonts w:hint="eastAsia" w:cs="Times New Roman"/>
                <w:spacing w:val="8"/>
                <w:kern w:val="0"/>
                <w:sz w:val="21"/>
                <w:szCs w:val="21"/>
                <w:lang w:eastAsia="zh-CN"/>
              </w:rPr>
              <w:t>采用</w:t>
            </w:r>
            <w:r>
              <w:rPr>
                <w:rFonts w:cs="Times New Roman"/>
                <w:spacing w:val="8"/>
                <w:kern w:val="0"/>
                <w:sz w:val="21"/>
                <w:szCs w:val="21"/>
                <w:lang w:eastAsia="zh-CN"/>
              </w:rPr>
              <w:t>630kVA变压器。</w:t>
            </w:r>
          </w:p>
        </w:tc>
        <w:tc>
          <w:tcPr>
            <w:tcW w:w="1626" w:type="pct"/>
            <w:vAlign w:val="center"/>
          </w:tcPr>
          <w:p w14:paraId="4285C792">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0418AC81">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63C6D3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3CC923E3">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0B729E73">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运输系统</w:t>
            </w:r>
          </w:p>
        </w:tc>
        <w:tc>
          <w:tcPr>
            <w:tcW w:w="2235" w:type="pct"/>
            <w:vAlign w:val="center"/>
          </w:tcPr>
          <w:p w14:paraId="4735533B">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铁精矿在选矿厂产品库房运出后由汽车经尾矿库东侧的600m 厂内道路 至冯范路再到 105 国道</w:t>
            </w:r>
            <w:r>
              <w:rPr>
                <w:rFonts w:hint="eastAsia" w:cs="Times New Roman"/>
                <w:spacing w:val="8"/>
                <w:kern w:val="0"/>
                <w:sz w:val="21"/>
                <w:szCs w:val="21"/>
                <w:lang w:eastAsia="zh-CN"/>
              </w:rPr>
              <w:t>，</w:t>
            </w:r>
            <w:r>
              <w:rPr>
                <w:rFonts w:cs="Times New Roman"/>
                <w:spacing w:val="8"/>
                <w:kern w:val="0"/>
                <w:sz w:val="21"/>
                <w:szCs w:val="21"/>
                <w:lang w:eastAsia="zh-CN"/>
              </w:rPr>
              <w:t>由汽车外运。</w:t>
            </w:r>
          </w:p>
        </w:tc>
        <w:tc>
          <w:tcPr>
            <w:tcW w:w="1626" w:type="pct"/>
            <w:vAlign w:val="center"/>
          </w:tcPr>
          <w:p w14:paraId="1462712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7A7B6170">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44BC8F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5DB74EDC">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5C593865">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辅助工程</w:t>
            </w:r>
          </w:p>
        </w:tc>
        <w:tc>
          <w:tcPr>
            <w:tcW w:w="2235" w:type="pct"/>
            <w:vAlign w:val="center"/>
          </w:tcPr>
          <w:p w14:paraId="65D558C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在选厂布设电修车间</w:t>
            </w:r>
            <w:r>
              <w:rPr>
                <w:rFonts w:hint="eastAsia" w:cs="Times New Roman"/>
                <w:spacing w:val="8"/>
                <w:kern w:val="0"/>
                <w:sz w:val="21"/>
                <w:szCs w:val="21"/>
                <w:lang w:eastAsia="zh-CN"/>
              </w:rPr>
              <w:t>、</w:t>
            </w:r>
            <w:r>
              <w:rPr>
                <w:rFonts w:cs="Times New Roman"/>
                <w:spacing w:val="8"/>
                <w:kern w:val="0"/>
                <w:sz w:val="21"/>
                <w:szCs w:val="21"/>
                <w:lang w:eastAsia="zh-CN"/>
              </w:rPr>
              <w:t>机钳车间</w:t>
            </w:r>
            <w:r>
              <w:rPr>
                <w:rFonts w:hint="eastAsia" w:cs="Times New Roman"/>
                <w:spacing w:val="8"/>
                <w:kern w:val="0"/>
                <w:sz w:val="21"/>
                <w:szCs w:val="21"/>
                <w:lang w:eastAsia="zh-CN"/>
              </w:rPr>
              <w:t>、</w:t>
            </w:r>
            <w:r>
              <w:rPr>
                <w:rFonts w:cs="Times New Roman"/>
                <w:spacing w:val="8"/>
                <w:kern w:val="0"/>
                <w:sz w:val="21"/>
                <w:szCs w:val="21"/>
                <w:lang w:eastAsia="zh-CN"/>
              </w:rPr>
              <w:t>铆焊车间</w:t>
            </w:r>
            <w:r>
              <w:rPr>
                <w:rFonts w:hint="eastAsia" w:cs="Times New Roman"/>
                <w:spacing w:val="8"/>
                <w:kern w:val="0"/>
                <w:sz w:val="21"/>
                <w:szCs w:val="21"/>
                <w:lang w:eastAsia="zh-CN"/>
              </w:rPr>
              <w:t>、</w:t>
            </w:r>
            <w:r>
              <w:rPr>
                <w:rFonts w:cs="Times New Roman"/>
                <w:spacing w:val="8"/>
                <w:kern w:val="0"/>
                <w:sz w:val="21"/>
                <w:szCs w:val="21"/>
                <w:lang w:eastAsia="zh-CN"/>
              </w:rPr>
              <w:t>综合修理车间</w:t>
            </w:r>
            <w:r>
              <w:rPr>
                <w:rFonts w:hint="eastAsia" w:cs="Times New Roman"/>
                <w:spacing w:val="8"/>
                <w:kern w:val="0"/>
                <w:sz w:val="21"/>
                <w:szCs w:val="21"/>
                <w:lang w:eastAsia="zh-CN"/>
              </w:rPr>
              <w:t>、</w:t>
            </w:r>
            <w:r>
              <w:rPr>
                <w:rFonts w:cs="Times New Roman"/>
                <w:spacing w:val="8"/>
                <w:kern w:val="0"/>
                <w:sz w:val="21"/>
                <w:szCs w:val="21"/>
                <w:lang w:eastAsia="zh-CN"/>
              </w:rPr>
              <w:t>材料库、桶装油库</w:t>
            </w:r>
            <w:r>
              <w:rPr>
                <w:rFonts w:hint="eastAsia" w:cs="Times New Roman"/>
                <w:spacing w:val="8"/>
                <w:kern w:val="0"/>
                <w:sz w:val="21"/>
                <w:szCs w:val="21"/>
                <w:lang w:eastAsia="zh-CN"/>
              </w:rPr>
              <w:t>、</w:t>
            </w:r>
            <w:r>
              <w:rPr>
                <w:rFonts w:cs="Times New Roman"/>
                <w:spacing w:val="8"/>
                <w:kern w:val="0"/>
                <w:sz w:val="21"/>
                <w:szCs w:val="21"/>
                <w:lang w:eastAsia="zh-CN"/>
              </w:rPr>
              <w:t>综合仓库</w:t>
            </w:r>
            <w:r>
              <w:rPr>
                <w:rFonts w:hint="eastAsia" w:cs="Times New Roman"/>
                <w:spacing w:val="8"/>
                <w:kern w:val="0"/>
                <w:sz w:val="21"/>
                <w:szCs w:val="21"/>
                <w:lang w:eastAsia="zh-CN"/>
              </w:rPr>
              <w:t>、</w:t>
            </w:r>
            <w:r>
              <w:rPr>
                <w:rFonts w:cs="Times New Roman"/>
                <w:spacing w:val="8"/>
                <w:kern w:val="0"/>
                <w:sz w:val="21"/>
                <w:szCs w:val="21"/>
                <w:lang w:eastAsia="zh-CN"/>
              </w:rPr>
              <w:t>试验楼等矿山辅助工程。</w:t>
            </w:r>
          </w:p>
        </w:tc>
        <w:tc>
          <w:tcPr>
            <w:tcW w:w="1626" w:type="pct"/>
            <w:vAlign w:val="center"/>
          </w:tcPr>
          <w:p w14:paraId="511EFD4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7E444EFE">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6923FC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10E1E76D">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4577FDD0">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办公生活</w:t>
            </w:r>
          </w:p>
        </w:tc>
        <w:tc>
          <w:tcPr>
            <w:tcW w:w="2235" w:type="pct"/>
            <w:vAlign w:val="center"/>
          </w:tcPr>
          <w:p w14:paraId="2750FDC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生活区位于选矿厂区东侧</w:t>
            </w:r>
            <w:r>
              <w:rPr>
                <w:rFonts w:hint="eastAsia" w:cs="Times New Roman"/>
                <w:spacing w:val="8"/>
                <w:kern w:val="0"/>
                <w:sz w:val="21"/>
                <w:szCs w:val="21"/>
                <w:lang w:eastAsia="zh-CN"/>
              </w:rPr>
              <w:t>，</w:t>
            </w:r>
            <w:r>
              <w:rPr>
                <w:rFonts w:cs="Times New Roman"/>
                <w:spacing w:val="8"/>
                <w:kern w:val="0"/>
                <w:sz w:val="21"/>
                <w:szCs w:val="21"/>
                <w:lang w:eastAsia="zh-CN"/>
              </w:rPr>
              <w:t>布置有</w:t>
            </w:r>
            <w:r>
              <w:rPr>
                <w:rFonts w:hint="eastAsia" w:cs="Times New Roman"/>
                <w:spacing w:val="8"/>
                <w:kern w:val="0"/>
                <w:sz w:val="21"/>
                <w:szCs w:val="21"/>
                <w:lang w:eastAsia="zh-CN"/>
              </w:rPr>
              <w:t>：</w:t>
            </w:r>
            <w:r>
              <w:rPr>
                <w:rFonts w:cs="Times New Roman"/>
                <w:spacing w:val="8"/>
                <w:kern w:val="0"/>
                <w:sz w:val="21"/>
                <w:szCs w:val="21"/>
                <w:lang w:eastAsia="zh-CN"/>
              </w:rPr>
              <w:t>综合办公楼、宿舍 、招待所</w:t>
            </w:r>
            <w:r>
              <w:rPr>
                <w:rFonts w:hint="eastAsia" w:cs="Times New Roman"/>
                <w:spacing w:val="8"/>
                <w:kern w:val="0"/>
                <w:sz w:val="21"/>
                <w:szCs w:val="21"/>
                <w:lang w:eastAsia="zh-CN"/>
              </w:rPr>
              <w:t>、</w:t>
            </w:r>
            <w:r>
              <w:rPr>
                <w:rFonts w:cs="Times New Roman"/>
                <w:spacing w:val="8"/>
                <w:kern w:val="0"/>
                <w:sz w:val="21"/>
                <w:szCs w:val="21"/>
                <w:lang w:eastAsia="zh-CN"/>
              </w:rPr>
              <w:t>食堂等生活附属设施。</w:t>
            </w:r>
          </w:p>
        </w:tc>
        <w:tc>
          <w:tcPr>
            <w:tcW w:w="1626" w:type="pct"/>
            <w:vAlign w:val="center"/>
          </w:tcPr>
          <w:p w14:paraId="7120A2C5">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532C54B0">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5D41E2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restart"/>
            <w:vAlign w:val="center"/>
          </w:tcPr>
          <w:p w14:paraId="249D9255">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hint="eastAsia" w:ascii="Calibri" w:hAnsi="Calibri" w:cs="Calibri"/>
                <w:b/>
                <w:kern w:val="0"/>
                <w:sz w:val="21"/>
                <w:szCs w:val="21"/>
                <w:lang w:eastAsia="en-US"/>
              </w:rPr>
              <w:t>废水治理工程</w:t>
            </w:r>
          </w:p>
        </w:tc>
        <w:tc>
          <w:tcPr>
            <w:tcW w:w="345" w:type="pct"/>
            <w:vAlign w:val="center"/>
          </w:tcPr>
          <w:p w14:paraId="4C03952E">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井下涌水</w:t>
            </w:r>
          </w:p>
        </w:tc>
        <w:tc>
          <w:tcPr>
            <w:tcW w:w="2235" w:type="pct"/>
            <w:vAlign w:val="center"/>
          </w:tcPr>
          <w:p w14:paraId="407ED86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井下涌水抽排至地表万吨水池</w:t>
            </w:r>
            <w:r>
              <w:rPr>
                <w:rFonts w:hint="eastAsia" w:cs="Times New Roman"/>
                <w:spacing w:val="8"/>
                <w:kern w:val="0"/>
                <w:sz w:val="21"/>
                <w:szCs w:val="21"/>
                <w:lang w:eastAsia="zh-CN"/>
              </w:rPr>
              <w:t>，</w:t>
            </w:r>
            <w:r>
              <w:rPr>
                <w:rFonts w:cs="Times New Roman"/>
                <w:spacing w:val="8"/>
                <w:kern w:val="0"/>
                <w:sz w:val="21"/>
                <w:szCs w:val="21"/>
                <w:lang w:eastAsia="zh-CN"/>
              </w:rPr>
              <w:t>供采矿及选厂作为生产用水。</w:t>
            </w:r>
          </w:p>
        </w:tc>
        <w:tc>
          <w:tcPr>
            <w:tcW w:w="1626" w:type="pct"/>
            <w:vAlign w:val="center"/>
          </w:tcPr>
          <w:p w14:paraId="0F38357A">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7D61FC18">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1FDFA2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438EDFF8">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5B32FE17">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选厂循环水系统</w:t>
            </w:r>
          </w:p>
        </w:tc>
        <w:tc>
          <w:tcPr>
            <w:tcW w:w="2235" w:type="pct"/>
            <w:vAlign w:val="center"/>
          </w:tcPr>
          <w:p w14:paraId="4E4A9FC2">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由浊循环系统</w:t>
            </w:r>
            <w:r>
              <w:rPr>
                <w:rFonts w:hint="eastAsia" w:cs="Times New Roman"/>
                <w:spacing w:val="8"/>
                <w:kern w:val="0"/>
                <w:sz w:val="21"/>
                <w:szCs w:val="21"/>
                <w:lang w:eastAsia="zh-CN"/>
              </w:rPr>
              <w:t>、</w:t>
            </w:r>
            <w:r>
              <w:rPr>
                <w:rFonts w:cs="Times New Roman"/>
                <w:spacing w:val="8"/>
                <w:kern w:val="0"/>
                <w:sz w:val="21"/>
                <w:szCs w:val="21"/>
                <w:lang w:eastAsia="zh-CN"/>
              </w:rPr>
              <w:t>净循环系统组成</w:t>
            </w:r>
            <w:r>
              <w:rPr>
                <w:rFonts w:hint="eastAsia" w:cs="Times New Roman"/>
                <w:spacing w:val="8"/>
                <w:kern w:val="0"/>
                <w:sz w:val="21"/>
                <w:szCs w:val="21"/>
                <w:lang w:eastAsia="zh-CN"/>
              </w:rPr>
              <w:t>。</w:t>
            </w:r>
            <w:r>
              <w:rPr>
                <w:rFonts w:cs="Times New Roman"/>
                <w:spacing w:val="8"/>
                <w:kern w:val="0"/>
                <w:sz w:val="21"/>
                <w:szCs w:val="21"/>
                <w:lang w:eastAsia="zh-CN"/>
              </w:rPr>
              <w:t>设备冷却水进入净循环系统</w:t>
            </w:r>
            <w:r>
              <w:rPr>
                <w:rFonts w:hint="eastAsia" w:cs="Times New Roman"/>
                <w:spacing w:val="8"/>
                <w:kern w:val="0"/>
                <w:sz w:val="21"/>
                <w:szCs w:val="21"/>
                <w:lang w:eastAsia="zh-CN"/>
              </w:rPr>
              <w:t>。</w:t>
            </w:r>
            <w:r>
              <w:rPr>
                <w:rFonts w:cs="Times New Roman"/>
                <w:spacing w:val="8"/>
                <w:kern w:val="0"/>
                <w:sz w:val="21"/>
                <w:szCs w:val="21"/>
                <w:lang w:eastAsia="zh-CN"/>
              </w:rPr>
              <w:t>除尘废水</w:t>
            </w:r>
            <w:r>
              <w:rPr>
                <w:rFonts w:hint="eastAsia" w:cs="Times New Roman"/>
                <w:spacing w:val="8"/>
                <w:kern w:val="0"/>
                <w:sz w:val="21"/>
                <w:szCs w:val="21"/>
                <w:lang w:eastAsia="zh-CN"/>
              </w:rPr>
              <w:t>、</w:t>
            </w:r>
            <w:r>
              <w:rPr>
                <w:rFonts w:cs="Times New Roman"/>
                <w:spacing w:val="8"/>
                <w:kern w:val="0"/>
                <w:sz w:val="21"/>
                <w:szCs w:val="21"/>
                <w:lang w:eastAsia="zh-CN"/>
              </w:rPr>
              <w:t>冲洗废水等进入尾矿坝外回水池</w:t>
            </w:r>
            <w:r>
              <w:rPr>
                <w:rFonts w:hint="eastAsia" w:cs="Times New Roman"/>
                <w:spacing w:val="8"/>
                <w:kern w:val="0"/>
                <w:sz w:val="21"/>
                <w:szCs w:val="21"/>
                <w:lang w:eastAsia="zh-CN"/>
              </w:rPr>
              <w:t>，</w:t>
            </w:r>
            <w:r>
              <w:rPr>
                <w:rFonts w:cs="Times New Roman"/>
                <w:spacing w:val="8"/>
                <w:kern w:val="0"/>
                <w:sz w:val="21"/>
                <w:szCs w:val="21"/>
                <w:lang w:eastAsia="zh-CN"/>
              </w:rPr>
              <w:t xml:space="preserve"> 由泵打回选厂万吨水池</w:t>
            </w:r>
            <w:r>
              <w:rPr>
                <w:rFonts w:hint="eastAsia" w:cs="Times New Roman"/>
                <w:spacing w:val="8"/>
                <w:kern w:val="0"/>
                <w:sz w:val="21"/>
                <w:szCs w:val="21"/>
                <w:lang w:eastAsia="zh-CN"/>
              </w:rPr>
              <w:t>，</w:t>
            </w:r>
            <w:r>
              <w:rPr>
                <w:rFonts w:cs="Times New Roman"/>
                <w:spacing w:val="8"/>
                <w:kern w:val="0"/>
                <w:sz w:val="21"/>
                <w:szCs w:val="21"/>
                <w:lang w:eastAsia="zh-CN"/>
              </w:rPr>
              <w:t>供生产使用。</w:t>
            </w:r>
          </w:p>
        </w:tc>
        <w:tc>
          <w:tcPr>
            <w:tcW w:w="1626" w:type="pct"/>
            <w:vAlign w:val="center"/>
          </w:tcPr>
          <w:p w14:paraId="0A61A1C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3135C0C4">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5C0B53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61671E57">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4C03DB47">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尾矿水回用系统</w:t>
            </w:r>
          </w:p>
        </w:tc>
        <w:tc>
          <w:tcPr>
            <w:tcW w:w="2235" w:type="pct"/>
            <w:vAlign w:val="center"/>
          </w:tcPr>
          <w:p w14:paraId="4B000D4E">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尾矿库溢流水集中进入尾矿坝外回水池由泵打回选厂万吨水池，供生产使用。</w:t>
            </w:r>
          </w:p>
        </w:tc>
        <w:tc>
          <w:tcPr>
            <w:tcW w:w="1626" w:type="pct"/>
            <w:vAlign w:val="center"/>
          </w:tcPr>
          <w:p w14:paraId="0B6D1F46">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4C34362E">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1962F9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3989CB16">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7640DC96">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充填站</w:t>
            </w:r>
            <w:r>
              <w:rPr>
                <w:rFonts w:hint="eastAsia" w:cs="Times New Roman"/>
                <w:spacing w:val="8"/>
                <w:kern w:val="0"/>
                <w:sz w:val="21"/>
                <w:szCs w:val="21"/>
                <w:lang w:eastAsia="en-US"/>
              </w:rPr>
              <w:t>循</w:t>
            </w:r>
            <w:r>
              <w:rPr>
                <w:rFonts w:cs="Times New Roman"/>
                <w:spacing w:val="8"/>
                <w:kern w:val="0"/>
                <w:sz w:val="21"/>
                <w:szCs w:val="21"/>
                <w:lang w:eastAsia="en-US"/>
              </w:rPr>
              <w:t>环水系统</w:t>
            </w:r>
          </w:p>
        </w:tc>
        <w:tc>
          <w:tcPr>
            <w:tcW w:w="2235" w:type="pct"/>
            <w:vAlign w:val="center"/>
          </w:tcPr>
          <w:p w14:paraId="315B5F47">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充填站经站内水处理设施处理后送到沉淀池沉降</w:t>
            </w:r>
            <w:r>
              <w:rPr>
                <w:rFonts w:hint="eastAsia" w:cs="Times New Roman"/>
                <w:spacing w:val="8"/>
                <w:kern w:val="0"/>
                <w:sz w:val="21"/>
                <w:szCs w:val="21"/>
                <w:lang w:eastAsia="zh-CN"/>
              </w:rPr>
              <w:t>，</w:t>
            </w:r>
            <w:r>
              <w:rPr>
                <w:rFonts w:cs="Times New Roman"/>
                <w:spacing w:val="8"/>
                <w:kern w:val="0"/>
                <w:sz w:val="21"/>
                <w:szCs w:val="21"/>
                <w:lang w:eastAsia="zh-CN"/>
              </w:rPr>
              <w:t>返回选厂区万吨水池重复利用 。</w:t>
            </w:r>
          </w:p>
        </w:tc>
        <w:tc>
          <w:tcPr>
            <w:tcW w:w="1626" w:type="pct"/>
            <w:vAlign w:val="center"/>
          </w:tcPr>
          <w:p w14:paraId="0EF00A1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0D15FF9A">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2DD4E0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04FCA576">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6B644900">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生活污水处理</w:t>
            </w:r>
            <w:r>
              <w:rPr>
                <w:rFonts w:hint="eastAsia" w:cs="Times New Roman"/>
                <w:spacing w:val="8"/>
                <w:kern w:val="0"/>
                <w:sz w:val="21"/>
                <w:szCs w:val="21"/>
                <w:lang w:eastAsia="en-US"/>
              </w:rPr>
              <w:t>系统</w:t>
            </w:r>
          </w:p>
        </w:tc>
        <w:tc>
          <w:tcPr>
            <w:tcW w:w="2235" w:type="pct"/>
            <w:vAlign w:val="center"/>
          </w:tcPr>
          <w:p w14:paraId="01517A7E">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办公生活区生活污水经化粪池处理后进入一体化处理设备处理， 处理后返回选厂万吨水池</w:t>
            </w:r>
            <w:r>
              <w:rPr>
                <w:rFonts w:hint="eastAsia" w:cs="Times New Roman"/>
                <w:spacing w:val="8"/>
                <w:kern w:val="0"/>
                <w:sz w:val="21"/>
                <w:szCs w:val="21"/>
                <w:lang w:eastAsia="zh-CN"/>
              </w:rPr>
              <w:t>；</w:t>
            </w:r>
            <w:r>
              <w:rPr>
                <w:rFonts w:cs="Times New Roman"/>
                <w:spacing w:val="8"/>
                <w:kern w:val="0"/>
                <w:sz w:val="21"/>
                <w:szCs w:val="21"/>
                <w:lang w:eastAsia="zh-CN"/>
              </w:rPr>
              <w:t>南、北辅井各设一套生活污水经一体化处理设施</w:t>
            </w:r>
            <w:r>
              <w:rPr>
                <w:rFonts w:hint="eastAsia" w:cs="Times New Roman"/>
                <w:spacing w:val="8"/>
                <w:kern w:val="0"/>
                <w:sz w:val="21"/>
                <w:szCs w:val="21"/>
                <w:lang w:eastAsia="zh-CN"/>
              </w:rPr>
              <w:t>，</w:t>
            </w:r>
            <w:r>
              <w:rPr>
                <w:rFonts w:cs="Times New Roman"/>
                <w:spacing w:val="8"/>
                <w:kern w:val="0"/>
                <w:sz w:val="21"/>
                <w:szCs w:val="21"/>
                <w:lang w:eastAsia="zh-CN"/>
              </w:rPr>
              <w:t>处理后返回选厂万吨水池</w:t>
            </w:r>
            <w:r>
              <w:rPr>
                <w:rFonts w:hint="eastAsia" w:cs="Times New Roman"/>
                <w:spacing w:val="8"/>
                <w:kern w:val="0"/>
                <w:sz w:val="21"/>
                <w:szCs w:val="21"/>
                <w:lang w:eastAsia="zh-CN"/>
              </w:rPr>
              <w:t>。办公区设</w:t>
            </w:r>
            <w:r>
              <w:rPr>
                <w:rFonts w:cs="Times New Roman"/>
                <w:spacing w:val="8"/>
                <w:kern w:val="0"/>
                <w:sz w:val="21"/>
                <w:szCs w:val="21"/>
                <w:lang w:eastAsia="zh-CN"/>
              </w:rPr>
              <w:t>35m</w:t>
            </w:r>
            <w:r>
              <w:rPr>
                <w:rFonts w:cs="Times New Roman"/>
                <w:spacing w:val="8"/>
                <w:kern w:val="0"/>
                <w:sz w:val="21"/>
                <w:szCs w:val="21"/>
                <w:vertAlign w:val="superscript"/>
                <w:lang w:eastAsia="zh-CN"/>
              </w:rPr>
              <w:t>3</w:t>
            </w:r>
            <w:r>
              <w:rPr>
                <w:rFonts w:cs="Times New Roman"/>
                <w:spacing w:val="8"/>
                <w:kern w:val="0"/>
                <w:sz w:val="21"/>
                <w:szCs w:val="21"/>
                <w:lang w:eastAsia="zh-CN"/>
              </w:rPr>
              <w:t>/h 生活污水处理设施</w:t>
            </w:r>
            <w:r>
              <w:rPr>
                <w:rFonts w:hint="eastAsia" w:cs="Times New Roman"/>
                <w:spacing w:val="8"/>
                <w:kern w:val="0"/>
                <w:sz w:val="21"/>
                <w:szCs w:val="21"/>
                <w:lang w:eastAsia="zh-CN"/>
              </w:rPr>
              <w:t>，南辅助井生活区设</w:t>
            </w:r>
            <w:r>
              <w:rPr>
                <w:rFonts w:cs="Times New Roman"/>
                <w:spacing w:val="8"/>
                <w:kern w:val="0"/>
                <w:sz w:val="21"/>
                <w:szCs w:val="21"/>
                <w:lang w:eastAsia="zh-CN"/>
              </w:rPr>
              <w:t>4m</w:t>
            </w:r>
            <w:r>
              <w:rPr>
                <w:rFonts w:cs="Times New Roman"/>
                <w:spacing w:val="8"/>
                <w:kern w:val="0"/>
                <w:sz w:val="21"/>
                <w:szCs w:val="21"/>
                <w:vertAlign w:val="superscript"/>
                <w:lang w:eastAsia="zh-CN"/>
              </w:rPr>
              <w:t>3</w:t>
            </w:r>
            <w:r>
              <w:rPr>
                <w:rFonts w:cs="Times New Roman"/>
                <w:spacing w:val="8"/>
                <w:kern w:val="0"/>
                <w:sz w:val="21"/>
                <w:szCs w:val="21"/>
                <w:lang w:eastAsia="zh-CN"/>
              </w:rPr>
              <w:t>/h 生活污水处理设施</w:t>
            </w:r>
            <w:r>
              <w:rPr>
                <w:rFonts w:hint="eastAsia" w:cs="Times New Roman"/>
                <w:spacing w:val="8"/>
                <w:kern w:val="0"/>
                <w:sz w:val="21"/>
                <w:szCs w:val="21"/>
                <w:lang w:eastAsia="zh-CN"/>
              </w:rPr>
              <w:t>，北辅助井生活区设</w:t>
            </w:r>
            <w:r>
              <w:rPr>
                <w:rFonts w:cs="Times New Roman"/>
                <w:spacing w:val="8"/>
                <w:kern w:val="0"/>
                <w:sz w:val="21"/>
                <w:szCs w:val="21"/>
                <w:lang w:eastAsia="zh-CN"/>
              </w:rPr>
              <w:t>3m</w:t>
            </w:r>
            <w:r>
              <w:rPr>
                <w:rFonts w:cs="Times New Roman"/>
                <w:spacing w:val="8"/>
                <w:kern w:val="0"/>
                <w:sz w:val="21"/>
                <w:szCs w:val="21"/>
                <w:vertAlign w:val="superscript"/>
                <w:lang w:eastAsia="zh-CN"/>
              </w:rPr>
              <w:t>3</w:t>
            </w:r>
            <w:r>
              <w:rPr>
                <w:rFonts w:cs="Times New Roman"/>
                <w:spacing w:val="8"/>
                <w:kern w:val="0"/>
                <w:sz w:val="21"/>
                <w:szCs w:val="21"/>
                <w:lang w:eastAsia="zh-CN"/>
              </w:rPr>
              <w:t>/h 生活污水处理设施</w:t>
            </w:r>
          </w:p>
        </w:tc>
        <w:tc>
          <w:tcPr>
            <w:tcW w:w="1626" w:type="pct"/>
            <w:vAlign w:val="center"/>
          </w:tcPr>
          <w:p w14:paraId="28237CB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0B23036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5F1904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5AA46056">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6F10B41E">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冲洗水处理</w:t>
            </w:r>
            <w:r>
              <w:rPr>
                <w:rFonts w:hint="eastAsia" w:cs="Times New Roman"/>
                <w:spacing w:val="8"/>
                <w:kern w:val="0"/>
                <w:sz w:val="21"/>
                <w:szCs w:val="21"/>
                <w:lang w:eastAsia="en-US"/>
              </w:rPr>
              <w:t>系统</w:t>
            </w:r>
          </w:p>
        </w:tc>
        <w:tc>
          <w:tcPr>
            <w:tcW w:w="2235" w:type="pct"/>
            <w:vAlign w:val="center"/>
          </w:tcPr>
          <w:p w14:paraId="6EDAE891">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冲洗水集中进入尾矿坝外回水池</w:t>
            </w:r>
            <w:r>
              <w:rPr>
                <w:rFonts w:hint="eastAsia" w:cs="Times New Roman"/>
                <w:spacing w:val="8"/>
                <w:kern w:val="0"/>
                <w:sz w:val="21"/>
                <w:szCs w:val="21"/>
                <w:lang w:eastAsia="zh-CN"/>
              </w:rPr>
              <w:t>，</w:t>
            </w:r>
            <w:r>
              <w:rPr>
                <w:rFonts w:cs="Times New Roman"/>
                <w:spacing w:val="8"/>
                <w:kern w:val="0"/>
                <w:sz w:val="21"/>
                <w:szCs w:val="21"/>
                <w:lang w:eastAsia="zh-CN"/>
              </w:rPr>
              <w:t>由泵打回选厂万吨水池</w:t>
            </w:r>
            <w:r>
              <w:rPr>
                <w:rFonts w:hint="eastAsia" w:cs="Times New Roman"/>
                <w:spacing w:val="8"/>
                <w:kern w:val="0"/>
                <w:sz w:val="21"/>
                <w:szCs w:val="21"/>
                <w:lang w:eastAsia="zh-CN"/>
              </w:rPr>
              <w:t>，</w:t>
            </w:r>
            <w:r>
              <w:rPr>
                <w:rFonts w:cs="Times New Roman"/>
                <w:spacing w:val="8"/>
                <w:kern w:val="0"/>
                <w:sz w:val="21"/>
                <w:szCs w:val="21"/>
                <w:lang w:eastAsia="zh-CN"/>
              </w:rPr>
              <w:t>供生产使用。</w:t>
            </w:r>
          </w:p>
        </w:tc>
        <w:tc>
          <w:tcPr>
            <w:tcW w:w="1626" w:type="pct"/>
            <w:vAlign w:val="center"/>
          </w:tcPr>
          <w:p w14:paraId="4B98CB20">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目前锅炉已停用，不产生锅炉系统排污水</w:t>
            </w:r>
          </w:p>
        </w:tc>
        <w:tc>
          <w:tcPr>
            <w:tcW w:w="683" w:type="pct"/>
            <w:vAlign w:val="center"/>
          </w:tcPr>
          <w:p w14:paraId="1B0D6EE7">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不产生锅炉系统排污水</w:t>
            </w:r>
          </w:p>
        </w:tc>
      </w:tr>
      <w:tr w14:paraId="5AE8B0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restart"/>
            <w:vAlign w:val="center"/>
          </w:tcPr>
          <w:p w14:paraId="5DD54061">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hint="eastAsia" w:ascii="Calibri" w:hAnsi="Calibri" w:cs="Calibri"/>
                <w:b/>
                <w:kern w:val="0"/>
                <w:sz w:val="21"/>
                <w:szCs w:val="21"/>
                <w:lang w:eastAsia="en-US"/>
              </w:rPr>
              <w:t>废气治理工程</w:t>
            </w:r>
          </w:p>
        </w:tc>
        <w:tc>
          <w:tcPr>
            <w:tcW w:w="345" w:type="pct"/>
            <w:vAlign w:val="center"/>
          </w:tcPr>
          <w:p w14:paraId="5913B9C8">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凿岩</w:t>
            </w:r>
            <w:r>
              <w:rPr>
                <w:rFonts w:hint="eastAsia" w:cs="Times New Roman"/>
                <w:spacing w:val="8"/>
                <w:kern w:val="0"/>
                <w:sz w:val="21"/>
                <w:szCs w:val="21"/>
                <w:lang w:eastAsia="zh-CN"/>
              </w:rPr>
              <w:t>、</w:t>
            </w:r>
            <w:r>
              <w:rPr>
                <w:rFonts w:cs="Times New Roman"/>
                <w:spacing w:val="8"/>
                <w:kern w:val="0"/>
                <w:sz w:val="21"/>
                <w:szCs w:val="21"/>
                <w:lang w:eastAsia="zh-CN"/>
              </w:rPr>
              <w:t>爆破</w:t>
            </w:r>
            <w:r>
              <w:rPr>
                <w:rFonts w:hint="eastAsia" w:cs="Times New Roman"/>
                <w:spacing w:val="8"/>
                <w:kern w:val="0"/>
                <w:sz w:val="21"/>
                <w:szCs w:val="21"/>
                <w:lang w:eastAsia="zh-CN"/>
              </w:rPr>
              <w:t>、</w:t>
            </w:r>
            <w:r>
              <w:rPr>
                <w:rFonts w:cs="Times New Roman"/>
                <w:spacing w:val="8"/>
                <w:kern w:val="0"/>
                <w:sz w:val="21"/>
                <w:szCs w:val="21"/>
                <w:lang w:eastAsia="zh-CN"/>
              </w:rPr>
              <w:t>铲装、运输防尘</w:t>
            </w:r>
          </w:p>
        </w:tc>
        <w:tc>
          <w:tcPr>
            <w:tcW w:w="2235" w:type="pct"/>
            <w:vAlign w:val="center"/>
          </w:tcPr>
          <w:p w14:paraId="64CB00C0">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采用湿式作业</w:t>
            </w:r>
            <w:r>
              <w:rPr>
                <w:rFonts w:hint="eastAsia" w:cs="Times New Roman"/>
                <w:spacing w:val="8"/>
                <w:kern w:val="0"/>
                <w:sz w:val="21"/>
                <w:szCs w:val="21"/>
                <w:lang w:eastAsia="zh-CN"/>
              </w:rPr>
              <w:t>、</w:t>
            </w:r>
            <w:r>
              <w:rPr>
                <w:rFonts w:cs="Times New Roman"/>
                <w:spacing w:val="8"/>
                <w:kern w:val="0"/>
                <w:sz w:val="21"/>
                <w:szCs w:val="21"/>
                <w:lang w:eastAsia="zh-CN"/>
              </w:rPr>
              <w:t>洒水抑尘</w:t>
            </w:r>
            <w:r>
              <w:rPr>
                <w:rFonts w:hint="eastAsia" w:cs="Times New Roman"/>
                <w:spacing w:val="8"/>
                <w:kern w:val="0"/>
                <w:sz w:val="21"/>
                <w:szCs w:val="21"/>
                <w:lang w:eastAsia="zh-CN"/>
              </w:rPr>
              <w:t>、</w:t>
            </w:r>
            <w:r>
              <w:rPr>
                <w:rFonts w:cs="Times New Roman"/>
                <w:spacing w:val="8"/>
                <w:kern w:val="0"/>
                <w:sz w:val="21"/>
                <w:szCs w:val="21"/>
                <w:lang w:eastAsia="zh-CN"/>
              </w:rPr>
              <w:t>局部通风</w:t>
            </w:r>
            <w:r>
              <w:rPr>
                <w:rFonts w:hint="eastAsia" w:cs="Times New Roman"/>
                <w:spacing w:val="8"/>
                <w:kern w:val="0"/>
                <w:sz w:val="21"/>
                <w:szCs w:val="21"/>
                <w:lang w:eastAsia="zh-CN"/>
              </w:rPr>
              <w:t>、</w:t>
            </w:r>
            <w:r>
              <w:rPr>
                <w:rFonts w:cs="Times New Roman"/>
                <w:spacing w:val="8"/>
                <w:kern w:val="0"/>
                <w:sz w:val="21"/>
                <w:szCs w:val="21"/>
                <w:lang w:eastAsia="zh-CN"/>
              </w:rPr>
              <w:t>系统通风</w:t>
            </w:r>
          </w:p>
        </w:tc>
        <w:tc>
          <w:tcPr>
            <w:tcW w:w="1626" w:type="pct"/>
            <w:vAlign w:val="center"/>
          </w:tcPr>
          <w:p w14:paraId="2EA7E636">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3B13BF5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2A31A4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2BC5F86E">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64D866D4">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破碎硐室</w:t>
            </w:r>
          </w:p>
        </w:tc>
        <w:tc>
          <w:tcPr>
            <w:tcW w:w="2235" w:type="pct"/>
            <w:vAlign w:val="center"/>
          </w:tcPr>
          <w:p w14:paraId="5CEDCF2C">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北辅井-309m 破碎硐室</w:t>
            </w:r>
            <w:r>
              <w:rPr>
                <w:rFonts w:hint="eastAsia" w:cs="Times New Roman"/>
                <w:spacing w:val="8"/>
                <w:kern w:val="0"/>
                <w:sz w:val="21"/>
                <w:szCs w:val="21"/>
                <w:lang w:eastAsia="zh-CN"/>
              </w:rPr>
              <w:t>设</w:t>
            </w:r>
            <w:r>
              <w:rPr>
                <w:rFonts w:cs="Times New Roman"/>
                <w:spacing w:val="8"/>
                <w:kern w:val="0"/>
                <w:sz w:val="21"/>
                <w:szCs w:val="21"/>
                <w:lang w:eastAsia="zh-CN"/>
              </w:rPr>
              <w:t>一台卧式旋风水膜除尘器（WSA-10）；-450m 破碎硐室</w:t>
            </w:r>
            <w:r>
              <w:rPr>
                <w:rFonts w:hint="eastAsia" w:cs="Times New Roman"/>
                <w:spacing w:val="8"/>
                <w:kern w:val="0"/>
                <w:sz w:val="21"/>
                <w:szCs w:val="21"/>
                <w:lang w:eastAsia="zh-CN"/>
              </w:rPr>
              <w:t>设</w:t>
            </w:r>
            <w:r>
              <w:rPr>
                <w:rFonts w:cs="Times New Roman"/>
                <w:spacing w:val="8"/>
                <w:kern w:val="0"/>
                <w:sz w:val="21"/>
                <w:szCs w:val="21"/>
                <w:lang w:eastAsia="zh-CN"/>
              </w:rPr>
              <w:t>一台振弦洗涤除尘器（WSCII-2.0）</w:t>
            </w:r>
          </w:p>
        </w:tc>
        <w:tc>
          <w:tcPr>
            <w:tcW w:w="1626" w:type="pct"/>
            <w:vAlign w:val="center"/>
          </w:tcPr>
          <w:p w14:paraId="3CFC4A5E">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与验收一致</w:t>
            </w:r>
          </w:p>
        </w:tc>
        <w:tc>
          <w:tcPr>
            <w:tcW w:w="683" w:type="pct"/>
            <w:vAlign w:val="center"/>
          </w:tcPr>
          <w:p w14:paraId="652E4850">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0F2382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4D6D65BF">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78E530BE">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中细碎车间除尘</w:t>
            </w:r>
          </w:p>
        </w:tc>
        <w:tc>
          <w:tcPr>
            <w:tcW w:w="2235" w:type="pct"/>
            <w:vAlign w:val="center"/>
          </w:tcPr>
          <w:p w14:paraId="0B8BD97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采用一套低压脉冲长袋除尘系统，风量</w:t>
            </w:r>
            <w:r>
              <w:rPr>
                <w:rFonts w:hint="eastAsia" w:cs="Times New Roman"/>
                <w:spacing w:val="8"/>
                <w:kern w:val="0"/>
                <w:sz w:val="21"/>
                <w:szCs w:val="21"/>
                <w:lang w:eastAsia="zh-CN"/>
              </w:rPr>
              <w:t>：</w:t>
            </w:r>
            <w:r>
              <w:rPr>
                <w:rFonts w:cs="Times New Roman"/>
                <w:spacing w:val="8"/>
                <w:kern w:val="0"/>
                <w:sz w:val="21"/>
                <w:szCs w:val="21"/>
                <w:lang w:eastAsia="zh-CN"/>
              </w:rPr>
              <w:t>98000m</w:t>
            </w:r>
            <w:r>
              <w:rPr>
                <w:rFonts w:cs="Times New Roman"/>
                <w:spacing w:val="8"/>
                <w:kern w:val="0"/>
                <w:sz w:val="21"/>
                <w:szCs w:val="21"/>
                <w:vertAlign w:val="superscript"/>
                <w:lang w:eastAsia="zh-CN"/>
              </w:rPr>
              <w:t>3</w:t>
            </w:r>
            <w:r>
              <w:rPr>
                <w:rFonts w:cs="Times New Roman"/>
                <w:spacing w:val="8"/>
                <w:kern w:val="0"/>
                <w:sz w:val="21"/>
                <w:szCs w:val="21"/>
                <w:lang w:eastAsia="zh-CN"/>
              </w:rPr>
              <w:t>/h，面积2000m</w:t>
            </w:r>
            <w:r>
              <w:rPr>
                <w:rFonts w:cs="Times New Roman"/>
                <w:spacing w:val="8"/>
                <w:kern w:val="0"/>
                <w:sz w:val="21"/>
                <w:szCs w:val="21"/>
                <w:vertAlign w:val="superscript"/>
                <w:lang w:eastAsia="zh-CN"/>
              </w:rPr>
              <w:t>2</w:t>
            </w:r>
            <w:r>
              <w:rPr>
                <w:rFonts w:cs="Times New Roman"/>
                <w:spacing w:val="8"/>
                <w:kern w:val="0"/>
                <w:sz w:val="21"/>
                <w:szCs w:val="21"/>
                <w:lang w:eastAsia="zh-CN"/>
              </w:rPr>
              <w:t xml:space="preserve"> ，过滤风速：0.78m/s</w:t>
            </w:r>
          </w:p>
        </w:tc>
        <w:tc>
          <w:tcPr>
            <w:tcW w:w="1626" w:type="pct"/>
            <w:vAlign w:val="center"/>
          </w:tcPr>
          <w:p w14:paraId="4DDD2C34">
            <w:pPr>
              <w:spacing w:before="72" w:line="227" w:lineRule="auto"/>
              <w:ind w:firstLine="452"/>
              <w:rPr>
                <w:rFonts w:cs="Times New Roman"/>
                <w:spacing w:val="8"/>
                <w:kern w:val="0"/>
                <w:sz w:val="21"/>
                <w:szCs w:val="21"/>
                <w:lang w:eastAsia="zh-CN"/>
              </w:rPr>
            </w:pPr>
            <w:r>
              <w:rPr>
                <w:rFonts w:cs="Times New Roman"/>
                <w:spacing w:val="8"/>
                <w:kern w:val="0"/>
                <w:sz w:val="21"/>
                <w:szCs w:val="21"/>
                <w:lang w:eastAsia="zh-CN"/>
              </w:rPr>
              <w:t>采用一套低压脉冲长袋除尘系统，风量</w:t>
            </w:r>
            <w:r>
              <w:rPr>
                <w:rFonts w:hint="eastAsia" w:cs="Times New Roman"/>
                <w:spacing w:val="8"/>
                <w:kern w:val="0"/>
                <w:sz w:val="21"/>
                <w:szCs w:val="21"/>
                <w:lang w:eastAsia="zh-CN"/>
              </w:rPr>
              <w:t>：</w:t>
            </w:r>
            <w:r>
              <w:rPr>
                <w:rFonts w:cs="Times New Roman"/>
                <w:spacing w:val="8"/>
                <w:kern w:val="0"/>
                <w:sz w:val="21"/>
                <w:szCs w:val="21"/>
                <w:lang w:eastAsia="zh-CN"/>
              </w:rPr>
              <w:t>98000m</w:t>
            </w:r>
            <w:r>
              <w:rPr>
                <w:rFonts w:cs="Times New Roman"/>
                <w:spacing w:val="8"/>
                <w:kern w:val="0"/>
                <w:sz w:val="21"/>
                <w:szCs w:val="21"/>
                <w:vertAlign w:val="superscript"/>
                <w:lang w:eastAsia="zh-CN"/>
              </w:rPr>
              <w:t>3</w:t>
            </w:r>
            <w:r>
              <w:rPr>
                <w:rFonts w:cs="Times New Roman"/>
                <w:spacing w:val="8"/>
                <w:kern w:val="0"/>
                <w:sz w:val="21"/>
                <w:szCs w:val="21"/>
                <w:lang w:eastAsia="zh-CN"/>
              </w:rPr>
              <w:t>/h，面积2000m</w:t>
            </w:r>
            <w:r>
              <w:rPr>
                <w:rFonts w:cs="Times New Roman"/>
                <w:spacing w:val="8"/>
                <w:kern w:val="0"/>
                <w:sz w:val="21"/>
                <w:szCs w:val="21"/>
                <w:vertAlign w:val="superscript"/>
                <w:lang w:eastAsia="zh-CN"/>
              </w:rPr>
              <w:t>2</w:t>
            </w:r>
            <w:r>
              <w:rPr>
                <w:rFonts w:cs="Times New Roman"/>
                <w:spacing w:val="8"/>
                <w:kern w:val="0"/>
                <w:sz w:val="21"/>
                <w:szCs w:val="21"/>
                <w:lang w:eastAsia="zh-CN"/>
              </w:rPr>
              <w:t xml:space="preserve"> ，过滤风速：0.78m/s</w:t>
            </w:r>
          </w:p>
        </w:tc>
        <w:tc>
          <w:tcPr>
            <w:tcW w:w="683" w:type="pct"/>
            <w:vAlign w:val="center"/>
          </w:tcPr>
          <w:p w14:paraId="79E499A7">
            <w:pPr>
              <w:spacing w:before="72" w:line="190" w:lineRule="auto"/>
              <w:ind w:hanging="8" w:firstLineChars="0"/>
              <w:jc w:val="center"/>
              <w:rPr>
                <w:rFonts w:cs="Times New Roman"/>
                <w:spacing w:val="8"/>
                <w:kern w:val="0"/>
                <w:sz w:val="21"/>
                <w:szCs w:val="21"/>
                <w:lang w:eastAsia="zh-CN"/>
              </w:rPr>
            </w:pPr>
            <w:r>
              <w:rPr>
                <w:rFonts w:ascii="宋体" w:hAnsi="宋体" w:cs="宋体"/>
                <w:spacing w:val="6"/>
                <w:kern w:val="0"/>
                <w:sz w:val="20"/>
                <w:szCs w:val="20"/>
                <w:lang w:eastAsia="en-US"/>
              </w:rPr>
              <w:t>除尘系</w:t>
            </w:r>
            <w:r>
              <w:rPr>
                <w:rFonts w:ascii="宋体" w:hAnsi="宋体" w:cs="宋体"/>
                <w:spacing w:val="5"/>
                <w:kern w:val="0"/>
                <w:sz w:val="20"/>
                <w:szCs w:val="20"/>
                <w:lang w:eastAsia="en-US"/>
              </w:rPr>
              <w:t>统改</w:t>
            </w:r>
            <w:r>
              <w:rPr>
                <w:rFonts w:ascii="宋体" w:hAnsi="宋体" w:cs="宋体"/>
                <w:spacing w:val="1"/>
                <w:kern w:val="0"/>
                <w:sz w:val="20"/>
                <w:szCs w:val="20"/>
                <w:lang w:eastAsia="en-US"/>
              </w:rPr>
              <w:t>造</w:t>
            </w:r>
          </w:p>
        </w:tc>
      </w:tr>
      <w:tr w14:paraId="2F536C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6064803E">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0A98B90C">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筛分车间除尘</w:t>
            </w:r>
          </w:p>
        </w:tc>
        <w:tc>
          <w:tcPr>
            <w:tcW w:w="2235" w:type="pct"/>
            <w:vAlign w:val="center"/>
          </w:tcPr>
          <w:p w14:paraId="1FFFB1C4">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采用一套低压脉冲长袋除尘系统，风量：150000m</w:t>
            </w:r>
            <w:r>
              <w:rPr>
                <w:rFonts w:cs="Times New Roman"/>
                <w:spacing w:val="8"/>
                <w:kern w:val="0"/>
                <w:sz w:val="21"/>
                <w:szCs w:val="21"/>
                <w:vertAlign w:val="superscript"/>
                <w:lang w:eastAsia="zh-CN"/>
              </w:rPr>
              <w:t>3</w:t>
            </w:r>
            <w:r>
              <w:rPr>
                <w:rFonts w:cs="Times New Roman"/>
                <w:spacing w:val="8"/>
                <w:kern w:val="0"/>
                <w:sz w:val="21"/>
                <w:szCs w:val="21"/>
                <w:lang w:eastAsia="zh-CN"/>
              </w:rPr>
              <w:t>/h，面积3600m</w:t>
            </w:r>
            <w:r>
              <w:rPr>
                <w:rFonts w:cs="Times New Roman"/>
                <w:spacing w:val="8"/>
                <w:kern w:val="0"/>
                <w:sz w:val="21"/>
                <w:szCs w:val="21"/>
                <w:vertAlign w:val="superscript"/>
                <w:lang w:eastAsia="zh-CN"/>
              </w:rPr>
              <w:t>2</w:t>
            </w:r>
            <w:r>
              <w:rPr>
                <w:rFonts w:cs="Times New Roman"/>
                <w:spacing w:val="8"/>
                <w:kern w:val="0"/>
                <w:sz w:val="21"/>
                <w:szCs w:val="21"/>
                <w:lang w:eastAsia="zh-CN"/>
              </w:rPr>
              <w:t xml:space="preserve"> ，过滤风速：0.78m/s</w:t>
            </w:r>
          </w:p>
        </w:tc>
        <w:tc>
          <w:tcPr>
            <w:tcW w:w="1626" w:type="pct"/>
            <w:vAlign w:val="center"/>
          </w:tcPr>
          <w:p w14:paraId="421E37DD">
            <w:pPr>
              <w:spacing w:before="74" w:line="227" w:lineRule="auto"/>
              <w:ind w:firstLine="452"/>
              <w:rPr>
                <w:rFonts w:cs="Times New Roman"/>
                <w:spacing w:val="8"/>
                <w:kern w:val="0"/>
                <w:sz w:val="21"/>
                <w:szCs w:val="21"/>
                <w:lang w:eastAsia="zh-CN"/>
              </w:rPr>
            </w:pPr>
            <w:r>
              <w:rPr>
                <w:rFonts w:cs="Times New Roman"/>
                <w:spacing w:val="8"/>
                <w:kern w:val="0"/>
                <w:sz w:val="21"/>
                <w:szCs w:val="21"/>
                <w:lang w:eastAsia="zh-CN"/>
              </w:rPr>
              <w:t>采用一套低压脉冲长袋除尘系统，风量：150000m</w:t>
            </w:r>
            <w:r>
              <w:rPr>
                <w:rFonts w:cs="Times New Roman"/>
                <w:spacing w:val="8"/>
                <w:kern w:val="0"/>
                <w:sz w:val="21"/>
                <w:szCs w:val="21"/>
                <w:vertAlign w:val="superscript"/>
                <w:lang w:eastAsia="zh-CN"/>
              </w:rPr>
              <w:t>3</w:t>
            </w:r>
            <w:r>
              <w:rPr>
                <w:rFonts w:cs="Times New Roman"/>
                <w:spacing w:val="8"/>
                <w:kern w:val="0"/>
                <w:sz w:val="21"/>
                <w:szCs w:val="21"/>
                <w:lang w:eastAsia="zh-CN"/>
              </w:rPr>
              <w:t>/h，面积3600m</w:t>
            </w:r>
            <w:r>
              <w:rPr>
                <w:rFonts w:cs="Times New Roman"/>
                <w:spacing w:val="8"/>
                <w:kern w:val="0"/>
                <w:sz w:val="21"/>
                <w:szCs w:val="21"/>
                <w:vertAlign w:val="superscript"/>
                <w:lang w:eastAsia="zh-CN"/>
              </w:rPr>
              <w:t>2</w:t>
            </w:r>
            <w:r>
              <w:rPr>
                <w:rFonts w:cs="Times New Roman"/>
                <w:spacing w:val="8"/>
                <w:kern w:val="0"/>
                <w:sz w:val="21"/>
                <w:szCs w:val="21"/>
                <w:lang w:eastAsia="zh-CN"/>
              </w:rPr>
              <w:t xml:space="preserve"> ，过滤风速：0.78m/s</w:t>
            </w:r>
          </w:p>
        </w:tc>
        <w:tc>
          <w:tcPr>
            <w:tcW w:w="683" w:type="pct"/>
            <w:vAlign w:val="center"/>
          </w:tcPr>
          <w:p w14:paraId="3C1759FC">
            <w:pPr>
              <w:spacing w:before="72" w:line="190" w:lineRule="auto"/>
              <w:ind w:hanging="8" w:firstLineChars="0"/>
              <w:jc w:val="center"/>
              <w:rPr>
                <w:rFonts w:cs="Times New Roman"/>
                <w:spacing w:val="8"/>
                <w:kern w:val="0"/>
                <w:sz w:val="21"/>
                <w:szCs w:val="21"/>
                <w:lang w:eastAsia="zh-CN"/>
              </w:rPr>
            </w:pPr>
            <w:r>
              <w:rPr>
                <w:rFonts w:ascii="宋体" w:hAnsi="宋体" w:cs="宋体"/>
                <w:spacing w:val="6"/>
                <w:kern w:val="0"/>
                <w:sz w:val="20"/>
                <w:szCs w:val="20"/>
                <w:lang w:eastAsia="en-US"/>
              </w:rPr>
              <w:t>除尘系</w:t>
            </w:r>
            <w:r>
              <w:rPr>
                <w:rFonts w:ascii="宋体" w:hAnsi="宋体" w:cs="宋体"/>
                <w:spacing w:val="5"/>
                <w:kern w:val="0"/>
                <w:sz w:val="20"/>
                <w:szCs w:val="20"/>
                <w:lang w:eastAsia="en-US"/>
              </w:rPr>
              <w:t>统改</w:t>
            </w:r>
            <w:r>
              <w:rPr>
                <w:rFonts w:ascii="宋体" w:hAnsi="宋体" w:cs="宋体"/>
                <w:spacing w:val="1"/>
                <w:kern w:val="0"/>
                <w:sz w:val="20"/>
                <w:szCs w:val="20"/>
                <w:lang w:eastAsia="en-US"/>
              </w:rPr>
              <w:t>造</w:t>
            </w:r>
          </w:p>
        </w:tc>
      </w:tr>
      <w:tr w14:paraId="470257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2E7E9162">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489C1B77">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筛分料仓及可逆皮带、主厂房料仓皮带、主厂房球磨机给料皮带、皮带受料点、3#皮带转运站</w:t>
            </w:r>
          </w:p>
        </w:tc>
        <w:tc>
          <w:tcPr>
            <w:tcW w:w="2235" w:type="pct"/>
            <w:vAlign w:val="center"/>
          </w:tcPr>
          <w:p w14:paraId="27D68D48">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1#皮带除尘系统：低压脉冲布袋除尘器，风量 17000m</w:t>
            </w:r>
            <w:r>
              <w:rPr>
                <w:rFonts w:cs="Times New Roman"/>
                <w:spacing w:val="8"/>
                <w:kern w:val="0"/>
                <w:sz w:val="21"/>
                <w:szCs w:val="21"/>
                <w:vertAlign w:val="superscript"/>
                <w:lang w:eastAsia="zh-CN"/>
              </w:rPr>
              <w:t>3</w:t>
            </w:r>
            <w:r>
              <w:rPr>
                <w:rFonts w:cs="Times New Roman"/>
                <w:spacing w:val="8"/>
                <w:kern w:val="0"/>
                <w:sz w:val="21"/>
                <w:szCs w:val="21"/>
                <w:lang w:eastAsia="zh-CN"/>
              </w:rPr>
              <w:t>/h，面积150m</w:t>
            </w:r>
            <w:r>
              <w:rPr>
                <w:rFonts w:cs="Times New Roman"/>
                <w:spacing w:val="8"/>
                <w:kern w:val="0"/>
                <w:sz w:val="21"/>
                <w:szCs w:val="21"/>
                <w:vertAlign w:val="superscript"/>
                <w:lang w:eastAsia="zh-CN"/>
              </w:rPr>
              <w:t>2</w:t>
            </w:r>
            <w:r>
              <w:rPr>
                <w:rFonts w:cs="Times New Roman"/>
                <w:spacing w:val="8"/>
                <w:kern w:val="0"/>
                <w:sz w:val="21"/>
                <w:szCs w:val="21"/>
                <w:lang w:eastAsia="zh-CN"/>
              </w:rPr>
              <w:t xml:space="preserve"> ，过滤风速1.1m/s；</w:t>
            </w:r>
          </w:p>
          <w:p w14:paraId="6CF6CFF5">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8#、9#皮带除尘系统：各采用一台低压脉冲布袋除尘器，风量 8000m</w:t>
            </w:r>
            <w:r>
              <w:rPr>
                <w:rFonts w:cs="Times New Roman"/>
                <w:spacing w:val="8"/>
                <w:kern w:val="0"/>
                <w:sz w:val="21"/>
                <w:szCs w:val="21"/>
                <w:vertAlign w:val="superscript"/>
                <w:lang w:eastAsia="zh-CN"/>
              </w:rPr>
              <w:t>3</w:t>
            </w:r>
            <w:r>
              <w:rPr>
                <w:rFonts w:cs="Times New Roman"/>
                <w:spacing w:val="8"/>
                <w:kern w:val="0"/>
                <w:sz w:val="21"/>
                <w:szCs w:val="21"/>
                <w:lang w:eastAsia="zh-CN"/>
              </w:rPr>
              <w:t>/h， 面积 120m</w:t>
            </w:r>
            <w:r>
              <w:rPr>
                <w:rFonts w:cs="Times New Roman"/>
                <w:spacing w:val="8"/>
                <w:kern w:val="0"/>
                <w:sz w:val="21"/>
                <w:szCs w:val="21"/>
                <w:vertAlign w:val="superscript"/>
                <w:lang w:eastAsia="zh-CN"/>
              </w:rPr>
              <w:t>2</w:t>
            </w:r>
            <w:r>
              <w:rPr>
                <w:rFonts w:cs="Times New Roman"/>
                <w:spacing w:val="8"/>
                <w:kern w:val="0"/>
                <w:sz w:val="21"/>
                <w:szCs w:val="21"/>
                <w:lang w:eastAsia="zh-CN"/>
              </w:rPr>
              <w:t>，过滤风速1. 1m/s</w:t>
            </w:r>
            <w:r>
              <w:rPr>
                <w:rFonts w:hint="eastAsia" w:cs="Times New Roman"/>
                <w:spacing w:val="8"/>
                <w:kern w:val="0"/>
                <w:sz w:val="21"/>
                <w:szCs w:val="21"/>
                <w:lang w:eastAsia="zh-CN"/>
              </w:rPr>
              <w:t>：</w:t>
            </w:r>
          </w:p>
          <w:p w14:paraId="5394CAC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 xml:space="preserve"> 9#皮带移动小车除尘系统</w:t>
            </w:r>
            <w:r>
              <w:rPr>
                <w:rFonts w:hint="eastAsia" w:cs="Times New Roman"/>
                <w:spacing w:val="8"/>
                <w:kern w:val="0"/>
                <w:sz w:val="21"/>
                <w:szCs w:val="21"/>
                <w:lang w:eastAsia="zh-CN"/>
              </w:rPr>
              <w:t>：</w:t>
            </w:r>
            <w:r>
              <w:rPr>
                <w:rFonts w:cs="Times New Roman"/>
                <w:spacing w:val="8"/>
                <w:kern w:val="0"/>
                <w:sz w:val="21"/>
                <w:szCs w:val="21"/>
                <w:lang w:eastAsia="zh-CN"/>
              </w:rPr>
              <w:t>低压脉冲布袋除尘器</w:t>
            </w:r>
            <w:r>
              <w:rPr>
                <w:rFonts w:hint="eastAsia" w:cs="Times New Roman"/>
                <w:spacing w:val="8"/>
                <w:kern w:val="0"/>
                <w:sz w:val="21"/>
                <w:szCs w:val="21"/>
                <w:lang w:eastAsia="zh-CN"/>
              </w:rPr>
              <w:t>，</w:t>
            </w:r>
            <w:r>
              <w:rPr>
                <w:rFonts w:cs="Times New Roman"/>
                <w:spacing w:val="8"/>
                <w:kern w:val="0"/>
                <w:sz w:val="21"/>
                <w:szCs w:val="21"/>
                <w:lang w:eastAsia="zh-CN"/>
              </w:rPr>
              <w:t xml:space="preserve"> 风量 20000m</w:t>
            </w:r>
            <w:r>
              <w:rPr>
                <w:rFonts w:cs="Times New Roman"/>
                <w:spacing w:val="8"/>
                <w:kern w:val="0"/>
                <w:sz w:val="21"/>
                <w:szCs w:val="21"/>
                <w:vertAlign w:val="superscript"/>
                <w:lang w:eastAsia="zh-CN"/>
              </w:rPr>
              <w:t>3</w:t>
            </w:r>
            <w:r>
              <w:rPr>
                <w:rFonts w:cs="Times New Roman"/>
                <w:spacing w:val="8"/>
                <w:kern w:val="0"/>
                <w:sz w:val="21"/>
                <w:szCs w:val="21"/>
                <w:lang w:eastAsia="zh-CN"/>
              </w:rPr>
              <w:t>/h</w:t>
            </w:r>
            <w:r>
              <w:rPr>
                <w:rFonts w:hint="eastAsia" w:cs="Times New Roman"/>
                <w:spacing w:val="8"/>
                <w:kern w:val="0"/>
                <w:sz w:val="21"/>
                <w:szCs w:val="21"/>
                <w:lang w:eastAsia="zh-CN"/>
              </w:rPr>
              <w:t>，</w:t>
            </w:r>
            <w:r>
              <w:rPr>
                <w:rFonts w:cs="Times New Roman"/>
                <w:spacing w:val="8"/>
                <w:kern w:val="0"/>
                <w:sz w:val="21"/>
                <w:szCs w:val="21"/>
                <w:lang w:eastAsia="zh-CN"/>
              </w:rPr>
              <w:t>面积300m</w:t>
            </w:r>
            <w:r>
              <w:rPr>
                <w:rFonts w:cs="Times New Roman"/>
                <w:spacing w:val="8"/>
                <w:kern w:val="0"/>
                <w:sz w:val="21"/>
                <w:szCs w:val="21"/>
                <w:vertAlign w:val="superscript"/>
                <w:lang w:eastAsia="zh-CN"/>
              </w:rPr>
              <w:t>2</w:t>
            </w:r>
            <w:r>
              <w:rPr>
                <w:rFonts w:hint="eastAsia" w:cs="Times New Roman"/>
                <w:spacing w:val="8"/>
                <w:kern w:val="0"/>
                <w:sz w:val="21"/>
                <w:szCs w:val="21"/>
                <w:lang w:eastAsia="zh-CN"/>
              </w:rPr>
              <w:t>，</w:t>
            </w:r>
            <w:r>
              <w:rPr>
                <w:rFonts w:cs="Times New Roman"/>
                <w:spacing w:val="8"/>
                <w:kern w:val="0"/>
                <w:sz w:val="21"/>
                <w:szCs w:val="21"/>
                <w:lang w:eastAsia="zh-CN"/>
              </w:rPr>
              <w:t>过滤风速1. 1m/s</w:t>
            </w:r>
            <w:r>
              <w:rPr>
                <w:rFonts w:hint="eastAsia" w:cs="Times New Roman"/>
                <w:spacing w:val="8"/>
                <w:kern w:val="0"/>
                <w:sz w:val="21"/>
                <w:szCs w:val="21"/>
                <w:lang w:eastAsia="zh-CN"/>
              </w:rPr>
              <w:t>；</w:t>
            </w:r>
          </w:p>
          <w:p w14:paraId="0E355B1E">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 xml:space="preserve"> 9#皮带机头环境除尘系统</w:t>
            </w:r>
            <w:r>
              <w:rPr>
                <w:rFonts w:hint="eastAsia" w:cs="Times New Roman"/>
                <w:spacing w:val="8"/>
                <w:kern w:val="0"/>
                <w:sz w:val="21"/>
                <w:szCs w:val="21"/>
                <w:lang w:eastAsia="zh-CN"/>
              </w:rPr>
              <w:t>：</w:t>
            </w:r>
            <w:r>
              <w:rPr>
                <w:rFonts w:cs="Times New Roman"/>
                <w:spacing w:val="8"/>
                <w:kern w:val="0"/>
                <w:sz w:val="21"/>
                <w:szCs w:val="21"/>
                <w:lang w:eastAsia="zh-CN"/>
              </w:rPr>
              <w:t>低压脉冲布袋除尘器</w:t>
            </w:r>
            <w:r>
              <w:rPr>
                <w:rFonts w:hint="eastAsia" w:cs="Times New Roman"/>
                <w:spacing w:val="8"/>
                <w:kern w:val="0"/>
                <w:sz w:val="21"/>
                <w:szCs w:val="21"/>
                <w:lang w:eastAsia="zh-CN"/>
              </w:rPr>
              <w:t>，</w:t>
            </w:r>
            <w:r>
              <w:rPr>
                <w:rFonts w:cs="Times New Roman"/>
                <w:spacing w:val="8"/>
                <w:kern w:val="0"/>
                <w:sz w:val="21"/>
                <w:szCs w:val="21"/>
                <w:lang w:eastAsia="zh-CN"/>
              </w:rPr>
              <w:t>风量 8000m</w:t>
            </w:r>
            <w:r>
              <w:rPr>
                <w:rFonts w:cs="Times New Roman"/>
                <w:spacing w:val="8"/>
                <w:kern w:val="0"/>
                <w:sz w:val="21"/>
                <w:szCs w:val="21"/>
                <w:vertAlign w:val="superscript"/>
                <w:lang w:eastAsia="zh-CN"/>
              </w:rPr>
              <w:t>3</w:t>
            </w:r>
            <w:r>
              <w:rPr>
                <w:rFonts w:cs="Times New Roman"/>
                <w:spacing w:val="8"/>
                <w:kern w:val="0"/>
                <w:sz w:val="21"/>
                <w:szCs w:val="21"/>
                <w:lang w:eastAsia="zh-CN"/>
              </w:rPr>
              <w:t>/h</w:t>
            </w:r>
            <w:r>
              <w:rPr>
                <w:rFonts w:hint="eastAsia" w:cs="Times New Roman"/>
                <w:spacing w:val="8"/>
                <w:kern w:val="0"/>
                <w:sz w:val="21"/>
                <w:szCs w:val="21"/>
                <w:lang w:eastAsia="zh-CN"/>
              </w:rPr>
              <w:t>，</w:t>
            </w:r>
            <w:r>
              <w:rPr>
                <w:rFonts w:cs="Times New Roman"/>
                <w:spacing w:val="8"/>
                <w:kern w:val="0"/>
                <w:sz w:val="21"/>
                <w:szCs w:val="21"/>
                <w:lang w:eastAsia="zh-CN"/>
              </w:rPr>
              <w:t>面积120m</w:t>
            </w:r>
            <w:r>
              <w:rPr>
                <w:rFonts w:cs="Times New Roman"/>
                <w:spacing w:val="8"/>
                <w:kern w:val="0"/>
                <w:sz w:val="21"/>
                <w:szCs w:val="21"/>
                <w:vertAlign w:val="superscript"/>
                <w:lang w:eastAsia="zh-CN"/>
              </w:rPr>
              <w:t>2</w:t>
            </w:r>
            <w:r>
              <w:rPr>
                <w:rFonts w:hint="eastAsia" w:cs="Times New Roman"/>
                <w:spacing w:val="8"/>
                <w:kern w:val="0"/>
                <w:sz w:val="21"/>
                <w:szCs w:val="21"/>
                <w:lang w:eastAsia="zh-CN"/>
              </w:rPr>
              <w:t>，</w:t>
            </w:r>
            <w:r>
              <w:rPr>
                <w:rFonts w:cs="Times New Roman"/>
                <w:spacing w:val="8"/>
                <w:kern w:val="0"/>
                <w:sz w:val="21"/>
                <w:szCs w:val="21"/>
                <w:lang w:eastAsia="zh-CN"/>
              </w:rPr>
              <w:t>过滤风速1. 1m/s</w:t>
            </w:r>
            <w:r>
              <w:rPr>
                <w:rFonts w:hint="eastAsia" w:cs="Times New Roman"/>
                <w:spacing w:val="8"/>
                <w:kern w:val="0"/>
                <w:sz w:val="21"/>
                <w:szCs w:val="21"/>
                <w:lang w:eastAsia="zh-CN"/>
              </w:rPr>
              <w:t>；</w:t>
            </w:r>
          </w:p>
          <w:p w14:paraId="2FF5414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3#皮带给矿移动小车除尘</w:t>
            </w:r>
            <w:r>
              <w:rPr>
                <w:rFonts w:hint="eastAsia" w:cs="Times New Roman"/>
                <w:spacing w:val="8"/>
                <w:kern w:val="0"/>
                <w:sz w:val="21"/>
                <w:szCs w:val="21"/>
                <w:lang w:eastAsia="zh-CN"/>
              </w:rPr>
              <w:t>：</w:t>
            </w:r>
            <w:r>
              <w:rPr>
                <w:rFonts w:cs="Times New Roman"/>
                <w:spacing w:val="8"/>
                <w:kern w:val="0"/>
                <w:sz w:val="21"/>
                <w:szCs w:val="21"/>
                <w:lang w:eastAsia="zh-CN"/>
              </w:rPr>
              <w:t>低压脉冲布袋除尘器</w:t>
            </w:r>
            <w:r>
              <w:rPr>
                <w:rFonts w:hint="eastAsia" w:cs="Times New Roman"/>
                <w:spacing w:val="8"/>
                <w:kern w:val="0"/>
                <w:sz w:val="21"/>
                <w:szCs w:val="21"/>
                <w:lang w:eastAsia="zh-CN"/>
              </w:rPr>
              <w:t>，</w:t>
            </w:r>
            <w:r>
              <w:rPr>
                <w:rFonts w:cs="Times New Roman"/>
                <w:spacing w:val="8"/>
                <w:kern w:val="0"/>
                <w:sz w:val="21"/>
                <w:szCs w:val="21"/>
                <w:lang w:eastAsia="zh-CN"/>
              </w:rPr>
              <w:t>风量 20000m</w:t>
            </w:r>
            <w:r>
              <w:rPr>
                <w:rFonts w:cs="Times New Roman"/>
                <w:spacing w:val="8"/>
                <w:kern w:val="0"/>
                <w:sz w:val="21"/>
                <w:szCs w:val="21"/>
                <w:vertAlign w:val="superscript"/>
                <w:lang w:eastAsia="zh-CN"/>
              </w:rPr>
              <w:t>3</w:t>
            </w:r>
            <w:r>
              <w:rPr>
                <w:rFonts w:cs="Times New Roman"/>
                <w:spacing w:val="8"/>
                <w:kern w:val="0"/>
                <w:sz w:val="21"/>
                <w:szCs w:val="21"/>
                <w:lang w:eastAsia="zh-CN"/>
              </w:rPr>
              <w:t>/h</w:t>
            </w:r>
            <w:r>
              <w:rPr>
                <w:rFonts w:hint="eastAsia" w:cs="Times New Roman"/>
                <w:spacing w:val="8"/>
                <w:kern w:val="0"/>
                <w:sz w:val="21"/>
                <w:szCs w:val="21"/>
                <w:lang w:eastAsia="zh-CN"/>
              </w:rPr>
              <w:t>，</w:t>
            </w:r>
            <w:r>
              <w:rPr>
                <w:rFonts w:cs="Times New Roman"/>
                <w:spacing w:val="8"/>
                <w:kern w:val="0"/>
                <w:sz w:val="21"/>
                <w:szCs w:val="21"/>
                <w:lang w:eastAsia="zh-CN"/>
              </w:rPr>
              <w:t>面积300m</w:t>
            </w:r>
            <w:r>
              <w:rPr>
                <w:rFonts w:cs="Times New Roman"/>
                <w:spacing w:val="8"/>
                <w:kern w:val="0"/>
                <w:sz w:val="21"/>
                <w:szCs w:val="21"/>
                <w:vertAlign w:val="superscript"/>
                <w:lang w:eastAsia="zh-CN"/>
              </w:rPr>
              <w:t>2</w:t>
            </w:r>
            <w:r>
              <w:rPr>
                <w:rFonts w:hint="eastAsia" w:cs="Times New Roman"/>
                <w:spacing w:val="8"/>
                <w:kern w:val="0"/>
                <w:sz w:val="21"/>
                <w:szCs w:val="21"/>
                <w:lang w:eastAsia="zh-CN"/>
              </w:rPr>
              <w:t>，</w:t>
            </w:r>
            <w:r>
              <w:rPr>
                <w:rFonts w:cs="Times New Roman"/>
                <w:spacing w:val="8"/>
                <w:kern w:val="0"/>
                <w:sz w:val="21"/>
                <w:szCs w:val="21"/>
                <w:lang w:eastAsia="zh-CN"/>
              </w:rPr>
              <w:t>过滤风速1. 1m/s</w:t>
            </w:r>
            <w:r>
              <w:rPr>
                <w:rFonts w:hint="eastAsia" w:cs="Times New Roman"/>
                <w:spacing w:val="8"/>
                <w:kern w:val="0"/>
                <w:sz w:val="21"/>
                <w:szCs w:val="21"/>
                <w:lang w:eastAsia="zh-CN"/>
              </w:rPr>
              <w:t>；</w:t>
            </w:r>
          </w:p>
          <w:p w14:paraId="6ED6F1AC">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zh-CN"/>
              </w:rPr>
              <w:t>中转皮带尾轮除尘</w:t>
            </w:r>
            <w:r>
              <w:rPr>
                <w:rFonts w:hint="eastAsia" w:cs="Times New Roman"/>
                <w:spacing w:val="8"/>
                <w:kern w:val="0"/>
                <w:sz w:val="21"/>
                <w:szCs w:val="21"/>
                <w:lang w:eastAsia="zh-CN"/>
              </w:rPr>
              <w:t>：</w:t>
            </w:r>
            <w:r>
              <w:rPr>
                <w:rFonts w:cs="Times New Roman"/>
                <w:spacing w:val="8"/>
                <w:kern w:val="0"/>
                <w:sz w:val="21"/>
                <w:szCs w:val="21"/>
                <w:lang w:eastAsia="zh-CN"/>
              </w:rPr>
              <w:t>低压脉冲布袋除尘器</w:t>
            </w:r>
            <w:r>
              <w:rPr>
                <w:rFonts w:hint="eastAsia" w:cs="Times New Roman"/>
                <w:spacing w:val="8"/>
                <w:kern w:val="0"/>
                <w:sz w:val="21"/>
                <w:szCs w:val="21"/>
                <w:lang w:eastAsia="zh-CN"/>
              </w:rPr>
              <w:t>，</w:t>
            </w:r>
            <w:r>
              <w:rPr>
                <w:rFonts w:cs="Times New Roman"/>
                <w:spacing w:val="8"/>
                <w:kern w:val="0"/>
                <w:sz w:val="21"/>
                <w:szCs w:val="21"/>
                <w:lang w:eastAsia="zh-CN"/>
              </w:rPr>
              <w:t>风量10500m</w:t>
            </w:r>
            <w:r>
              <w:rPr>
                <w:rFonts w:cs="Times New Roman"/>
                <w:spacing w:val="8"/>
                <w:kern w:val="0"/>
                <w:sz w:val="21"/>
                <w:szCs w:val="21"/>
                <w:vertAlign w:val="superscript"/>
                <w:lang w:eastAsia="zh-CN"/>
              </w:rPr>
              <w:t>3</w:t>
            </w:r>
            <w:r>
              <w:rPr>
                <w:rFonts w:cs="Times New Roman"/>
                <w:spacing w:val="8"/>
                <w:kern w:val="0"/>
                <w:sz w:val="21"/>
                <w:szCs w:val="21"/>
                <w:lang w:eastAsia="zh-CN"/>
              </w:rPr>
              <w:t>/h</w:t>
            </w:r>
            <w:r>
              <w:rPr>
                <w:rFonts w:hint="eastAsia" w:cs="Times New Roman"/>
                <w:spacing w:val="8"/>
                <w:kern w:val="0"/>
                <w:sz w:val="21"/>
                <w:szCs w:val="21"/>
                <w:lang w:eastAsia="zh-CN"/>
              </w:rPr>
              <w:t>，</w:t>
            </w:r>
            <w:r>
              <w:rPr>
                <w:rFonts w:cs="Times New Roman"/>
                <w:spacing w:val="8"/>
                <w:kern w:val="0"/>
                <w:sz w:val="21"/>
                <w:szCs w:val="21"/>
                <w:lang w:eastAsia="zh-CN"/>
              </w:rPr>
              <w:t>面积150m</w:t>
            </w:r>
            <w:r>
              <w:rPr>
                <w:rFonts w:cs="Times New Roman"/>
                <w:spacing w:val="8"/>
                <w:kern w:val="0"/>
                <w:sz w:val="21"/>
                <w:szCs w:val="21"/>
                <w:vertAlign w:val="superscript"/>
                <w:lang w:eastAsia="zh-CN"/>
              </w:rPr>
              <w:t>2</w:t>
            </w:r>
            <w:r>
              <w:rPr>
                <w:rFonts w:hint="eastAsia" w:cs="Times New Roman"/>
                <w:spacing w:val="8"/>
                <w:kern w:val="0"/>
                <w:sz w:val="21"/>
                <w:szCs w:val="21"/>
                <w:lang w:eastAsia="zh-CN"/>
              </w:rPr>
              <w:t>，</w:t>
            </w:r>
            <w:r>
              <w:rPr>
                <w:rFonts w:cs="Times New Roman"/>
                <w:spacing w:val="8"/>
                <w:kern w:val="0"/>
                <w:sz w:val="21"/>
                <w:szCs w:val="21"/>
                <w:lang w:eastAsia="zh-CN"/>
              </w:rPr>
              <w:t xml:space="preserve">过滤风速1. </w:t>
            </w:r>
            <w:r>
              <w:rPr>
                <w:rFonts w:cs="Times New Roman"/>
                <w:spacing w:val="8"/>
                <w:kern w:val="0"/>
                <w:sz w:val="21"/>
                <w:szCs w:val="21"/>
                <w:lang w:eastAsia="en-US"/>
              </w:rPr>
              <w:t>1m/s</w:t>
            </w:r>
            <w:r>
              <w:rPr>
                <w:rFonts w:hint="eastAsia" w:cs="Times New Roman"/>
                <w:spacing w:val="8"/>
                <w:kern w:val="0"/>
                <w:sz w:val="21"/>
                <w:szCs w:val="21"/>
                <w:lang w:eastAsia="en-US"/>
              </w:rPr>
              <w:t>。</w:t>
            </w:r>
          </w:p>
        </w:tc>
        <w:tc>
          <w:tcPr>
            <w:tcW w:w="1626" w:type="pct"/>
            <w:vAlign w:val="center"/>
          </w:tcPr>
          <w:p w14:paraId="17C8D3CA">
            <w:pPr>
              <w:widowControl/>
              <w:ind w:firstLine="460"/>
              <w:jc w:val="left"/>
              <w:rPr>
                <w:rFonts w:cs="Times New Roman"/>
                <w:spacing w:val="10"/>
                <w:kern w:val="0"/>
                <w:sz w:val="21"/>
                <w:szCs w:val="21"/>
                <w:lang w:eastAsia="zh-CN"/>
              </w:rPr>
            </w:pPr>
            <w:r>
              <w:rPr>
                <w:rFonts w:ascii="Cambria Math" w:hAnsi="Cambria Math" w:cs="Cambria Math"/>
                <w:spacing w:val="10"/>
                <w:kern w:val="0"/>
                <w:sz w:val="21"/>
                <w:szCs w:val="21"/>
                <w:lang w:eastAsia="zh-CN"/>
              </w:rPr>
              <w:t>①</w:t>
            </w:r>
            <w:r>
              <w:rPr>
                <w:rFonts w:cs="Times New Roman"/>
                <w:spacing w:val="10"/>
                <w:kern w:val="0"/>
                <w:sz w:val="21"/>
                <w:szCs w:val="21"/>
                <w:lang w:eastAsia="zh-CN"/>
              </w:rPr>
              <w:t>中细碎车间：原采用1台水雾振弦洗涤除尘器WSCⅡ3.0，一台水雾振弦洗涤除尘器 WSCⅡ4.0；现采用一套低压脉冲长袋除尘系统，风量：98000m</w:t>
            </w:r>
            <w:r>
              <w:rPr>
                <w:rFonts w:cs="Times New Roman"/>
                <w:spacing w:val="10"/>
                <w:kern w:val="0"/>
                <w:sz w:val="21"/>
                <w:szCs w:val="21"/>
                <w:vertAlign w:val="superscript"/>
                <w:lang w:eastAsia="zh-CN"/>
              </w:rPr>
              <w:t>3</w:t>
            </w:r>
            <w:r>
              <w:rPr>
                <w:rFonts w:cs="Times New Roman"/>
                <w:spacing w:val="10"/>
                <w:kern w:val="0"/>
                <w:sz w:val="21"/>
                <w:szCs w:val="21"/>
                <w:lang w:eastAsia="zh-CN"/>
              </w:rPr>
              <w:t>/h，面积 2000m</w:t>
            </w:r>
            <w:r>
              <w:rPr>
                <w:rFonts w:cs="Times New Roman"/>
                <w:spacing w:val="10"/>
                <w:kern w:val="0"/>
                <w:sz w:val="21"/>
                <w:szCs w:val="21"/>
                <w:vertAlign w:val="superscript"/>
                <w:lang w:eastAsia="zh-CN"/>
              </w:rPr>
              <w:t>2</w:t>
            </w:r>
            <w:r>
              <w:rPr>
                <w:rFonts w:cs="Times New Roman"/>
                <w:spacing w:val="10"/>
                <w:kern w:val="0"/>
                <w:sz w:val="21"/>
                <w:szCs w:val="21"/>
                <w:lang w:eastAsia="zh-CN"/>
              </w:rPr>
              <w:t>， 过滤风速：0.78m/s。废气经除尘系统处理后通过一根 15m 高排气筒排放，排放筒编 号为 DA001。</w:t>
            </w:r>
          </w:p>
          <w:p w14:paraId="0E719F43">
            <w:pPr>
              <w:widowControl/>
              <w:ind w:firstLine="460"/>
              <w:jc w:val="left"/>
              <w:rPr>
                <w:rFonts w:cs="Times New Roman"/>
                <w:spacing w:val="10"/>
                <w:kern w:val="0"/>
                <w:sz w:val="21"/>
                <w:szCs w:val="21"/>
                <w:lang w:eastAsia="zh-CN"/>
              </w:rPr>
            </w:pPr>
            <w:r>
              <w:rPr>
                <w:rFonts w:ascii="Cambria Math" w:hAnsi="Cambria Math" w:cs="Cambria Math"/>
                <w:spacing w:val="10"/>
                <w:kern w:val="0"/>
                <w:sz w:val="21"/>
                <w:szCs w:val="21"/>
                <w:lang w:eastAsia="zh-CN"/>
              </w:rPr>
              <w:t>②</w:t>
            </w:r>
            <w:r>
              <w:rPr>
                <w:rFonts w:cs="Times New Roman"/>
                <w:spacing w:val="10"/>
                <w:kern w:val="0"/>
                <w:sz w:val="21"/>
                <w:szCs w:val="21"/>
                <w:lang w:eastAsia="zh-CN"/>
              </w:rPr>
              <w:t>筛分车间：原采用 2 台荷电水雾振弦洗涤除尘器WSCⅡ5.0；现采用一套低压 脉冲长袋除尘系统，风量：150000m</w:t>
            </w:r>
            <w:r>
              <w:rPr>
                <w:rFonts w:cs="Times New Roman"/>
                <w:spacing w:val="10"/>
                <w:kern w:val="0"/>
                <w:sz w:val="21"/>
                <w:szCs w:val="21"/>
                <w:vertAlign w:val="superscript"/>
                <w:lang w:eastAsia="zh-CN"/>
              </w:rPr>
              <w:t>3</w:t>
            </w:r>
            <w:r>
              <w:rPr>
                <w:rFonts w:cs="Times New Roman"/>
                <w:spacing w:val="10"/>
                <w:kern w:val="0"/>
                <w:sz w:val="21"/>
                <w:szCs w:val="21"/>
                <w:lang w:eastAsia="zh-CN"/>
              </w:rPr>
              <w:t>/h，面积3600m</w:t>
            </w:r>
            <w:r>
              <w:rPr>
                <w:rFonts w:cs="Times New Roman"/>
                <w:spacing w:val="10"/>
                <w:kern w:val="0"/>
                <w:sz w:val="21"/>
                <w:szCs w:val="21"/>
                <w:vertAlign w:val="superscript"/>
                <w:lang w:eastAsia="zh-CN"/>
              </w:rPr>
              <w:t>2</w:t>
            </w:r>
            <w:r>
              <w:rPr>
                <w:rFonts w:cs="Times New Roman"/>
                <w:spacing w:val="10"/>
                <w:kern w:val="0"/>
                <w:sz w:val="21"/>
                <w:szCs w:val="21"/>
                <w:lang w:eastAsia="zh-CN"/>
              </w:rPr>
              <w:t xml:space="preserve"> ，过滤风速：0.78m/s。废气经 除尘系统处理后通过一根 15m 高排气筒排放，排放筒编号为 DA002。</w:t>
            </w:r>
          </w:p>
          <w:p w14:paraId="37F78DA1">
            <w:pPr>
              <w:widowControl/>
              <w:ind w:firstLine="460"/>
              <w:jc w:val="left"/>
              <w:rPr>
                <w:rFonts w:cs="Times New Roman"/>
                <w:spacing w:val="10"/>
                <w:kern w:val="0"/>
                <w:sz w:val="21"/>
                <w:szCs w:val="21"/>
                <w:lang w:eastAsia="zh-CN"/>
              </w:rPr>
            </w:pPr>
            <w:r>
              <w:rPr>
                <w:rFonts w:ascii="Cambria Math" w:hAnsi="Cambria Math" w:cs="Cambria Math"/>
                <w:spacing w:val="10"/>
                <w:kern w:val="0"/>
                <w:sz w:val="21"/>
                <w:szCs w:val="21"/>
                <w:lang w:eastAsia="zh-CN"/>
              </w:rPr>
              <w:t>③</w:t>
            </w:r>
            <w:r>
              <w:rPr>
                <w:rFonts w:cs="Times New Roman"/>
                <w:spacing w:val="10"/>
                <w:kern w:val="0"/>
                <w:sz w:val="21"/>
                <w:szCs w:val="21"/>
                <w:lang w:eastAsia="zh-CN"/>
              </w:rPr>
              <w:t>干抛车间：原采用 1 台新型微孔膜过滤式除尘器 ZD1.0，除尘效率95%；现与 废石仓共用一套低压脉冲长袋除尘系统，风量：10000m</w:t>
            </w:r>
            <w:r>
              <w:rPr>
                <w:rFonts w:cs="Times New Roman"/>
                <w:spacing w:val="10"/>
                <w:kern w:val="0"/>
                <w:sz w:val="21"/>
                <w:szCs w:val="21"/>
                <w:vertAlign w:val="superscript"/>
                <w:lang w:eastAsia="zh-CN"/>
              </w:rPr>
              <w:t>3</w:t>
            </w:r>
            <w:r>
              <w:rPr>
                <w:rFonts w:cs="Times New Roman"/>
                <w:spacing w:val="10"/>
                <w:kern w:val="0"/>
                <w:sz w:val="21"/>
                <w:szCs w:val="21"/>
                <w:lang w:eastAsia="zh-CN"/>
              </w:rPr>
              <w:t>/h，面积 150m</w:t>
            </w:r>
            <w:r>
              <w:rPr>
                <w:rFonts w:cs="Times New Roman"/>
                <w:spacing w:val="10"/>
                <w:kern w:val="0"/>
                <w:sz w:val="21"/>
                <w:szCs w:val="21"/>
                <w:vertAlign w:val="superscript"/>
                <w:lang w:eastAsia="zh-CN"/>
              </w:rPr>
              <w:t>2</w:t>
            </w:r>
            <w:r>
              <w:rPr>
                <w:rFonts w:cs="Times New Roman"/>
                <w:spacing w:val="10"/>
                <w:kern w:val="0"/>
                <w:sz w:val="21"/>
                <w:szCs w:val="21"/>
                <w:lang w:eastAsia="zh-CN"/>
              </w:rPr>
              <w:t xml:space="preserve"> ，过滤风速： 1.1m/s。废气经除尘系统处理后，并入筛分车间除尘系统的排气筒 DA002 排放。</w:t>
            </w:r>
          </w:p>
          <w:p w14:paraId="2F012D7C">
            <w:pPr>
              <w:widowControl/>
              <w:ind w:firstLine="460"/>
              <w:jc w:val="left"/>
              <w:rPr>
                <w:rFonts w:cs="Times New Roman"/>
                <w:spacing w:val="10"/>
                <w:kern w:val="0"/>
                <w:sz w:val="21"/>
                <w:szCs w:val="21"/>
                <w:lang w:eastAsia="zh-CN"/>
              </w:rPr>
            </w:pPr>
            <w:r>
              <w:rPr>
                <w:rFonts w:ascii="Cambria Math" w:hAnsi="Cambria Math" w:cs="Cambria Math"/>
                <w:spacing w:val="10"/>
                <w:kern w:val="0"/>
                <w:sz w:val="21"/>
                <w:szCs w:val="21"/>
                <w:lang w:eastAsia="zh-CN"/>
              </w:rPr>
              <w:t>④</w:t>
            </w:r>
            <w:r>
              <w:rPr>
                <w:rFonts w:cs="Times New Roman"/>
                <w:spacing w:val="10"/>
                <w:kern w:val="0"/>
                <w:sz w:val="21"/>
                <w:szCs w:val="21"/>
                <w:lang w:eastAsia="zh-CN"/>
              </w:rPr>
              <w:t>1#皮带：新增一台低压脉冲布袋除尘器，风量17000m3/h，面积150m2 ，过滤风速1.1m/s，废气经处理后经排气筒排放，排气筒编号为DA003。</w:t>
            </w:r>
          </w:p>
          <w:p w14:paraId="5B3AB946">
            <w:pPr>
              <w:widowControl/>
              <w:ind w:firstLine="460"/>
              <w:jc w:val="left"/>
              <w:rPr>
                <w:rFonts w:cs="Times New Roman"/>
                <w:spacing w:val="10"/>
                <w:kern w:val="0"/>
                <w:sz w:val="21"/>
                <w:szCs w:val="21"/>
                <w:lang w:eastAsia="zh-CN"/>
              </w:rPr>
            </w:pPr>
            <w:r>
              <w:rPr>
                <w:rFonts w:ascii="Cambria Math" w:hAnsi="Cambria Math" w:cs="Cambria Math"/>
                <w:spacing w:val="10"/>
                <w:kern w:val="0"/>
                <w:sz w:val="21"/>
                <w:szCs w:val="21"/>
                <w:lang w:eastAsia="zh-CN"/>
              </w:rPr>
              <w:t>④</w:t>
            </w:r>
            <w:r>
              <w:rPr>
                <w:rFonts w:cs="Times New Roman"/>
                <w:spacing w:val="10"/>
                <w:kern w:val="0"/>
                <w:sz w:val="21"/>
                <w:szCs w:val="21"/>
                <w:lang w:eastAsia="zh-CN"/>
              </w:rPr>
              <w:t>8#、9#皮带：各新增一台单机低压脉冲布袋除尘器，风量8000m</w:t>
            </w:r>
            <w:r>
              <w:rPr>
                <w:rFonts w:cs="Times New Roman"/>
                <w:spacing w:val="10"/>
                <w:kern w:val="0"/>
                <w:sz w:val="21"/>
                <w:szCs w:val="21"/>
                <w:vertAlign w:val="superscript"/>
                <w:lang w:eastAsia="zh-CN"/>
              </w:rPr>
              <w:t>3</w:t>
            </w:r>
            <w:r>
              <w:rPr>
                <w:rFonts w:cs="Times New Roman"/>
                <w:spacing w:val="10"/>
                <w:kern w:val="0"/>
                <w:sz w:val="21"/>
                <w:szCs w:val="21"/>
                <w:lang w:eastAsia="zh-CN"/>
              </w:rPr>
              <w:t>/h，面积120m</w:t>
            </w:r>
            <w:r>
              <w:rPr>
                <w:rFonts w:cs="Times New Roman"/>
                <w:spacing w:val="10"/>
                <w:kern w:val="0"/>
                <w:sz w:val="21"/>
                <w:szCs w:val="21"/>
                <w:vertAlign w:val="superscript"/>
                <w:lang w:eastAsia="zh-CN"/>
              </w:rPr>
              <w:t>2</w:t>
            </w:r>
            <w:r>
              <w:rPr>
                <w:rFonts w:cs="Times New Roman"/>
                <w:spacing w:val="10"/>
                <w:kern w:val="0"/>
                <w:sz w:val="21"/>
                <w:szCs w:val="21"/>
                <w:lang w:eastAsia="zh-CN"/>
              </w:rPr>
              <w:t>， 过滤风速1.1m/s。</w:t>
            </w:r>
          </w:p>
          <w:p w14:paraId="76E29A5A">
            <w:pPr>
              <w:widowControl/>
              <w:ind w:firstLine="460"/>
              <w:jc w:val="left"/>
              <w:rPr>
                <w:rFonts w:cs="Times New Roman"/>
                <w:spacing w:val="10"/>
                <w:kern w:val="0"/>
                <w:sz w:val="21"/>
                <w:szCs w:val="21"/>
                <w:lang w:eastAsia="zh-CN"/>
              </w:rPr>
            </w:pPr>
            <w:r>
              <w:rPr>
                <w:rFonts w:ascii="Cambria Math" w:hAnsi="Cambria Math" w:cs="Cambria Math"/>
                <w:spacing w:val="10"/>
                <w:kern w:val="0"/>
                <w:sz w:val="21"/>
                <w:szCs w:val="21"/>
                <w:lang w:eastAsia="zh-CN"/>
              </w:rPr>
              <w:t>⑤</w:t>
            </w:r>
            <w:r>
              <w:rPr>
                <w:rFonts w:cs="Times New Roman"/>
                <w:spacing w:val="10"/>
                <w:kern w:val="0"/>
                <w:sz w:val="21"/>
                <w:szCs w:val="21"/>
                <w:lang w:eastAsia="zh-CN"/>
              </w:rPr>
              <w:t>9#皮带移动小车除尘系统： 新增一 台单机低压脉冲布袋除尘器 ，风量 20000m</w:t>
            </w:r>
            <w:r>
              <w:rPr>
                <w:rFonts w:cs="Times New Roman"/>
                <w:spacing w:val="10"/>
                <w:kern w:val="0"/>
                <w:sz w:val="21"/>
                <w:szCs w:val="21"/>
                <w:vertAlign w:val="superscript"/>
                <w:lang w:eastAsia="zh-CN"/>
              </w:rPr>
              <w:t>3</w:t>
            </w:r>
            <w:r>
              <w:rPr>
                <w:rFonts w:cs="Times New Roman"/>
                <w:spacing w:val="10"/>
                <w:kern w:val="0"/>
                <w:sz w:val="21"/>
                <w:szCs w:val="21"/>
                <w:lang w:eastAsia="zh-CN"/>
              </w:rPr>
              <w:t>/h，面积 300m</w:t>
            </w:r>
            <w:r>
              <w:rPr>
                <w:rFonts w:cs="Times New Roman"/>
                <w:spacing w:val="10"/>
                <w:kern w:val="0"/>
                <w:sz w:val="21"/>
                <w:szCs w:val="21"/>
                <w:vertAlign w:val="superscript"/>
                <w:lang w:eastAsia="zh-CN"/>
              </w:rPr>
              <w:t>2</w:t>
            </w:r>
            <w:r>
              <w:rPr>
                <w:rFonts w:cs="Times New Roman"/>
                <w:spacing w:val="10"/>
                <w:kern w:val="0"/>
                <w:sz w:val="21"/>
                <w:szCs w:val="21"/>
                <w:lang w:eastAsia="zh-CN"/>
              </w:rPr>
              <w:t xml:space="preserve"> ，过滤风速 1.1m/s。</w:t>
            </w:r>
          </w:p>
          <w:p w14:paraId="6E486C6C">
            <w:pPr>
              <w:widowControl/>
              <w:ind w:firstLine="460"/>
              <w:jc w:val="left"/>
              <w:rPr>
                <w:rFonts w:cs="Times New Roman"/>
                <w:spacing w:val="10"/>
                <w:kern w:val="0"/>
                <w:sz w:val="21"/>
                <w:szCs w:val="21"/>
                <w:lang w:eastAsia="zh-CN"/>
              </w:rPr>
            </w:pPr>
            <w:r>
              <w:rPr>
                <w:rFonts w:ascii="Cambria Math" w:hAnsi="Cambria Math" w:cs="Cambria Math"/>
                <w:spacing w:val="10"/>
                <w:kern w:val="0"/>
                <w:sz w:val="21"/>
                <w:szCs w:val="21"/>
                <w:lang w:eastAsia="zh-CN"/>
              </w:rPr>
              <w:t>⑥</w:t>
            </w:r>
            <w:r>
              <w:rPr>
                <w:rFonts w:cs="Times New Roman"/>
                <w:spacing w:val="10"/>
                <w:kern w:val="0"/>
                <w:sz w:val="21"/>
                <w:szCs w:val="21"/>
                <w:lang w:eastAsia="zh-CN"/>
              </w:rPr>
              <w:t>9#皮带机头环境除尘系统：新增一台单机低压脉冲布袋除尘器，风量8000m</w:t>
            </w:r>
            <w:r>
              <w:rPr>
                <w:rFonts w:cs="Times New Roman"/>
                <w:spacing w:val="10"/>
                <w:kern w:val="0"/>
                <w:sz w:val="21"/>
                <w:szCs w:val="21"/>
                <w:vertAlign w:val="superscript"/>
                <w:lang w:eastAsia="zh-CN"/>
              </w:rPr>
              <w:t>3</w:t>
            </w:r>
            <w:r>
              <w:rPr>
                <w:rFonts w:cs="Times New Roman"/>
                <w:spacing w:val="10"/>
                <w:kern w:val="0"/>
                <w:sz w:val="21"/>
                <w:szCs w:val="21"/>
                <w:lang w:eastAsia="zh-CN"/>
              </w:rPr>
              <w:t>/h， 面积 120m</w:t>
            </w:r>
            <w:r>
              <w:rPr>
                <w:rFonts w:cs="Times New Roman"/>
                <w:spacing w:val="10"/>
                <w:kern w:val="0"/>
                <w:sz w:val="21"/>
                <w:szCs w:val="21"/>
                <w:vertAlign w:val="superscript"/>
                <w:lang w:eastAsia="zh-CN"/>
              </w:rPr>
              <w:t>2</w:t>
            </w:r>
            <w:r>
              <w:rPr>
                <w:rFonts w:cs="Times New Roman"/>
                <w:spacing w:val="10"/>
                <w:kern w:val="0"/>
                <w:sz w:val="21"/>
                <w:szCs w:val="21"/>
                <w:lang w:eastAsia="zh-CN"/>
              </w:rPr>
              <w:t xml:space="preserve"> ，过滤风速 1.1m/s</w:t>
            </w:r>
          </w:p>
          <w:p w14:paraId="6B7463A4">
            <w:pPr>
              <w:widowControl/>
              <w:ind w:firstLine="460"/>
              <w:jc w:val="left"/>
              <w:rPr>
                <w:rFonts w:cs="Times New Roman"/>
                <w:spacing w:val="10"/>
                <w:kern w:val="0"/>
                <w:sz w:val="21"/>
                <w:szCs w:val="21"/>
                <w:lang w:eastAsia="zh-CN"/>
              </w:rPr>
            </w:pPr>
            <w:r>
              <w:rPr>
                <w:rFonts w:ascii="Cambria Math" w:hAnsi="Cambria Math" w:cs="Cambria Math"/>
                <w:spacing w:val="10"/>
                <w:kern w:val="0"/>
                <w:sz w:val="21"/>
                <w:szCs w:val="21"/>
                <w:lang w:eastAsia="zh-CN"/>
              </w:rPr>
              <w:t>⑦</w:t>
            </w:r>
            <w:r>
              <w:rPr>
                <w:rFonts w:cs="Times New Roman"/>
                <w:spacing w:val="10"/>
                <w:kern w:val="0"/>
                <w:sz w:val="21"/>
                <w:szCs w:val="21"/>
                <w:lang w:eastAsia="zh-CN"/>
              </w:rPr>
              <w:t>3#皮带给矿小车除尘：新增一台单机低压脉冲布袋除尘器，风量20000m</w:t>
            </w:r>
            <w:r>
              <w:rPr>
                <w:rFonts w:cs="Times New Roman"/>
                <w:spacing w:val="10"/>
                <w:kern w:val="0"/>
                <w:sz w:val="21"/>
                <w:szCs w:val="21"/>
                <w:vertAlign w:val="superscript"/>
                <w:lang w:eastAsia="zh-CN"/>
              </w:rPr>
              <w:t>3</w:t>
            </w:r>
            <w:r>
              <w:rPr>
                <w:rFonts w:cs="Times New Roman"/>
                <w:spacing w:val="10"/>
                <w:kern w:val="0"/>
                <w:sz w:val="21"/>
                <w:szCs w:val="21"/>
                <w:lang w:eastAsia="zh-CN"/>
              </w:rPr>
              <w:t>/h， 面积300m</w:t>
            </w:r>
            <w:r>
              <w:rPr>
                <w:rFonts w:cs="Times New Roman"/>
                <w:spacing w:val="10"/>
                <w:kern w:val="0"/>
                <w:sz w:val="21"/>
                <w:szCs w:val="21"/>
                <w:vertAlign w:val="superscript"/>
                <w:lang w:eastAsia="zh-CN"/>
              </w:rPr>
              <w:t>2</w:t>
            </w:r>
            <w:r>
              <w:rPr>
                <w:rFonts w:cs="Times New Roman"/>
                <w:spacing w:val="10"/>
                <w:kern w:val="0"/>
                <w:sz w:val="21"/>
                <w:szCs w:val="21"/>
                <w:lang w:eastAsia="zh-CN"/>
              </w:rPr>
              <w:t xml:space="preserve"> ，过滤风速1.1m/s</w:t>
            </w:r>
          </w:p>
          <w:p w14:paraId="1013D6DA">
            <w:pPr>
              <w:spacing w:before="72" w:line="190" w:lineRule="auto"/>
              <w:ind w:hanging="8" w:firstLineChars="0"/>
              <w:jc w:val="center"/>
              <w:rPr>
                <w:rFonts w:cs="Times New Roman"/>
                <w:spacing w:val="8"/>
                <w:kern w:val="0"/>
                <w:sz w:val="21"/>
                <w:szCs w:val="21"/>
                <w:lang w:eastAsia="zh-CN"/>
              </w:rPr>
            </w:pPr>
            <w:r>
              <w:rPr>
                <w:rFonts w:ascii="Cambria Math" w:hAnsi="Cambria Math" w:cs="Cambria Math"/>
                <w:spacing w:val="10"/>
                <w:kern w:val="0"/>
                <w:sz w:val="21"/>
                <w:szCs w:val="21"/>
                <w:lang w:eastAsia="zh-CN"/>
              </w:rPr>
              <w:t>⑧</w:t>
            </w:r>
            <w:r>
              <w:rPr>
                <w:rFonts w:cs="Times New Roman"/>
                <w:spacing w:val="10"/>
                <w:kern w:val="0"/>
                <w:sz w:val="21"/>
                <w:szCs w:val="21"/>
                <w:lang w:eastAsia="zh-CN"/>
              </w:rPr>
              <w:t>中转皮带尾轮除尘：新增一台单机低压脉冲布袋除尘器，风量 10500m</w:t>
            </w:r>
            <w:r>
              <w:rPr>
                <w:rFonts w:cs="Times New Roman"/>
                <w:spacing w:val="10"/>
                <w:kern w:val="0"/>
                <w:sz w:val="21"/>
                <w:szCs w:val="21"/>
                <w:vertAlign w:val="superscript"/>
                <w:lang w:eastAsia="zh-CN"/>
              </w:rPr>
              <w:t>3</w:t>
            </w:r>
            <w:r>
              <w:rPr>
                <w:rFonts w:cs="Times New Roman"/>
                <w:spacing w:val="10"/>
                <w:kern w:val="0"/>
                <w:sz w:val="21"/>
                <w:szCs w:val="21"/>
                <w:lang w:eastAsia="zh-CN"/>
              </w:rPr>
              <w:t>/h，面积 150m</w:t>
            </w:r>
            <w:r>
              <w:rPr>
                <w:rFonts w:cs="Times New Roman"/>
                <w:spacing w:val="10"/>
                <w:kern w:val="0"/>
                <w:sz w:val="21"/>
                <w:szCs w:val="21"/>
                <w:vertAlign w:val="superscript"/>
                <w:lang w:eastAsia="zh-CN"/>
              </w:rPr>
              <w:t>2</w:t>
            </w:r>
            <w:r>
              <w:rPr>
                <w:rFonts w:cs="Times New Roman"/>
                <w:spacing w:val="10"/>
                <w:kern w:val="0"/>
                <w:sz w:val="21"/>
                <w:szCs w:val="21"/>
                <w:lang w:eastAsia="zh-CN"/>
              </w:rPr>
              <w:t xml:space="preserve"> ，过滤风速 1.1m/s。</w:t>
            </w:r>
          </w:p>
        </w:tc>
        <w:tc>
          <w:tcPr>
            <w:tcW w:w="683" w:type="pct"/>
            <w:vAlign w:val="center"/>
          </w:tcPr>
          <w:p w14:paraId="51C2728B">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除尘系统改造</w:t>
            </w:r>
          </w:p>
        </w:tc>
      </w:tr>
      <w:tr w14:paraId="1BAFAA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3FDE3246">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p>
        </w:tc>
        <w:tc>
          <w:tcPr>
            <w:tcW w:w="345" w:type="pct"/>
            <w:vAlign w:val="center"/>
          </w:tcPr>
          <w:p w14:paraId="4A3B76B4">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尾矿库扬尘</w:t>
            </w:r>
          </w:p>
        </w:tc>
        <w:tc>
          <w:tcPr>
            <w:tcW w:w="2235" w:type="pct"/>
            <w:vAlign w:val="center"/>
          </w:tcPr>
          <w:p w14:paraId="6645B7F9">
            <w:pPr>
              <w:spacing w:before="72" w:line="190" w:lineRule="auto"/>
              <w:ind w:hanging="8" w:firstLineChars="0"/>
              <w:jc w:val="center"/>
              <w:rPr>
                <w:rFonts w:cs="Times New Roman"/>
                <w:spacing w:val="8"/>
                <w:kern w:val="0"/>
                <w:sz w:val="21"/>
                <w:szCs w:val="21"/>
                <w:lang w:eastAsia="zh-CN"/>
              </w:rPr>
            </w:pPr>
            <w:r>
              <w:rPr>
                <w:rFonts w:hint="eastAsia" w:cs="Times New Roman"/>
                <w:spacing w:val="8"/>
                <w:kern w:val="0"/>
                <w:sz w:val="21"/>
                <w:szCs w:val="21"/>
                <w:lang w:eastAsia="zh-CN"/>
              </w:rPr>
              <w:t>设置</w:t>
            </w:r>
            <w:r>
              <w:rPr>
                <w:rFonts w:cs="Times New Roman"/>
                <w:spacing w:val="8"/>
                <w:kern w:val="0"/>
                <w:sz w:val="21"/>
                <w:szCs w:val="21"/>
                <w:lang w:eastAsia="zh-CN"/>
              </w:rPr>
              <w:t>干滩喷淋系统</w:t>
            </w:r>
            <w:r>
              <w:rPr>
                <w:rFonts w:hint="eastAsia" w:cs="Times New Roman"/>
                <w:spacing w:val="8"/>
                <w:kern w:val="0"/>
                <w:sz w:val="21"/>
                <w:szCs w:val="21"/>
                <w:lang w:eastAsia="zh-CN"/>
              </w:rPr>
              <w:t>，同时</w:t>
            </w:r>
            <w:r>
              <w:rPr>
                <w:rFonts w:cs="Times New Roman"/>
                <w:spacing w:val="8"/>
                <w:kern w:val="0"/>
                <w:sz w:val="21"/>
                <w:szCs w:val="21"/>
                <w:lang w:eastAsia="zh-CN"/>
              </w:rPr>
              <w:t>合理放矿</w:t>
            </w:r>
            <w:r>
              <w:rPr>
                <w:rFonts w:hint="eastAsia" w:cs="Times New Roman"/>
                <w:spacing w:val="8"/>
                <w:kern w:val="0"/>
                <w:sz w:val="21"/>
                <w:szCs w:val="21"/>
                <w:lang w:eastAsia="zh-CN"/>
              </w:rPr>
              <w:t>、</w:t>
            </w:r>
            <w:r>
              <w:rPr>
                <w:rFonts w:cs="Times New Roman"/>
                <w:spacing w:val="8"/>
                <w:kern w:val="0"/>
                <w:sz w:val="21"/>
                <w:szCs w:val="21"/>
                <w:lang w:eastAsia="zh-CN"/>
              </w:rPr>
              <w:t>及时覆土</w:t>
            </w:r>
            <w:r>
              <w:rPr>
                <w:rFonts w:hint="eastAsia" w:cs="Times New Roman"/>
                <w:spacing w:val="8"/>
                <w:kern w:val="0"/>
                <w:sz w:val="21"/>
                <w:szCs w:val="21"/>
                <w:lang w:eastAsia="zh-CN"/>
              </w:rPr>
              <w:t>、</w:t>
            </w:r>
            <w:r>
              <w:rPr>
                <w:rFonts w:cs="Times New Roman"/>
                <w:spacing w:val="8"/>
                <w:kern w:val="0"/>
                <w:sz w:val="21"/>
                <w:szCs w:val="21"/>
                <w:lang w:eastAsia="zh-CN"/>
              </w:rPr>
              <w:t>绿化。</w:t>
            </w:r>
          </w:p>
        </w:tc>
        <w:tc>
          <w:tcPr>
            <w:tcW w:w="1626" w:type="pct"/>
            <w:vAlign w:val="center"/>
          </w:tcPr>
          <w:p w14:paraId="24189051">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锅炉目前已停止使用</w:t>
            </w:r>
            <w:r>
              <w:rPr>
                <w:rFonts w:hint="eastAsia" w:cs="Times New Roman"/>
                <w:spacing w:val="8"/>
                <w:kern w:val="0"/>
                <w:sz w:val="21"/>
                <w:szCs w:val="21"/>
                <w:lang w:eastAsia="zh-CN"/>
              </w:rPr>
              <w:t>，</w:t>
            </w:r>
            <w:r>
              <w:rPr>
                <w:rFonts w:cs="Times New Roman"/>
                <w:spacing w:val="8"/>
                <w:kern w:val="0"/>
                <w:sz w:val="21"/>
                <w:szCs w:val="21"/>
                <w:lang w:eastAsia="zh-CN"/>
              </w:rPr>
              <w:t>不产生锅炉烟尘</w:t>
            </w:r>
          </w:p>
        </w:tc>
        <w:tc>
          <w:tcPr>
            <w:tcW w:w="683" w:type="pct"/>
            <w:vAlign w:val="center"/>
          </w:tcPr>
          <w:p w14:paraId="42811E1D">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锅炉已停止使用</w:t>
            </w:r>
          </w:p>
        </w:tc>
      </w:tr>
      <w:tr w14:paraId="1F15E2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3D2B7D5C">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4874FC00">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道路降尘</w:t>
            </w:r>
          </w:p>
        </w:tc>
        <w:tc>
          <w:tcPr>
            <w:tcW w:w="2235" w:type="pct"/>
            <w:vAlign w:val="center"/>
          </w:tcPr>
          <w:p w14:paraId="4AF4741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采用洒水抑尘</w:t>
            </w:r>
            <w:r>
              <w:rPr>
                <w:rFonts w:hint="eastAsia" w:cs="Times New Roman"/>
                <w:spacing w:val="8"/>
                <w:kern w:val="0"/>
                <w:sz w:val="21"/>
                <w:szCs w:val="21"/>
                <w:lang w:eastAsia="zh-CN"/>
              </w:rPr>
              <w:t>，</w:t>
            </w:r>
            <w:r>
              <w:rPr>
                <w:rFonts w:cs="Times New Roman"/>
                <w:spacing w:val="8"/>
                <w:kern w:val="0"/>
                <w:sz w:val="21"/>
                <w:szCs w:val="21"/>
                <w:lang w:eastAsia="zh-CN"/>
              </w:rPr>
              <w:t>减少粉尘50～70%。</w:t>
            </w:r>
          </w:p>
        </w:tc>
        <w:tc>
          <w:tcPr>
            <w:tcW w:w="1626" w:type="pct"/>
            <w:vAlign w:val="center"/>
          </w:tcPr>
          <w:p w14:paraId="0D10B7E7">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新增干滩喷淋系统</w:t>
            </w:r>
          </w:p>
        </w:tc>
        <w:tc>
          <w:tcPr>
            <w:tcW w:w="683" w:type="pct"/>
            <w:vAlign w:val="center"/>
          </w:tcPr>
          <w:p w14:paraId="6BE23A4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新增干滩喷淋系统</w:t>
            </w:r>
          </w:p>
        </w:tc>
      </w:tr>
      <w:tr w14:paraId="476FC9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Align w:val="center"/>
          </w:tcPr>
          <w:p w14:paraId="2593D4E9">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hint="eastAsia" w:ascii="Calibri" w:hAnsi="Calibri" w:cs="Calibri"/>
                <w:b/>
                <w:kern w:val="0"/>
                <w:sz w:val="21"/>
                <w:szCs w:val="21"/>
                <w:lang w:eastAsia="en-US"/>
              </w:rPr>
              <w:t>固废工程</w:t>
            </w:r>
          </w:p>
        </w:tc>
        <w:tc>
          <w:tcPr>
            <w:tcW w:w="345" w:type="pct"/>
            <w:vAlign w:val="center"/>
          </w:tcPr>
          <w:p w14:paraId="335BB753">
            <w:pPr>
              <w:spacing w:before="72" w:line="190" w:lineRule="auto"/>
              <w:ind w:hanging="8" w:firstLineChars="0"/>
              <w:jc w:val="center"/>
              <w:rPr>
                <w:rFonts w:ascii="Calibri" w:hAnsi="Calibri" w:cs="Calibri"/>
                <w:spacing w:val="8"/>
                <w:kern w:val="0"/>
                <w:sz w:val="21"/>
                <w:szCs w:val="21"/>
                <w:lang w:eastAsia="en-US"/>
              </w:rPr>
            </w:pPr>
            <w:r>
              <w:rPr>
                <w:rFonts w:hint="eastAsia" w:ascii="Calibri" w:hAnsi="Calibri" w:cs="Calibri"/>
                <w:spacing w:val="8"/>
                <w:kern w:val="0"/>
                <w:sz w:val="21"/>
                <w:szCs w:val="21"/>
                <w:lang w:eastAsia="en-US"/>
              </w:rPr>
              <w:t>危废库</w:t>
            </w:r>
          </w:p>
        </w:tc>
        <w:tc>
          <w:tcPr>
            <w:tcW w:w="2235" w:type="pct"/>
            <w:vAlign w:val="center"/>
          </w:tcPr>
          <w:p w14:paraId="6094CC55">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在选厂区</w:t>
            </w:r>
            <w:r>
              <w:rPr>
                <w:rFonts w:hint="eastAsia" w:cs="Times New Roman"/>
                <w:spacing w:val="8"/>
                <w:kern w:val="0"/>
                <w:sz w:val="21"/>
                <w:szCs w:val="21"/>
                <w:lang w:eastAsia="zh-CN"/>
              </w:rPr>
              <w:t>已建</w:t>
            </w:r>
            <w:r>
              <w:rPr>
                <w:rFonts w:cs="Times New Roman"/>
                <w:spacing w:val="8"/>
                <w:kern w:val="0"/>
                <w:sz w:val="21"/>
                <w:szCs w:val="21"/>
                <w:lang w:eastAsia="zh-CN"/>
              </w:rPr>
              <w:t>一座危废库，占地面积约108m</w:t>
            </w:r>
            <w:r>
              <w:rPr>
                <w:rFonts w:cs="Times New Roman"/>
                <w:spacing w:val="8"/>
                <w:kern w:val="0"/>
                <w:sz w:val="21"/>
                <w:szCs w:val="21"/>
                <w:vertAlign w:val="superscript"/>
                <w:lang w:eastAsia="zh-CN"/>
              </w:rPr>
              <w:t>2</w:t>
            </w:r>
            <w:r>
              <w:rPr>
                <w:rFonts w:cs="Times New Roman"/>
                <w:spacing w:val="8"/>
                <w:kern w:val="0"/>
                <w:sz w:val="21"/>
                <w:szCs w:val="21"/>
                <w:lang w:eastAsia="zh-CN"/>
              </w:rPr>
              <w:t xml:space="preserve"> ，长约 13.5m，宽约8m，高约4m， 用于暂存企业产生的危险废物。</w:t>
            </w:r>
          </w:p>
        </w:tc>
        <w:tc>
          <w:tcPr>
            <w:tcW w:w="1626" w:type="pct"/>
            <w:vAlign w:val="center"/>
          </w:tcPr>
          <w:p w14:paraId="250E3F09">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2184C20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218A79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Align w:val="center"/>
          </w:tcPr>
          <w:p w14:paraId="26894797">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hint="eastAsia" w:ascii="Calibri" w:hAnsi="Calibri" w:cs="Calibri"/>
                <w:b/>
                <w:kern w:val="0"/>
                <w:sz w:val="21"/>
                <w:szCs w:val="21"/>
                <w:lang w:eastAsia="en-US"/>
              </w:rPr>
              <w:t>噪声治理工程</w:t>
            </w:r>
          </w:p>
        </w:tc>
        <w:tc>
          <w:tcPr>
            <w:tcW w:w="345" w:type="pct"/>
            <w:vAlign w:val="center"/>
          </w:tcPr>
          <w:p w14:paraId="7B8C386E">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降噪工程</w:t>
            </w:r>
          </w:p>
        </w:tc>
        <w:tc>
          <w:tcPr>
            <w:tcW w:w="2235" w:type="pct"/>
            <w:vAlign w:val="center"/>
          </w:tcPr>
          <w:p w14:paraId="4D5DC63A">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隔声</w:t>
            </w:r>
            <w:r>
              <w:rPr>
                <w:rFonts w:hint="eastAsia" w:cs="Times New Roman"/>
                <w:spacing w:val="8"/>
                <w:kern w:val="0"/>
                <w:sz w:val="21"/>
                <w:szCs w:val="21"/>
                <w:lang w:eastAsia="zh-CN"/>
              </w:rPr>
              <w:t>、</w:t>
            </w:r>
            <w:r>
              <w:rPr>
                <w:rFonts w:cs="Times New Roman"/>
                <w:spacing w:val="8"/>
                <w:kern w:val="0"/>
                <w:sz w:val="21"/>
                <w:szCs w:val="21"/>
                <w:lang w:eastAsia="zh-CN"/>
              </w:rPr>
              <w:t>减振</w:t>
            </w:r>
            <w:r>
              <w:rPr>
                <w:rFonts w:hint="eastAsia" w:cs="Times New Roman"/>
                <w:spacing w:val="8"/>
                <w:kern w:val="0"/>
                <w:sz w:val="21"/>
                <w:szCs w:val="21"/>
                <w:lang w:eastAsia="zh-CN"/>
              </w:rPr>
              <w:t>、</w:t>
            </w:r>
            <w:r>
              <w:rPr>
                <w:rFonts w:cs="Times New Roman"/>
                <w:spacing w:val="8"/>
                <w:kern w:val="0"/>
                <w:sz w:val="21"/>
                <w:szCs w:val="21"/>
                <w:lang w:eastAsia="zh-CN"/>
              </w:rPr>
              <w:t>吸声</w:t>
            </w:r>
            <w:r>
              <w:rPr>
                <w:rFonts w:hint="eastAsia" w:cs="Times New Roman"/>
                <w:spacing w:val="8"/>
                <w:kern w:val="0"/>
                <w:sz w:val="21"/>
                <w:szCs w:val="21"/>
                <w:lang w:eastAsia="zh-CN"/>
              </w:rPr>
              <w:t>、</w:t>
            </w:r>
            <w:r>
              <w:rPr>
                <w:rFonts w:cs="Times New Roman"/>
                <w:spacing w:val="8"/>
                <w:kern w:val="0"/>
                <w:sz w:val="21"/>
                <w:szCs w:val="21"/>
                <w:lang w:eastAsia="zh-CN"/>
              </w:rPr>
              <w:t>消声</w:t>
            </w:r>
            <w:r>
              <w:rPr>
                <w:rFonts w:hint="eastAsia" w:cs="Times New Roman"/>
                <w:spacing w:val="8"/>
                <w:kern w:val="0"/>
                <w:sz w:val="21"/>
                <w:szCs w:val="21"/>
                <w:lang w:eastAsia="zh-CN"/>
              </w:rPr>
              <w:t>、</w:t>
            </w:r>
            <w:r>
              <w:rPr>
                <w:rFonts w:cs="Times New Roman"/>
                <w:spacing w:val="8"/>
                <w:kern w:val="0"/>
                <w:sz w:val="21"/>
                <w:szCs w:val="21"/>
                <w:lang w:eastAsia="zh-CN"/>
              </w:rPr>
              <w:t>室内安装。</w:t>
            </w:r>
          </w:p>
        </w:tc>
        <w:tc>
          <w:tcPr>
            <w:tcW w:w="1626" w:type="pct"/>
            <w:vAlign w:val="center"/>
          </w:tcPr>
          <w:p w14:paraId="26281CBF">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796799C7">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2FE872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restart"/>
            <w:vAlign w:val="center"/>
          </w:tcPr>
          <w:p w14:paraId="5853140E">
            <w:pPr>
              <w:autoSpaceDE w:val="0"/>
              <w:autoSpaceDN w:val="0"/>
              <w:adjustRightInd w:val="0"/>
              <w:spacing w:before="116" w:line="240" w:lineRule="auto"/>
              <w:ind w:firstLine="0" w:firstLineChars="0"/>
              <w:jc w:val="center"/>
              <w:rPr>
                <w:rFonts w:ascii="Calibri" w:hAnsi="Calibri" w:cs="Calibri"/>
                <w:b/>
                <w:kern w:val="0"/>
                <w:sz w:val="21"/>
                <w:szCs w:val="21"/>
                <w:lang w:eastAsia="en-US"/>
              </w:rPr>
            </w:pPr>
            <w:r>
              <w:rPr>
                <w:rFonts w:hint="eastAsia" w:ascii="Calibri" w:hAnsi="Calibri" w:cs="Calibri"/>
                <w:b/>
                <w:kern w:val="0"/>
                <w:sz w:val="21"/>
                <w:szCs w:val="21"/>
                <w:lang w:eastAsia="en-US"/>
              </w:rPr>
              <w:t>生态保护</w:t>
            </w:r>
          </w:p>
        </w:tc>
        <w:tc>
          <w:tcPr>
            <w:tcW w:w="345" w:type="pct"/>
            <w:vAlign w:val="center"/>
          </w:tcPr>
          <w:p w14:paraId="0635549A">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绿化</w:t>
            </w:r>
          </w:p>
        </w:tc>
        <w:tc>
          <w:tcPr>
            <w:tcW w:w="2235" w:type="pct"/>
            <w:vAlign w:val="center"/>
          </w:tcPr>
          <w:p w14:paraId="46FB408E">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选厂</w:t>
            </w:r>
            <w:r>
              <w:rPr>
                <w:rFonts w:hint="eastAsia" w:cs="Times New Roman"/>
                <w:spacing w:val="8"/>
                <w:kern w:val="0"/>
                <w:sz w:val="21"/>
                <w:szCs w:val="21"/>
                <w:lang w:eastAsia="zh-CN"/>
              </w:rPr>
              <w:t>、</w:t>
            </w:r>
            <w:r>
              <w:rPr>
                <w:rFonts w:cs="Times New Roman"/>
                <w:spacing w:val="8"/>
                <w:kern w:val="0"/>
                <w:sz w:val="21"/>
                <w:szCs w:val="21"/>
                <w:lang w:eastAsia="zh-CN"/>
              </w:rPr>
              <w:t>工业场地周围及道路两侧绿化</w:t>
            </w:r>
          </w:p>
        </w:tc>
        <w:tc>
          <w:tcPr>
            <w:tcW w:w="1626" w:type="pct"/>
            <w:vAlign w:val="center"/>
          </w:tcPr>
          <w:p w14:paraId="136F5FFA">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4A1505A9">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4CE032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03838687">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67CCA74E">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水土保持</w:t>
            </w:r>
          </w:p>
        </w:tc>
        <w:tc>
          <w:tcPr>
            <w:tcW w:w="2235" w:type="pct"/>
            <w:vAlign w:val="center"/>
          </w:tcPr>
          <w:p w14:paraId="313B595E">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挡墙、护坡、截水沟、植被</w:t>
            </w:r>
            <w:r>
              <w:rPr>
                <w:rFonts w:hint="eastAsia" w:cs="Times New Roman"/>
                <w:spacing w:val="8"/>
                <w:kern w:val="0"/>
                <w:sz w:val="21"/>
                <w:szCs w:val="21"/>
                <w:lang w:eastAsia="zh-CN"/>
              </w:rPr>
              <w:t>进行适当水土保持</w:t>
            </w:r>
          </w:p>
        </w:tc>
        <w:tc>
          <w:tcPr>
            <w:tcW w:w="1626" w:type="pct"/>
            <w:vAlign w:val="center"/>
          </w:tcPr>
          <w:p w14:paraId="498FA06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0BC301C2">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r w14:paraId="16BF77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111" w:type="pct"/>
            <w:vMerge w:val="continue"/>
            <w:vAlign w:val="center"/>
          </w:tcPr>
          <w:p w14:paraId="50004F65">
            <w:pPr>
              <w:autoSpaceDE w:val="0"/>
              <w:autoSpaceDN w:val="0"/>
              <w:adjustRightInd w:val="0"/>
              <w:spacing w:before="116" w:line="240" w:lineRule="auto"/>
              <w:ind w:firstLine="0" w:firstLineChars="0"/>
              <w:jc w:val="center"/>
              <w:rPr>
                <w:rFonts w:ascii="Calibri" w:hAnsi="Calibri" w:cs="Calibri"/>
                <w:b/>
                <w:kern w:val="0"/>
                <w:sz w:val="21"/>
                <w:szCs w:val="21"/>
                <w:lang w:eastAsia="zh-CN"/>
              </w:rPr>
            </w:pPr>
          </w:p>
        </w:tc>
        <w:tc>
          <w:tcPr>
            <w:tcW w:w="345" w:type="pct"/>
            <w:vAlign w:val="center"/>
          </w:tcPr>
          <w:p w14:paraId="36F2BF6B">
            <w:pPr>
              <w:spacing w:before="72" w:line="190" w:lineRule="auto"/>
              <w:ind w:hanging="8" w:firstLineChars="0"/>
              <w:jc w:val="center"/>
              <w:rPr>
                <w:rFonts w:cs="Times New Roman"/>
                <w:spacing w:val="8"/>
                <w:kern w:val="0"/>
                <w:sz w:val="21"/>
                <w:szCs w:val="21"/>
                <w:lang w:eastAsia="en-US"/>
              </w:rPr>
            </w:pPr>
            <w:r>
              <w:rPr>
                <w:rFonts w:cs="Times New Roman"/>
                <w:spacing w:val="8"/>
                <w:kern w:val="0"/>
                <w:sz w:val="21"/>
                <w:szCs w:val="21"/>
                <w:lang w:eastAsia="en-US"/>
              </w:rPr>
              <w:t>土地复垦</w:t>
            </w:r>
          </w:p>
        </w:tc>
        <w:tc>
          <w:tcPr>
            <w:tcW w:w="2235" w:type="pct"/>
            <w:vAlign w:val="center"/>
          </w:tcPr>
          <w:p w14:paraId="19A62AAA">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永久废弃地形成后及时进行复垦</w:t>
            </w:r>
          </w:p>
        </w:tc>
        <w:tc>
          <w:tcPr>
            <w:tcW w:w="1626" w:type="pct"/>
            <w:vAlign w:val="center"/>
          </w:tcPr>
          <w:p w14:paraId="3B4121B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与环评及验收一致</w:t>
            </w:r>
          </w:p>
        </w:tc>
        <w:tc>
          <w:tcPr>
            <w:tcW w:w="683" w:type="pct"/>
            <w:vAlign w:val="center"/>
          </w:tcPr>
          <w:p w14:paraId="20914F83">
            <w:pPr>
              <w:spacing w:before="72" w:line="190" w:lineRule="auto"/>
              <w:ind w:hanging="8" w:firstLineChars="0"/>
              <w:jc w:val="center"/>
              <w:rPr>
                <w:rFonts w:cs="Times New Roman"/>
                <w:spacing w:val="8"/>
                <w:kern w:val="0"/>
                <w:sz w:val="21"/>
                <w:szCs w:val="21"/>
                <w:lang w:eastAsia="zh-CN"/>
              </w:rPr>
            </w:pPr>
            <w:r>
              <w:rPr>
                <w:rFonts w:cs="Times New Roman"/>
                <w:spacing w:val="8"/>
                <w:kern w:val="0"/>
                <w:sz w:val="21"/>
                <w:szCs w:val="21"/>
                <w:lang w:eastAsia="zh-CN"/>
              </w:rPr>
              <w:t>无变化</w:t>
            </w:r>
          </w:p>
        </w:tc>
      </w:tr>
    </w:tbl>
    <w:p w14:paraId="22ED892B">
      <w:pPr>
        <w:ind w:firstLine="480"/>
      </w:pPr>
    </w:p>
    <w:p w14:paraId="7A04A57F">
      <w:pPr>
        <w:ind w:firstLine="480"/>
      </w:pPr>
    </w:p>
    <w:p w14:paraId="35F3AC98">
      <w:pPr>
        <w:ind w:firstLine="480"/>
        <w:sectPr>
          <w:pgSz w:w="16838" w:h="11906" w:orient="landscape"/>
          <w:pgMar w:top="1797" w:right="1440" w:bottom="1797" w:left="1440" w:header="851" w:footer="992" w:gutter="0"/>
          <w:cols w:space="425" w:num="1"/>
          <w:docGrid w:type="lines" w:linePitch="326" w:charSpace="0"/>
        </w:sectPr>
      </w:pPr>
    </w:p>
    <w:p w14:paraId="0BBCAAD1">
      <w:pPr>
        <w:pStyle w:val="4"/>
      </w:pPr>
      <w:r>
        <w:rPr>
          <w:rFonts w:hint="eastAsia"/>
        </w:rPr>
        <w:t>3.2.5</w:t>
      </w:r>
      <w:r>
        <w:t xml:space="preserve"> </w:t>
      </w:r>
      <w:r>
        <w:rPr>
          <w:rFonts w:hint="eastAsia"/>
        </w:rPr>
        <w:t>项目总平面布置</w:t>
      </w:r>
    </w:p>
    <w:p w14:paraId="265330CA">
      <w:pPr>
        <w:pStyle w:val="5"/>
      </w:pPr>
      <w:r>
        <w:rPr>
          <w:rFonts w:hint="eastAsia"/>
        </w:rPr>
        <w:t>3.2.5.1</w:t>
      </w:r>
      <w:r>
        <w:t xml:space="preserve"> </w:t>
      </w:r>
      <w:r>
        <w:rPr>
          <w:rFonts w:hint="eastAsia"/>
        </w:rPr>
        <w:t>总平面布置</w:t>
      </w:r>
    </w:p>
    <w:p w14:paraId="418E3DEC">
      <w:pPr>
        <w:ind w:firstLine="480"/>
      </w:pPr>
      <w:r>
        <w:t>草楼铁矿采选工程原有工程由主井及工业场地、副井及工业场地、措施井及工 业场地、北风井及工业场地、新南风井及工业场地、南辅助提升井、北辅助提升井、 选矿厂、尾矿库等部分组成。主井、副井、进风井（兼措施井）及其相应的工业场地与选矿厂集中布置在一起，位于选矿厂的南侧，生产厂区长 300m，宽 150m，整个厂区高差相差不大。</w:t>
      </w:r>
    </w:p>
    <w:p w14:paraId="08EA5D94">
      <w:pPr>
        <w:ind w:firstLine="480"/>
      </w:pPr>
      <w:r>
        <w:t>南风井位于南辅井南侧约 700m，南辅井位于厂区南侧900m 左右。北风井位于尾 矿库的南侧，距离厂区 300m，紧临尾矿库。尾矿库位于选厂的北侧，距离最近的厂 区 50m。北辅助井位于尾矿库西侧约 300m。北区尾砂充填站位于厂区北侧预留地上。 生活区布置在生产厂区东侧，生活区邻塘而建，南北长约 250m，东西宽约 200m。</w:t>
      </w:r>
    </w:p>
    <w:p w14:paraId="2214BE40">
      <w:pPr>
        <w:ind w:firstLine="480"/>
      </w:pPr>
      <w:r>
        <w:t>草楼铁矿总平面布置见图 3.2-2。</w:t>
      </w:r>
    </w:p>
    <w:p w14:paraId="10D35BAB">
      <w:pPr>
        <w:ind w:firstLine="480"/>
      </w:pPr>
      <w:r>
        <w:t>选矿厂区平面布置图见图 3.2-3。</w:t>
      </w:r>
    </w:p>
    <w:p w14:paraId="2C1FD022">
      <w:pPr>
        <w:spacing w:line="500" w:lineRule="exact"/>
        <w:ind w:firstLine="480"/>
      </w:pPr>
    </w:p>
    <w:p w14:paraId="7388F8FB">
      <w:pPr>
        <w:spacing w:line="500" w:lineRule="exact"/>
        <w:ind w:firstLine="480"/>
      </w:pPr>
    </w:p>
    <w:p w14:paraId="54F9F81F">
      <w:pPr>
        <w:ind w:firstLine="480"/>
        <w:sectPr>
          <w:pgSz w:w="11906" w:h="16838"/>
          <w:pgMar w:top="1440" w:right="1797" w:bottom="1440" w:left="1797" w:header="851" w:footer="992" w:gutter="0"/>
          <w:cols w:space="425" w:num="1"/>
          <w:docGrid w:type="lines" w:linePitch="312" w:charSpace="0"/>
        </w:sectPr>
      </w:pPr>
    </w:p>
    <w:p w14:paraId="1EE62FC8">
      <w:pPr>
        <w:ind w:firstLine="480"/>
        <w:jc w:val="center"/>
      </w:pPr>
      <w:r>
        <w:drawing>
          <wp:inline distT="0" distB="0" distL="0" distR="0">
            <wp:extent cx="6070600" cy="4584700"/>
            <wp:effectExtent l="0" t="0" r="6350" b="6350"/>
            <wp:docPr id="1150634152" name="IM 9"/>
            <wp:cNvGraphicFramePr/>
            <a:graphic xmlns:a="http://schemas.openxmlformats.org/drawingml/2006/main">
              <a:graphicData uri="http://schemas.openxmlformats.org/drawingml/2006/picture">
                <pic:pic xmlns:pic="http://schemas.openxmlformats.org/drawingml/2006/picture">
                  <pic:nvPicPr>
                    <pic:cNvPr id="1150634152" name="IM 9"/>
                    <pic:cNvPicPr/>
                  </pic:nvPicPr>
                  <pic:blipFill>
                    <a:blip r:embed="rId25"/>
                    <a:stretch>
                      <a:fillRect/>
                    </a:stretch>
                  </pic:blipFill>
                  <pic:spPr>
                    <a:xfrm>
                      <a:off x="0" y="0"/>
                      <a:ext cx="6072415" cy="4586071"/>
                    </a:xfrm>
                    <a:prstGeom prst="rect">
                      <a:avLst/>
                    </a:prstGeom>
                  </pic:spPr>
                </pic:pic>
              </a:graphicData>
            </a:graphic>
          </wp:inline>
        </w:drawing>
      </w:r>
    </w:p>
    <w:p w14:paraId="2A2325AB">
      <w:pPr>
        <w:pStyle w:val="18"/>
        <w:ind w:firstLine="482"/>
        <w:jc w:val="center"/>
        <w:rPr>
          <w:b/>
          <w:bCs/>
          <w:sz w:val="24"/>
          <w:szCs w:val="24"/>
        </w:rPr>
      </w:pPr>
      <w:r>
        <w:rPr>
          <w:b/>
          <w:bCs/>
          <w:sz w:val="24"/>
          <w:szCs w:val="24"/>
        </w:rPr>
        <w:t>图 3.2-2  项目总平面布置图</w:t>
      </w:r>
    </w:p>
    <w:p w14:paraId="6FB25B8D">
      <w:pPr>
        <w:pStyle w:val="18"/>
        <w:ind w:firstLine="482"/>
        <w:jc w:val="center"/>
        <w:rPr>
          <w:b/>
          <w:bCs/>
          <w:sz w:val="24"/>
          <w:szCs w:val="24"/>
        </w:rPr>
      </w:pPr>
    </w:p>
    <w:p w14:paraId="4BBE817C">
      <w:pPr>
        <w:pStyle w:val="18"/>
        <w:ind w:firstLine="360"/>
        <w:jc w:val="center"/>
        <w:rPr>
          <w:b/>
          <w:bCs/>
          <w:sz w:val="24"/>
          <w:szCs w:val="24"/>
        </w:rPr>
      </w:pPr>
      <w:r>
        <w:drawing>
          <wp:inline distT="0" distB="0" distL="0" distR="0">
            <wp:extent cx="3763645" cy="4775200"/>
            <wp:effectExtent l="0" t="0" r="8255" b="6350"/>
            <wp:docPr id="806517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17327" name="图片 1"/>
                    <pic:cNvPicPr>
                      <a:picLocks noChangeAspect="1"/>
                    </pic:cNvPicPr>
                  </pic:nvPicPr>
                  <pic:blipFill>
                    <a:blip r:embed="rId26"/>
                    <a:stretch>
                      <a:fillRect/>
                    </a:stretch>
                  </pic:blipFill>
                  <pic:spPr>
                    <a:xfrm>
                      <a:off x="0" y="0"/>
                      <a:ext cx="3763645" cy="4775200"/>
                    </a:xfrm>
                    <a:prstGeom prst="rect">
                      <a:avLst/>
                    </a:prstGeom>
                  </pic:spPr>
                </pic:pic>
              </a:graphicData>
            </a:graphic>
          </wp:inline>
        </w:drawing>
      </w:r>
    </w:p>
    <w:p w14:paraId="624DB517">
      <w:pPr>
        <w:pStyle w:val="18"/>
        <w:ind w:firstLine="482"/>
        <w:jc w:val="center"/>
      </w:pPr>
      <w:r>
        <w:rPr>
          <w:b/>
          <w:bCs/>
          <w:sz w:val="24"/>
          <w:szCs w:val="24"/>
        </w:rPr>
        <w:t>图 3.2-</w:t>
      </w:r>
      <w:r>
        <w:rPr>
          <w:rFonts w:hint="eastAsia"/>
          <w:b/>
          <w:bCs/>
          <w:sz w:val="24"/>
          <w:szCs w:val="24"/>
        </w:rPr>
        <w:t>3</w:t>
      </w:r>
      <w:r>
        <w:rPr>
          <w:b/>
          <w:bCs/>
          <w:sz w:val="24"/>
          <w:szCs w:val="24"/>
        </w:rPr>
        <w:t xml:space="preserve">  </w:t>
      </w:r>
      <w:r>
        <w:rPr>
          <w:rFonts w:hint="eastAsia"/>
          <w:b/>
          <w:bCs/>
          <w:sz w:val="24"/>
          <w:szCs w:val="24"/>
        </w:rPr>
        <w:t>选厂</w:t>
      </w:r>
      <w:r>
        <w:rPr>
          <w:b/>
          <w:bCs/>
          <w:sz w:val="24"/>
          <w:szCs w:val="24"/>
        </w:rPr>
        <w:t>总平面布置图</w:t>
      </w:r>
    </w:p>
    <w:p w14:paraId="5B07DA9B">
      <w:pPr>
        <w:ind w:firstLine="480"/>
        <w:sectPr>
          <w:pgSz w:w="16838" w:h="11906" w:orient="landscape"/>
          <w:pgMar w:top="1797" w:right="1440" w:bottom="1797" w:left="1440" w:header="851" w:footer="992" w:gutter="0"/>
          <w:cols w:space="425" w:num="1"/>
          <w:docGrid w:type="linesAndChars" w:linePitch="312" w:charSpace="0"/>
        </w:sectPr>
      </w:pPr>
    </w:p>
    <w:p w14:paraId="52B0CEB0">
      <w:pPr>
        <w:pStyle w:val="5"/>
      </w:pPr>
      <w:r>
        <w:rPr>
          <w:rFonts w:hint="eastAsia"/>
        </w:rPr>
        <w:t>3.2.5.3</w:t>
      </w:r>
      <w:r>
        <w:t xml:space="preserve"> </w:t>
      </w:r>
      <w:r>
        <w:rPr>
          <w:rFonts w:hint="eastAsia"/>
        </w:rPr>
        <w:t>项目占地</w:t>
      </w:r>
    </w:p>
    <w:p w14:paraId="4FDF2E53">
      <w:pPr>
        <w:ind w:firstLine="480"/>
      </w:pPr>
      <w:r>
        <w:rPr>
          <w:rFonts w:hint="eastAsia"/>
        </w:rPr>
        <w:t>与环评及验收阶段相比，项目占地未发生变化。</w:t>
      </w:r>
    </w:p>
    <w:p w14:paraId="47C04298">
      <w:pPr>
        <w:ind w:firstLine="480"/>
      </w:pPr>
      <w:r>
        <w:rPr>
          <w:rFonts w:hint="eastAsia"/>
        </w:rPr>
        <w:t>主要占地情况见表3.2-5。</w:t>
      </w:r>
    </w:p>
    <w:p w14:paraId="28E78EBC">
      <w:pPr>
        <w:pStyle w:val="18"/>
        <w:ind w:firstLine="482"/>
        <w:jc w:val="center"/>
        <w:rPr>
          <w:b/>
          <w:bCs/>
          <w:sz w:val="24"/>
          <w:szCs w:val="24"/>
        </w:rPr>
      </w:pPr>
      <w:r>
        <w:rPr>
          <w:rFonts w:hint="eastAsia"/>
          <w:b/>
          <w:bCs/>
          <w:sz w:val="24"/>
          <w:szCs w:val="24"/>
        </w:rPr>
        <w:t>表3.2-5</w:t>
      </w:r>
      <w:r>
        <w:rPr>
          <w:b/>
          <w:bCs/>
          <w:sz w:val="24"/>
          <w:szCs w:val="24"/>
        </w:rPr>
        <w:t xml:space="preserve">  </w:t>
      </w:r>
      <w:r>
        <w:rPr>
          <w:rFonts w:hint="eastAsia"/>
          <w:b/>
          <w:bCs/>
          <w:sz w:val="24"/>
          <w:szCs w:val="24"/>
        </w:rPr>
        <w:t>工程占地情况表</w:t>
      </w:r>
    </w:p>
    <w:tbl>
      <w:tblPr>
        <w:tblStyle w:val="139"/>
        <w:tblW w:w="895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93"/>
        <w:gridCol w:w="807"/>
        <w:gridCol w:w="5011"/>
        <w:gridCol w:w="1939"/>
      </w:tblGrid>
      <w:tr w14:paraId="13F1C4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jc w:val="center"/>
        </w:trPr>
        <w:tc>
          <w:tcPr>
            <w:tcW w:w="1193" w:type="dxa"/>
            <w:tcBorders>
              <w:left w:val="single" w:color="000000" w:sz="10" w:space="0"/>
            </w:tcBorders>
            <w:vAlign w:val="center"/>
          </w:tcPr>
          <w:p w14:paraId="3ACE1B45">
            <w:pPr>
              <w:spacing w:before="94" w:line="228"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14:textOutline w14:w="3797" w14:cap="sq" w14:cmpd="sng" w14:algn="ctr">
                  <w14:solidFill>
                    <w14:srgbClr w14:val="000000"/>
                  </w14:solidFill>
                  <w14:prstDash w14:val="solid"/>
                  <w14:bevel/>
                </w14:textOutline>
              </w:rPr>
              <w:t>占地性质</w:t>
            </w:r>
          </w:p>
        </w:tc>
        <w:tc>
          <w:tcPr>
            <w:tcW w:w="807" w:type="dxa"/>
            <w:vAlign w:val="center"/>
          </w:tcPr>
          <w:p w14:paraId="0FF8FD96">
            <w:pPr>
              <w:spacing w:before="94" w:line="229"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t>序号</w:t>
            </w:r>
          </w:p>
        </w:tc>
        <w:tc>
          <w:tcPr>
            <w:tcW w:w="5011" w:type="dxa"/>
            <w:vAlign w:val="center"/>
          </w:tcPr>
          <w:p w14:paraId="5E251CF6">
            <w:pPr>
              <w:spacing w:before="94" w:line="228"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t>类别</w:t>
            </w:r>
          </w:p>
        </w:tc>
        <w:tc>
          <w:tcPr>
            <w:tcW w:w="1939" w:type="dxa"/>
            <w:tcBorders>
              <w:right w:val="single" w:color="000000" w:sz="10" w:space="0"/>
            </w:tcBorders>
            <w:vAlign w:val="center"/>
          </w:tcPr>
          <w:p w14:paraId="50D4EF6B">
            <w:pPr>
              <w:spacing w:before="94" w:line="228"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4"/>
                <w:kern w:val="0"/>
                <w:sz w:val="20"/>
                <w:szCs w:val="20"/>
                <w14:textOutline w14:w="3797" w14:cap="sq" w14:cmpd="sng" w14:algn="ctr">
                  <w14:solidFill>
                    <w14:srgbClr w14:val="000000"/>
                  </w14:solidFill>
                  <w14:prstDash w14:val="solid"/>
                  <w14:bevel/>
                </w14:textOutline>
              </w:rPr>
              <w:t>占地面积（</w:t>
            </w:r>
            <w:r>
              <w:rPr>
                <w:rFonts w:ascii="宋体" w:hAnsi="宋体" w:cs="宋体"/>
                <w:snapToGrid w:val="0"/>
                <w:color w:val="auto"/>
                <w:spacing w:val="1"/>
                <w:kern w:val="0"/>
                <w:sz w:val="20"/>
                <w:szCs w:val="20"/>
                <w14:textOutline w14:w="3797" w14:cap="sq" w14:cmpd="sng" w14:algn="ctr">
                  <w14:solidFill>
                    <w14:srgbClr w14:val="000000"/>
                  </w14:solidFill>
                  <w14:prstDash w14:val="solid"/>
                  <w14:bevel/>
                </w14:textOutline>
              </w:rPr>
              <w:t>hm</w:t>
            </w:r>
            <w:r>
              <w:rPr>
                <w:rFonts w:ascii="宋体" w:hAnsi="宋体" w:cs="宋体"/>
                <w:snapToGrid w:val="0"/>
                <w:color w:val="auto"/>
                <w:spacing w:val="1"/>
                <w:kern w:val="0"/>
                <w:position w:val="10"/>
                <w:sz w:val="10"/>
                <w:szCs w:val="10"/>
                <w14:textOutline w14:w="1930" w14:cap="sq" w14:cmpd="sng" w14:algn="ctr">
                  <w14:solidFill>
                    <w14:srgbClr w14:val="000000"/>
                  </w14:solidFill>
                  <w14:prstDash w14:val="solid"/>
                  <w14:bevel/>
                </w14:textOutline>
              </w:rPr>
              <w:t>2</w:t>
            </w:r>
            <w:r>
              <w:rPr>
                <w:rFonts w:ascii="宋体" w:hAnsi="宋体" w:cs="宋体"/>
                <w:snapToGrid w:val="0"/>
                <w:color w:val="auto"/>
                <w:spacing w:val="5"/>
                <w:kern w:val="0"/>
                <w:sz w:val="20"/>
                <w:szCs w:val="20"/>
                <w14:textOutline w14:w="3797" w14:cap="sq" w14:cmpd="sng" w14:algn="ctr">
                  <w14:solidFill>
                    <w14:srgbClr w14:val="000000"/>
                  </w14:solidFill>
                  <w14:prstDash w14:val="solid"/>
                  <w14:bevel/>
                </w14:textOutline>
              </w:rPr>
              <w:t>）</w:t>
            </w:r>
          </w:p>
        </w:tc>
      </w:tr>
      <w:tr w14:paraId="5D3F3F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193" w:type="dxa"/>
            <w:vMerge w:val="restart"/>
            <w:tcBorders>
              <w:left w:val="single" w:color="000000" w:sz="10" w:space="0"/>
              <w:bottom w:val="nil"/>
            </w:tcBorders>
            <w:vAlign w:val="center"/>
          </w:tcPr>
          <w:p w14:paraId="056FD2D3">
            <w:pPr>
              <w:spacing w:before="65" w:line="229"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永久占</w:t>
            </w:r>
            <w:r>
              <w:rPr>
                <w:rFonts w:ascii="宋体" w:hAnsi="宋体" w:cs="宋体"/>
                <w:snapToGrid w:val="0"/>
                <w:color w:val="auto"/>
                <w:spacing w:val="6"/>
                <w:kern w:val="0"/>
                <w:sz w:val="20"/>
                <w:szCs w:val="20"/>
              </w:rPr>
              <w:t>地</w:t>
            </w:r>
          </w:p>
        </w:tc>
        <w:tc>
          <w:tcPr>
            <w:tcW w:w="807" w:type="dxa"/>
            <w:vAlign w:val="center"/>
          </w:tcPr>
          <w:p w14:paraId="2DF7A1AD">
            <w:pPr>
              <w:spacing w:before="104" w:line="193"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5011" w:type="dxa"/>
            <w:vAlign w:val="center"/>
          </w:tcPr>
          <w:p w14:paraId="10022618">
            <w:pPr>
              <w:spacing w:before="72" w:line="228" w:lineRule="auto"/>
              <w:ind w:firstLine="199" w:firstLineChars="93"/>
              <w:jc w:val="center"/>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尾矿</w:t>
            </w:r>
            <w:r>
              <w:rPr>
                <w:rFonts w:ascii="宋体" w:hAnsi="宋体" w:cs="宋体"/>
                <w:snapToGrid w:val="0"/>
                <w:color w:val="auto"/>
                <w:spacing w:val="6"/>
                <w:kern w:val="0"/>
                <w:sz w:val="20"/>
                <w:szCs w:val="20"/>
              </w:rPr>
              <w:t>库</w:t>
            </w:r>
          </w:p>
        </w:tc>
        <w:tc>
          <w:tcPr>
            <w:tcW w:w="1939" w:type="dxa"/>
            <w:tcBorders>
              <w:right w:val="single" w:color="000000" w:sz="10" w:space="0"/>
            </w:tcBorders>
            <w:vAlign w:val="center"/>
          </w:tcPr>
          <w:p w14:paraId="3D7C1BB2">
            <w:pPr>
              <w:spacing w:before="106" w:line="190" w:lineRule="auto"/>
              <w:ind w:firstLineChars="97"/>
              <w:jc w:val="center"/>
              <w:rPr>
                <w:rFonts w:hint="eastAsia" w:ascii="宋体" w:hAnsi="宋体" w:cs="宋体"/>
                <w:snapToGrid w:val="0"/>
                <w:color w:val="auto"/>
                <w:kern w:val="0"/>
                <w:sz w:val="20"/>
                <w:szCs w:val="20"/>
              </w:rPr>
            </w:pPr>
            <w:r>
              <w:rPr>
                <w:rFonts w:ascii="宋体" w:hAnsi="宋体" w:cs="宋体"/>
                <w:snapToGrid w:val="0"/>
                <w:color w:val="auto"/>
                <w:spacing w:val="3"/>
                <w:kern w:val="0"/>
                <w:sz w:val="20"/>
                <w:szCs w:val="20"/>
              </w:rPr>
              <w:t>25.</w:t>
            </w:r>
            <w:r>
              <w:rPr>
                <w:rFonts w:ascii="宋体" w:hAnsi="宋体" w:cs="宋体"/>
                <w:snapToGrid w:val="0"/>
                <w:color w:val="auto"/>
                <w:spacing w:val="2"/>
                <w:kern w:val="0"/>
                <w:sz w:val="20"/>
                <w:szCs w:val="20"/>
              </w:rPr>
              <w:t>94</w:t>
            </w:r>
          </w:p>
        </w:tc>
      </w:tr>
      <w:tr w14:paraId="13D33A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1193" w:type="dxa"/>
            <w:vMerge w:val="continue"/>
            <w:tcBorders>
              <w:top w:val="nil"/>
              <w:left w:val="single" w:color="000000" w:sz="10" w:space="0"/>
              <w:bottom w:val="nil"/>
            </w:tcBorders>
            <w:vAlign w:val="center"/>
          </w:tcPr>
          <w:p w14:paraId="5E6A4DF2">
            <w:pPr>
              <w:ind w:firstLine="480"/>
              <w:rPr>
                <w:rFonts w:cs="Arial"/>
                <w:snapToGrid w:val="0"/>
                <w:color w:val="auto"/>
                <w:kern w:val="0"/>
                <w:szCs w:val="21"/>
              </w:rPr>
            </w:pPr>
          </w:p>
        </w:tc>
        <w:tc>
          <w:tcPr>
            <w:tcW w:w="807" w:type="dxa"/>
            <w:vAlign w:val="center"/>
          </w:tcPr>
          <w:p w14:paraId="2F3D12A2">
            <w:pPr>
              <w:spacing w:before="104" w:line="192"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2</w:t>
            </w:r>
          </w:p>
        </w:tc>
        <w:tc>
          <w:tcPr>
            <w:tcW w:w="5011" w:type="dxa"/>
            <w:vAlign w:val="center"/>
          </w:tcPr>
          <w:p w14:paraId="5500A2E6">
            <w:pPr>
              <w:spacing w:before="71" w:line="227" w:lineRule="auto"/>
              <w:ind w:firstLine="198" w:firstLineChars="91"/>
              <w:jc w:val="center"/>
              <w:rPr>
                <w:rFonts w:hint="eastAsia" w:ascii="宋体" w:hAnsi="宋体" w:cs="宋体"/>
                <w:snapToGrid w:val="0"/>
                <w:color w:val="auto"/>
                <w:kern w:val="0"/>
                <w:sz w:val="20"/>
                <w:szCs w:val="20"/>
              </w:rPr>
            </w:pPr>
            <w:r>
              <w:rPr>
                <w:rFonts w:ascii="宋体" w:hAnsi="宋体" w:cs="宋体"/>
                <w:snapToGrid w:val="0"/>
                <w:color w:val="auto"/>
                <w:spacing w:val="9"/>
                <w:kern w:val="0"/>
                <w:sz w:val="20"/>
                <w:szCs w:val="20"/>
              </w:rPr>
              <w:t>采选</w:t>
            </w:r>
            <w:r>
              <w:rPr>
                <w:rFonts w:ascii="宋体" w:hAnsi="宋体" w:cs="宋体"/>
                <w:snapToGrid w:val="0"/>
                <w:color w:val="auto"/>
                <w:spacing w:val="8"/>
                <w:kern w:val="0"/>
                <w:sz w:val="20"/>
                <w:szCs w:val="20"/>
              </w:rPr>
              <w:t>工业场地</w:t>
            </w:r>
          </w:p>
        </w:tc>
        <w:tc>
          <w:tcPr>
            <w:tcW w:w="1939" w:type="dxa"/>
            <w:tcBorders>
              <w:right w:val="single" w:color="000000" w:sz="10" w:space="0"/>
            </w:tcBorders>
            <w:vAlign w:val="center"/>
          </w:tcPr>
          <w:p w14:paraId="1476276D">
            <w:pPr>
              <w:spacing w:before="103" w:line="191" w:lineRule="auto"/>
              <w:ind w:firstLineChars="10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16.54</w:t>
            </w:r>
          </w:p>
        </w:tc>
      </w:tr>
      <w:tr w14:paraId="3ACC8C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1193" w:type="dxa"/>
            <w:vMerge w:val="continue"/>
            <w:tcBorders>
              <w:top w:val="nil"/>
              <w:left w:val="single" w:color="000000" w:sz="10" w:space="0"/>
              <w:bottom w:val="nil"/>
            </w:tcBorders>
            <w:vAlign w:val="center"/>
          </w:tcPr>
          <w:p w14:paraId="296D43F9">
            <w:pPr>
              <w:ind w:firstLine="480"/>
              <w:rPr>
                <w:rFonts w:cs="Arial"/>
                <w:snapToGrid w:val="0"/>
                <w:color w:val="auto"/>
                <w:kern w:val="0"/>
                <w:szCs w:val="21"/>
              </w:rPr>
            </w:pPr>
          </w:p>
        </w:tc>
        <w:tc>
          <w:tcPr>
            <w:tcW w:w="807" w:type="dxa"/>
            <w:vAlign w:val="center"/>
          </w:tcPr>
          <w:p w14:paraId="5FD561D3">
            <w:pPr>
              <w:spacing w:before="106" w:line="190"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3</w:t>
            </w:r>
          </w:p>
        </w:tc>
        <w:tc>
          <w:tcPr>
            <w:tcW w:w="5011" w:type="dxa"/>
            <w:vAlign w:val="center"/>
          </w:tcPr>
          <w:p w14:paraId="1816C89A">
            <w:pPr>
              <w:spacing w:before="73" w:line="228" w:lineRule="auto"/>
              <w:ind w:firstLine="198" w:firstLineChars="91"/>
              <w:jc w:val="center"/>
              <w:rPr>
                <w:rFonts w:hint="eastAsia" w:ascii="宋体" w:hAnsi="宋体" w:cs="宋体"/>
                <w:snapToGrid w:val="0"/>
                <w:color w:val="auto"/>
                <w:kern w:val="0"/>
                <w:sz w:val="20"/>
                <w:szCs w:val="20"/>
              </w:rPr>
            </w:pPr>
            <w:r>
              <w:rPr>
                <w:rFonts w:ascii="宋体" w:hAnsi="宋体" w:cs="宋体"/>
                <w:snapToGrid w:val="0"/>
                <w:color w:val="auto"/>
                <w:spacing w:val="9"/>
                <w:kern w:val="0"/>
                <w:sz w:val="20"/>
                <w:szCs w:val="20"/>
              </w:rPr>
              <w:t>风</w:t>
            </w:r>
            <w:r>
              <w:rPr>
                <w:rFonts w:ascii="宋体" w:hAnsi="宋体" w:cs="宋体"/>
                <w:snapToGrid w:val="0"/>
                <w:color w:val="auto"/>
                <w:spacing w:val="8"/>
                <w:kern w:val="0"/>
                <w:sz w:val="20"/>
                <w:szCs w:val="20"/>
              </w:rPr>
              <w:t>井</w:t>
            </w:r>
            <w:r>
              <w:rPr>
                <w:rFonts w:ascii="宋体" w:hAnsi="宋体" w:cs="宋体"/>
                <w:snapToGrid w:val="0"/>
                <w:color w:val="auto"/>
                <w:spacing w:val="10"/>
                <w:kern w:val="0"/>
                <w:sz w:val="20"/>
                <w:szCs w:val="20"/>
              </w:rPr>
              <w:t>、</w:t>
            </w:r>
            <w:r>
              <w:rPr>
                <w:rFonts w:ascii="宋体" w:hAnsi="宋体" w:cs="宋体"/>
                <w:snapToGrid w:val="0"/>
                <w:color w:val="auto"/>
                <w:spacing w:val="8"/>
                <w:kern w:val="0"/>
                <w:sz w:val="20"/>
                <w:szCs w:val="20"/>
              </w:rPr>
              <w:t>填充站等</w:t>
            </w:r>
          </w:p>
        </w:tc>
        <w:tc>
          <w:tcPr>
            <w:tcW w:w="1939" w:type="dxa"/>
            <w:tcBorders>
              <w:right w:val="single" w:color="000000" w:sz="10" w:space="0"/>
            </w:tcBorders>
            <w:vAlign w:val="center"/>
          </w:tcPr>
          <w:p w14:paraId="3D1A7378">
            <w:pPr>
              <w:spacing w:before="105" w:line="192" w:lineRule="auto"/>
              <w:ind w:firstLineChars="96"/>
              <w:jc w:val="center"/>
              <w:rPr>
                <w:rFonts w:hint="eastAsia" w:ascii="宋体" w:hAnsi="宋体" w:cs="宋体"/>
                <w:snapToGrid w:val="0"/>
                <w:color w:val="auto"/>
                <w:kern w:val="0"/>
                <w:sz w:val="20"/>
                <w:szCs w:val="20"/>
              </w:rPr>
            </w:pPr>
            <w:r>
              <w:rPr>
                <w:rFonts w:ascii="宋体" w:hAnsi="宋体" w:cs="宋体"/>
                <w:snapToGrid w:val="0"/>
                <w:color w:val="auto"/>
                <w:spacing w:val="4"/>
                <w:kern w:val="0"/>
                <w:sz w:val="20"/>
                <w:szCs w:val="20"/>
              </w:rPr>
              <w:t>4</w:t>
            </w:r>
            <w:r>
              <w:rPr>
                <w:rFonts w:ascii="宋体" w:hAnsi="宋体" w:cs="宋体"/>
                <w:snapToGrid w:val="0"/>
                <w:color w:val="auto"/>
                <w:spacing w:val="3"/>
                <w:kern w:val="0"/>
                <w:sz w:val="20"/>
                <w:szCs w:val="20"/>
              </w:rPr>
              <w:t>.85</w:t>
            </w:r>
          </w:p>
        </w:tc>
      </w:tr>
      <w:tr w14:paraId="076C32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193" w:type="dxa"/>
            <w:vMerge w:val="continue"/>
            <w:tcBorders>
              <w:top w:val="nil"/>
              <w:left w:val="single" w:color="000000" w:sz="10" w:space="0"/>
              <w:bottom w:val="nil"/>
            </w:tcBorders>
            <w:vAlign w:val="center"/>
          </w:tcPr>
          <w:p w14:paraId="54471AC4">
            <w:pPr>
              <w:ind w:firstLine="480"/>
              <w:rPr>
                <w:rFonts w:cs="Arial"/>
                <w:snapToGrid w:val="0"/>
                <w:color w:val="auto"/>
                <w:kern w:val="0"/>
                <w:szCs w:val="21"/>
              </w:rPr>
            </w:pPr>
          </w:p>
        </w:tc>
        <w:tc>
          <w:tcPr>
            <w:tcW w:w="807" w:type="dxa"/>
            <w:vAlign w:val="center"/>
          </w:tcPr>
          <w:p w14:paraId="46DAB3A9">
            <w:pPr>
              <w:spacing w:before="109" w:line="192"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4</w:t>
            </w:r>
          </w:p>
        </w:tc>
        <w:tc>
          <w:tcPr>
            <w:tcW w:w="5011" w:type="dxa"/>
            <w:vAlign w:val="center"/>
          </w:tcPr>
          <w:p w14:paraId="4F2B27CB">
            <w:pPr>
              <w:spacing w:before="76" w:line="228" w:lineRule="auto"/>
              <w:ind w:firstLine="198" w:firstLineChars="91"/>
              <w:jc w:val="center"/>
              <w:rPr>
                <w:rFonts w:hint="eastAsia" w:ascii="宋体" w:hAnsi="宋体" w:cs="宋体"/>
                <w:snapToGrid w:val="0"/>
                <w:color w:val="auto"/>
                <w:kern w:val="0"/>
                <w:sz w:val="20"/>
                <w:szCs w:val="20"/>
              </w:rPr>
            </w:pPr>
            <w:r>
              <w:rPr>
                <w:rFonts w:ascii="宋体" w:hAnsi="宋体" w:cs="宋体"/>
                <w:snapToGrid w:val="0"/>
                <w:color w:val="auto"/>
                <w:spacing w:val="9"/>
                <w:kern w:val="0"/>
                <w:sz w:val="20"/>
                <w:szCs w:val="20"/>
              </w:rPr>
              <w:t>场外道路及辅助设施区</w:t>
            </w:r>
          </w:p>
        </w:tc>
        <w:tc>
          <w:tcPr>
            <w:tcW w:w="1939" w:type="dxa"/>
            <w:tcBorders>
              <w:right w:val="single" w:color="000000" w:sz="10" w:space="0"/>
            </w:tcBorders>
            <w:vAlign w:val="center"/>
          </w:tcPr>
          <w:p w14:paraId="45A288F0">
            <w:pPr>
              <w:spacing w:before="109" w:line="190" w:lineRule="auto"/>
              <w:ind w:firstLineChars="98"/>
              <w:jc w:val="center"/>
              <w:rPr>
                <w:rFonts w:hint="eastAsia" w:ascii="宋体" w:hAnsi="宋体" w:cs="宋体"/>
                <w:snapToGrid w:val="0"/>
                <w:color w:val="auto"/>
                <w:kern w:val="0"/>
                <w:sz w:val="20"/>
                <w:szCs w:val="20"/>
              </w:rPr>
            </w:pPr>
            <w:r>
              <w:rPr>
                <w:rFonts w:ascii="宋体" w:hAnsi="宋体" w:cs="宋体"/>
                <w:snapToGrid w:val="0"/>
                <w:color w:val="auto"/>
                <w:spacing w:val="2"/>
                <w:kern w:val="0"/>
                <w:sz w:val="20"/>
                <w:szCs w:val="20"/>
              </w:rPr>
              <w:t>3.26</w:t>
            </w:r>
          </w:p>
        </w:tc>
      </w:tr>
      <w:tr w14:paraId="3B6FD9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193" w:type="dxa"/>
            <w:vMerge w:val="continue"/>
            <w:tcBorders>
              <w:top w:val="nil"/>
              <w:left w:val="single" w:color="000000" w:sz="10" w:space="0"/>
            </w:tcBorders>
            <w:vAlign w:val="center"/>
          </w:tcPr>
          <w:p w14:paraId="5CCC1F1D">
            <w:pPr>
              <w:ind w:firstLine="480"/>
              <w:rPr>
                <w:rFonts w:cs="Arial"/>
                <w:snapToGrid w:val="0"/>
                <w:color w:val="auto"/>
                <w:kern w:val="0"/>
                <w:szCs w:val="21"/>
              </w:rPr>
            </w:pPr>
          </w:p>
        </w:tc>
        <w:tc>
          <w:tcPr>
            <w:tcW w:w="807" w:type="dxa"/>
            <w:vAlign w:val="center"/>
          </w:tcPr>
          <w:p w14:paraId="1DD2706E">
            <w:pPr>
              <w:spacing w:before="108" w:line="189"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5</w:t>
            </w:r>
          </w:p>
        </w:tc>
        <w:tc>
          <w:tcPr>
            <w:tcW w:w="5011" w:type="dxa"/>
            <w:vAlign w:val="center"/>
          </w:tcPr>
          <w:p w14:paraId="2D2FFE15">
            <w:pPr>
              <w:spacing w:before="74" w:line="228" w:lineRule="auto"/>
              <w:ind w:firstLine="198" w:firstLineChars="92"/>
              <w:jc w:val="center"/>
              <w:rPr>
                <w:rFonts w:hint="eastAsia" w:ascii="宋体" w:hAnsi="宋体" w:cs="宋体"/>
                <w:snapToGrid w:val="0"/>
                <w:color w:val="auto"/>
                <w:kern w:val="0"/>
                <w:sz w:val="20"/>
                <w:szCs w:val="20"/>
              </w:rPr>
            </w:pPr>
            <w:r>
              <w:rPr>
                <w:rFonts w:ascii="宋体" w:hAnsi="宋体" w:cs="宋体"/>
                <w:snapToGrid w:val="0"/>
                <w:color w:val="auto"/>
                <w:spacing w:val="8"/>
                <w:kern w:val="0"/>
                <w:sz w:val="20"/>
                <w:szCs w:val="20"/>
              </w:rPr>
              <w:t>办</w:t>
            </w:r>
            <w:r>
              <w:rPr>
                <w:rFonts w:ascii="宋体" w:hAnsi="宋体" w:cs="宋体"/>
                <w:snapToGrid w:val="0"/>
                <w:color w:val="auto"/>
                <w:spacing w:val="7"/>
                <w:kern w:val="0"/>
                <w:sz w:val="20"/>
                <w:szCs w:val="20"/>
              </w:rPr>
              <w:t>公生活区</w:t>
            </w:r>
          </w:p>
        </w:tc>
        <w:tc>
          <w:tcPr>
            <w:tcW w:w="1939" w:type="dxa"/>
            <w:tcBorders>
              <w:right w:val="single" w:color="000000" w:sz="10" w:space="0"/>
            </w:tcBorders>
            <w:vAlign w:val="center"/>
          </w:tcPr>
          <w:p w14:paraId="25334878">
            <w:pPr>
              <w:spacing w:before="107" w:line="192" w:lineRule="auto"/>
              <w:ind w:firstLine="199" w:firstLineChars="94"/>
              <w:jc w:val="center"/>
              <w:rPr>
                <w:rFonts w:hint="eastAsia" w:ascii="宋体" w:hAnsi="宋体" w:cs="宋体"/>
                <w:snapToGrid w:val="0"/>
                <w:color w:val="auto"/>
                <w:kern w:val="0"/>
                <w:sz w:val="20"/>
                <w:szCs w:val="20"/>
              </w:rPr>
            </w:pPr>
            <w:r>
              <w:rPr>
                <w:rFonts w:ascii="宋体" w:hAnsi="宋体" w:cs="宋体"/>
                <w:snapToGrid w:val="0"/>
                <w:color w:val="auto"/>
                <w:spacing w:val="6"/>
                <w:kern w:val="0"/>
                <w:sz w:val="20"/>
                <w:szCs w:val="20"/>
              </w:rPr>
              <w:t>4</w:t>
            </w:r>
            <w:r>
              <w:rPr>
                <w:rFonts w:ascii="宋体" w:hAnsi="宋体" w:cs="宋体"/>
                <w:snapToGrid w:val="0"/>
                <w:color w:val="auto"/>
                <w:spacing w:val="5"/>
                <w:kern w:val="0"/>
                <w:sz w:val="20"/>
                <w:szCs w:val="20"/>
              </w:rPr>
              <w:t>.5</w:t>
            </w:r>
          </w:p>
        </w:tc>
      </w:tr>
      <w:tr w14:paraId="68DC57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193" w:type="dxa"/>
            <w:tcBorders>
              <w:left w:val="single" w:color="000000" w:sz="10" w:space="0"/>
            </w:tcBorders>
            <w:vAlign w:val="center"/>
          </w:tcPr>
          <w:p w14:paraId="4CE83BB8">
            <w:pPr>
              <w:ind w:firstLine="480"/>
              <w:rPr>
                <w:rFonts w:cs="Arial"/>
                <w:snapToGrid w:val="0"/>
                <w:color w:val="auto"/>
                <w:kern w:val="0"/>
                <w:szCs w:val="21"/>
              </w:rPr>
            </w:pPr>
            <w:r>
              <w:rPr>
                <w:rFonts w:hint="eastAsia" w:cs="Arial"/>
                <w:snapToGrid w:val="0"/>
                <w:color w:val="auto"/>
                <w:kern w:val="0"/>
                <w:szCs w:val="21"/>
              </w:rPr>
              <w:t>/</w:t>
            </w:r>
          </w:p>
        </w:tc>
        <w:tc>
          <w:tcPr>
            <w:tcW w:w="807" w:type="dxa"/>
            <w:vAlign w:val="center"/>
          </w:tcPr>
          <w:p w14:paraId="0447DF0F">
            <w:pPr>
              <w:spacing w:before="108" w:line="190"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6</w:t>
            </w:r>
          </w:p>
        </w:tc>
        <w:tc>
          <w:tcPr>
            <w:tcW w:w="5011" w:type="dxa"/>
            <w:vAlign w:val="center"/>
          </w:tcPr>
          <w:p w14:paraId="5444F46D">
            <w:pPr>
              <w:spacing w:before="74" w:line="228" w:lineRule="auto"/>
              <w:ind w:firstLine="198" w:firstLineChars="92"/>
              <w:jc w:val="center"/>
              <w:rPr>
                <w:rFonts w:hint="eastAsia" w:ascii="宋体" w:hAnsi="宋体" w:cs="宋体"/>
                <w:snapToGrid w:val="0"/>
                <w:color w:val="auto"/>
                <w:kern w:val="0"/>
                <w:sz w:val="20"/>
                <w:szCs w:val="20"/>
              </w:rPr>
            </w:pPr>
            <w:r>
              <w:rPr>
                <w:rFonts w:ascii="宋体" w:hAnsi="宋体" w:cs="宋体"/>
                <w:snapToGrid w:val="0"/>
                <w:color w:val="auto"/>
                <w:spacing w:val="8"/>
                <w:kern w:val="0"/>
                <w:sz w:val="20"/>
                <w:szCs w:val="20"/>
              </w:rPr>
              <w:t>临时废石场区（建设过程</w:t>
            </w:r>
            <w:r>
              <w:rPr>
                <w:rFonts w:ascii="宋体" w:hAnsi="宋体" w:cs="宋体"/>
                <w:snapToGrid w:val="0"/>
                <w:color w:val="auto"/>
                <w:spacing w:val="7"/>
                <w:kern w:val="0"/>
                <w:sz w:val="20"/>
                <w:szCs w:val="20"/>
              </w:rPr>
              <w:t>中取消</w:t>
            </w:r>
            <w:r>
              <w:rPr>
                <w:rFonts w:ascii="宋体" w:hAnsi="宋体" w:cs="宋体"/>
                <w:snapToGrid w:val="0"/>
                <w:color w:val="auto"/>
                <w:spacing w:val="9"/>
                <w:kern w:val="0"/>
                <w:sz w:val="20"/>
                <w:szCs w:val="20"/>
              </w:rPr>
              <w:t>）</w:t>
            </w:r>
          </w:p>
        </w:tc>
        <w:tc>
          <w:tcPr>
            <w:tcW w:w="1939" w:type="dxa"/>
            <w:tcBorders>
              <w:right w:val="single" w:color="000000" w:sz="10" w:space="0"/>
            </w:tcBorders>
            <w:vAlign w:val="center"/>
          </w:tcPr>
          <w:p w14:paraId="7461D95A">
            <w:pPr>
              <w:spacing w:before="108" w:line="190" w:lineRule="auto"/>
              <w:ind w:firstLineChars="97"/>
              <w:jc w:val="center"/>
              <w:rPr>
                <w:rFonts w:hint="eastAsia" w:ascii="宋体" w:hAnsi="宋体" w:cs="宋体"/>
                <w:snapToGrid w:val="0"/>
                <w:color w:val="auto"/>
                <w:kern w:val="0"/>
                <w:sz w:val="20"/>
                <w:szCs w:val="20"/>
              </w:rPr>
            </w:pPr>
            <w:r>
              <w:rPr>
                <w:rFonts w:ascii="宋体" w:hAnsi="宋体" w:cs="宋体"/>
                <w:snapToGrid w:val="0"/>
                <w:color w:val="auto"/>
                <w:spacing w:val="3"/>
                <w:kern w:val="0"/>
                <w:sz w:val="20"/>
                <w:szCs w:val="20"/>
              </w:rPr>
              <w:t>0.9</w:t>
            </w:r>
            <w:r>
              <w:rPr>
                <w:rFonts w:ascii="宋体" w:hAnsi="宋体" w:cs="宋体"/>
                <w:snapToGrid w:val="0"/>
                <w:color w:val="auto"/>
                <w:spacing w:val="2"/>
                <w:kern w:val="0"/>
                <w:sz w:val="20"/>
                <w:szCs w:val="20"/>
              </w:rPr>
              <w:t>2</w:t>
            </w:r>
          </w:p>
        </w:tc>
      </w:tr>
      <w:tr w14:paraId="202CDD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jc w:val="center"/>
        </w:trPr>
        <w:tc>
          <w:tcPr>
            <w:tcW w:w="7011" w:type="dxa"/>
            <w:gridSpan w:val="3"/>
            <w:tcBorders>
              <w:left w:val="single" w:color="000000" w:sz="10" w:space="0"/>
            </w:tcBorders>
            <w:vAlign w:val="center"/>
          </w:tcPr>
          <w:p w14:paraId="6807ED3F">
            <w:pPr>
              <w:spacing w:before="75" w:line="229" w:lineRule="auto"/>
              <w:ind w:firstLineChars="96"/>
              <w:jc w:val="center"/>
              <w:rPr>
                <w:rFonts w:hint="eastAsia" w:ascii="宋体" w:hAnsi="宋体" w:cs="宋体"/>
                <w:snapToGrid w:val="0"/>
                <w:color w:val="auto"/>
                <w:kern w:val="0"/>
                <w:sz w:val="20"/>
                <w:szCs w:val="20"/>
              </w:rPr>
            </w:pPr>
            <w:r>
              <w:rPr>
                <w:rFonts w:ascii="宋体" w:hAnsi="宋体" w:cs="宋体"/>
                <w:snapToGrid w:val="0"/>
                <w:color w:val="auto"/>
                <w:spacing w:val="4"/>
                <w:kern w:val="0"/>
                <w:sz w:val="20"/>
                <w:szCs w:val="20"/>
              </w:rPr>
              <w:t>合计</w:t>
            </w:r>
          </w:p>
        </w:tc>
        <w:tc>
          <w:tcPr>
            <w:tcW w:w="1939" w:type="dxa"/>
            <w:tcBorders>
              <w:right w:val="single" w:color="000000" w:sz="10" w:space="0"/>
            </w:tcBorders>
            <w:vAlign w:val="center"/>
          </w:tcPr>
          <w:p w14:paraId="13257CAE">
            <w:pPr>
              <w:spacing w:before="107" w:line="191" w:lineRule="auto"/>
              <w:ind w:firstLineChars="97"/>
              <w:jc w:val="center"/>
              <w:rPr>
                <w:rFonts w:hint="eastAsia" w:ascii="宋体" w:hAnsi="宋体" w:cs="宋体"/>
                <w:snapToGrid w:val="0"/>
                <w:color w:val="auto"/>
                <w:kern w:val="0"/>
                <w:sz w:val="20"/>
                <w:szCs w:val="20"/>
              </w:rPr>
            </w:pPr>
            <w:r>
              <w:rPr>
                <w:rFonts w:ascii="宋体" w:hAnsi="宋体" w:cs="宋体"/>
                <w:snapToGrid w:val="0"/>
                <w:color w:val="auto"/>
                <w:spacing w:val="3"/>
                <w:kern w:val="0"/>
                <w:sz w:val="20"/>
                <w:szCs w:val="20"/>
              </w:rPr>
              <w:t>56</w:t>
            </w:r>
            <w:r>
              <w:rPr>
                <w:rFonts w:ascii="宋体" w:hAnsi="宋体" w:cs="宋体"/>
                <w:snapToGrid w:val="0"/>
                <w:color w:val="auto"/>
                <w:spacing w:val="2"/>
                <w:kern w:val="0"/>
                <w:sz w:val="20"/>
                <w:szCs w:val="20"/>
              </w:rPr>
              <w:t>.01</w:t>
            </w:r>
          </w:p>
        </w:tc>
      </w:tr>
    </w:tbl>
    <w:p w14:paraId="0A4309E6">
      <w:pPr>
        <w:pStyle w:val="3"/>
      </w:pPr>
      <w:bookmarkStart w:id="32" w:name="_Toc85213497"/>
      <w:r>
        <w:rPr>
          <w:rFonts w:hint="eastAsia"/>
        </w:rPr>
        <w:t>3.3</w:t>
      </w:r>
      <w:r>
        <w:t xml:space="preserve"> </w:t>
      </w:r>
      <w:r>
        <w:rPr>
          <w:rFonts w:hint="eastAsia"/>
        </w:rPr>
        <w:t>生产工艺</w:t>
      </w:r>
      <w:bookmarkEnd w:id="32"/>
    </w:p>
    <w:p w14:paraId="41DC11EB">
      <w:pPr>
        <w:pStyle w:val="4"/>
      </w:pPr>
      <w:r>
        <w:rPr>
          <w:rFonts w:hint="eastAsia"/>
        </w:rPr>
        <w:t>3.3.1</w:t>
      </w:r>
      <w:r>
        <w:t xml:space="preserve"> </w:t>
      </w:r>
      <w:r>
        <w:rPr>
          <w:rFonts w:hint="eastAsia"/>
        </w:rPr>
        <w:t>采矿工艺</w:t>
      </w:r>
    </w:p>
    <w:p w14:paraId="7C8CA218">
      <w:pPr>
        <w:ind w:firstLine="480"/>
      </w:pPr>
      <w:r>
        <w:rPr>
          <w:rFonts w:hint="eastAsia"/>
        </w:rPr>
        <w:t>与原环评及验收相比，后评价阶段井下采矿工艺未发生变化。</w:t>
      </w:r>
    </w:p>
    <w:p w14:paraId="62FA9769">
      <w:pPr>
        <w:pStyle w:val="5"/>
      </w:pPr>
      <w:r>
        <w:rPr>
          <w:rFonts w:hint="eastAsia"/>
        </w:rPr>
        <w:t>3.3.1.1</w:t>
      </w:r>
      <w:r>
        <w:t xml:space="preserve"> </w:t>
      </w:r>
      <w:r>
        <w:rPr>
          <w:rFonts w:hint="eastAsia"/>
        </w:rPr>
        <w:t>采矿工艺</w:t>
      </w:r>
    </w:p>
    <w:p w14:paraId="16864759">
      <w:pPr>
        <w:ind w:firstLine="480"/>
      </w:pPr>
      <w:r>
        <w:rPr>
          <w:rFonts w:hint="eastAsia"/>
        </w:rPr>
        <w:t>（1）采矿工艺</w:t>
      </w:r>
    </w:p>
    <w:p w14:paraId="4C00B086">
      <w:pPr>
        <w:ind w:firstLine="480"/>
      </w:pPr>
      <w:r>
        <w:t>草楼铁矿为地下开采矿山，地下开采工艺见图 3.3-1。</w:t>
      </w:r>
    </w:p>
    <w:p w14:paraId="6EAEFDB0">
      <w:pPr>
        <w:ind w:firstLine="0" w:firstLineChars="0"/>
        <w:jc w:val="center"/>
      </w:pPr>
      <w:r>
        <w:drawing>
          <wp:inline distT="0" distB="0" distL="0" distR="0">
            <wp:extent cx="3475990" cy="3352800"/>
            <wp:effectExtent l="0" t="0" r="0" b="0"/>
            <wp:docPr id="41" name="IM 41"/>
            <wp:cNvGraphicFramePr/>
            <a:graphic xmlns:a="http://schemas.openxmlformats.org/drawingml/2006/main">
              <a:graphicData uri="http://schemas.openxmlformats.org/drawingml/2006/picture">
                <pic:pic xmlns:pic="http://schemas.openxmlformats.org/drawingml/2006/picture">
                  <pic:nvPicPr>
                    <pic:cNvPr id="41" name="IM 41"/>
                    <pic:cNvPicPr/>
                  </pic:nvPicPr>
                  <pic:blipFill>
                    <a:blip r:embed="rId27"/>
                    <a:stretch>
                      <a:fillRect/>
                    </a:stretch>
                  </pic:blipFill>
                  <pic:spPr>
                    <a:xfrm>
                      <a:off x="0" y="0"/>
                      <a:ext cx="3476244" cy="3352800"/>
                    </a:xfrm>
                    <a:prstGeom prst="rect">
                      <a:avLst/>
                    </a:prstGeom>
                  </pic:spPr>
                </pic:pic>
              </a:graphicData>
            </a:graphic>
          </wp:inline>
        </w:drawing>
      </w:r>
    </w:p>
    <w:p w14:paraId="5BCE1C8F">
      <w:pPr>
        <w:pStyle w:val="18"/>
        <w:ind w:firstLine="482"/>
        <w:jc w:val="center"/>
        <w:rPr>
          <w:b/>
          <w:bCs/>
          <w:sz w:val="24"/>
          <w:szCs w:val="24"/>
        </w:rPr>
      </w:pPr>
      <w:r>
        <w:rPr>
          <w:rFonts w:hint="eastAsia"/>
          <w:b/>
          <w:bCs/>
          <w:sz w:val="24"/>
          <w:szCs w:val="24"/>
        </w:rPr>
        <w:t>图3.3-1</w:t>
      </w:r>
      <w:r>
        <w:rPr>
          <w:b/>
          <w:bCs/>
          <w:sz w:val="24"/>
          <w:szCs w:val="24"/>
        </w:rPr>
        <w:t xml:space="preserve">  </w:t>
      </w:r>
      <w:r>
        <w:rPr>
          <w:rFonts w:hint="eastAsia"/>
          <w:b/>
          <w:bCs/>
          <w:sz w:val="24"/>
          <w:szCs w:val="24"/>
        </w:rPr>
        <w:t>地下开采工艺流程</w:t>
      </w:r>
    </w:p>
    <w:p w14:paraId="16C03275">
      <w:pPr>
        <w:ind w:firstLine="480"/>
      </w:pPr>
      <w:r>
        <w:t>（2）充填方式</w:t>
      </w:r>
    </w:p>
    <w:p w14:paraId="5B5B122C">
      <w:pPr>
        <w:ind w:firstLine="480"/>
      </w:pPr>
      <w:r>
        <w:t>1</w:t>
      </w:r>
      <w:r>
        <w:rPr>
          <w:rFonts w:hint="eastAsia"/>
        </w:rPr>
        <w:t>、-</w:t>
      </w:r>
      <w:r>
        <w:t>410m以上采矿方法</w:t>
      </w:r>
    </w:p>
    <w:p w14:paraId="4FD4FFA5">
      <w:pPr>
        <w:ind w:firstLine="480"/>
      </w:pPr>
      <w:r>
        <w:rPr>
          <w:rFonts w:hint="eastAsia"/>
        </w:rPr>
        <w:t>-410</w:t>
      </w:r>
      <w:r>
        <w:t>m以上仍沿用目前的采矿方法，不做调整</w:t>
      </w:r>
      <w:r>
        <w:rPr>
          <w:rFonts w:hint="eastAsia"/>
        </w:rPr>
        <w:t>，</w:t>
      </w:r>
      <w:r>
        <w:t>仍为</w:t>
      </w:r>
      <w:r>
        <w:rPr>
          <w:rFonts w:hint="eastAsia"/>
        </w:rPr>
        <w:t>大孔法</w:t>
      </w:r>
      <w:r>
        <w:t>、</w:t>
      </w:r>
      <w:r>
        <w:rPr>
          <w:rFonts w:hint="eastAsia"/>
        </w:rPr>
        <w:t>分</w:t>
      </w:r>
      <w:r>
        <w:t>段凿岩阶段</w:t>
      </w:r>
      <w:r>
        <w:rPr>
          <w:rFonts w:hint="eastAsia"/>
        </w:rPr>
        <w:t>空场嗣后</w:t>
      </w:r>
      <w:r>
        <w:t>充填采矿法和</w:t>
      </w:r>
      <w:r>
        <w:rPr>
          <w:rFonts w:hint="eastAsia"/>
        </w:rPr>
        <w:t>浅</w:t>
      </w:r>
      <w:r>
        <w:t>孔留矿</w:t>
      </w:r>
      <w:r>
        <w:rPr>
          <w:rFonts w:hint="eastAsia"/>
        </w:rPr>
        <w:t>嗣后</w:t>
      </w:r>
      <w:r>
        <w:t>充填采矿法三种。</w:t>
      </w:r>
    </w:p>
    <w:p w14:paraId="396038BB">
      <w:pPr>
        <w:ind w:firstLine="480"/>
      </w:pPr>
      <w:r>
        <w:t>2</w:t>
      </w:r>
      <w:r>
        <w:rPr>
          <w:rFonts w:hint="eastAsia"/>
        </w:rPr>
        <w:t>、-</w:t>
      </w:r>
      <w:r>
        <w:t>470m中段采矿方法</w:t>
      </w:r>
    </w:p>
    <w:p w14:paraId="3B6D24F7">
      <w:pPr>
        <w:ind w:firstLine="480"/>
      </w:pPr>
      <w:r>
        <w:rPr>
          <w:rFonts w:hint="eastAsia"/>
        </w:rPr>
        <w:t>根据-410</w:t>
      </w:r>
      <w:r>
        <w:t>m以下矿体赋存情况</w:t>
      </w:r>
      <w:r>
        <w:rPr>
          <w:rFonts w:hint="eastAsia"/>
        </w:rPr>
        <w:t>和</w:t>
      </w:r>
      <w:r>
        <w:t>开采技术条件，并结合现有采矿方法</w:t>
      </w:r>
      <w:r>
        <w:rPr>
          <w:rFonts w:hint="eastAsia"/>
        </w:rPr>
        <w:t>使用</w:t>
      </w:r>
      <w:r>
        <w:t>情况，推荐</w:t>
      </w:r>
      <w:r>
        <w:rPr>
          <w:rFonts w:hint="eastAsia"/>
        </w:rPr>
        <w:t>-470</w:t>
      </w:r>
      <w:r>
        <w:t>m中段</w:t>
      </w:r>
      <w:r>
        <w:rPr>
          <w:rFonts w:hint="eastAsia"/>
        </w:rPr>
        <w:t>矿体采矿方法如下：</w:t>
      </w:r>
    </w:p>
    <w:p w14:paraId="652FF90F">
      <w:pPr>
        <w:ind w:firstLine="480"/>
      </w:pPr>
      <w:r>
        <w:rPr>
          <w:rFonts w:hint="eastAsia"/>
        </w:rPr>
        <w:t>①</w:t>
      </w:r>
      <w:r>
        <w:t>矿体厚</w:t>
      </w:r>
      <w:r>
        <w:rPr>
          <w:rFonts w:hint="eastAsia"/>
        </w:rPr>
        <w:t>度大于</w:t>
      </w:r>
      <w:r>
        <w:t>20m</w:t>
      </w:r>
      <w:r>
        <w:rPr>
          <w:rFonts w:hint="eastAsia"/>
        </w:rPr>
        <w:t>的区域</w:t>
      </w:r>
      <w:r>
        <w:t>采用</w:t>
      </w:r>
      <w:r>
        <w:rPr>
          <w:rFonts w:hint="eastAsia"/>
        </w:rPr>
        <w:t>大孔法。</w:t>
      </w:r>
    </w:p>
    <w:p w14:paraId="7C72B2C6">
      <w:pPr>
        <w:ind w:firstLine="480"/>
      </w:pPr>
      <w:r>
        <w:rPr>
          <w:rFonts w:hint="eastAsia"/>
        </w:rPr>
        <w:t>②矿体厚度小于</w:t>
      </w:r>
      <w:r>
        <w:t>20m</w:t>
      </w:r>
      <w:r>
        <w:rPr>
          <w:rFonts w:hint="eastAsia"/>
        </w:rPr>
        <w:t>的部分矿体</w:t>
      </w:r>
      <w:r>
        <w:t>采用</w:t>
      </w:r>
      <w:r>
        <w:rPr>
          <w:rFonts w:hint="eastAsia"/>
        </w:rPr>
        <w:t>分段</w:t>
      </w:r>
      <w:r>
        <w:t>空场</w:t>
      </w:r>
      <w:r>
        <w:rPr>
          <w:rFonts w:hint="eastAsia"/>
        </w:rPr>
        <w:t>嗣后</w:t>
      </w:r>
      <w:r>
        <w:t>充填采矿法</w:t>
      </w:r>
      <w:r>
        <w:rPr>
          <w:rFonts w:hint="eastAsia"/>
        </w:rPr>
        <w:t>。</w:t>
      </w:r>
    </w:p>
    <w:p w14:paraId="57415F92">
      <w:pPr>
        <w:ind w:firstLine="480"/>
      </w:pPr>
      <w:r>
        <w:rPr>
          <w:rFonts w:hint="eastAsia"/>
        </w:rPr>
        <w:t>③</w:t>
      </w:r>
      <w:r>
        <w:t>对于局部薄矿体</w:t>
      </w:r>
      <w:r>
        <w:rPr>
          <w:rFonts w:hint="eastAsia"/>
        </w:rPr>
        <w:t>，</w:t>
      </w:r>
      <w:r>
        <w:t>采用浅孔留矿嗣后充填采矿法</w:t>
      </w:r>
      <w:r>
        <w:rPr>
          <w:rFonts w:hint="eastAsia"/>
        </w:rPr>
        <w:t>，该采矿法</w:t>
      </w:r>
      <w:r>
        <w:t>占比较小</w:t>
      </w:r>
      <w:r>
        <w:rPr>
          <w:rFonts w:hint="eastAsia"/>
        </w:rPr>
        <w:t>，</w:t>
      </w:r>
      <w:r>
        <w:t>不列入计算</w:t>
      </w:r>
      <w:r>
        <w:rPr>
          <w:rFonts w:hint="eastAsia"/>
        </w:rPr>
        <w:t>。</w:t>
      </w:r>
    </w:p>
    <w:p w14:paraId="39E7E45E">
      <w:pPr>
        <w:ind w:firstLine="480"/>
      </w:pPr>
      <w:r>
        <w:rPr>
          <w:rFonts w:hint="eastAsia"/>
        </w:rPr>
        <w:t>3、空区充填</w:t>
      </w:r>
    </w:p>
    <w:p w14:paraId="1030C6FD">
      <w:pPr>
        <w:ind w:firstLine="480"/>
      </w:pPr>
      <w:r>
        <w:rPr>
          <w:rFonts w:hint="eastAsia"/>
        </w:rPr>
        <w:t>矿房空区采用高配比尾砂胶结充填，待其固结达到大于</w:t>
      </w:r>
      <w:r>
        <w:t>2</w:t>
      </w:r>
      <w:r>
        <w:rPr>
          <w:rFonts w:hint="eastAsia"/>
        </w:rPr>
        <w:t>M</w:t>
      </w:r>
      <w:r>
        <w:t>p</w:t>
      </w:r>
      <w:r>
        <w:rPr>
          <w:rFonts w:hint="eastAsia"/>
        </w:rPr>
        <w:t>a的要求后，方可进行矿柱</w:t>
      </w:r>
      <w:r>
        <w:t>的</w:t>
      </w:r>
      <w:r>
        <w:rPr>
          <w:rFonts w:hint="eastAsia"/>
        </w:rPr>
        <w:t>回采工作，</w:t>
      </w:r>
      <w:r>
        <w:t>矿柱底部采用</w:t>
      </w:r>
      <w:r>
        <w:rPr>
          <w:rFonts w:hint="eastAsia"/>
        </w:rPr>
        <w:t>高配比尾砂胶结充填，其余部分</w:t>
      </w:r>
      <w:r>
        <w:t>采用低配比尾砂胶结充填</w:t>
      </w:r>
      <w:r>
        <w:rPr>
          <w:rFonts w:hint="eastAsia"/>
        </w:rPr>
        <w:t>。</w:t>
      </w:r>
    </w:p>
    <w:p w14:paraId="1E3BCD63">
      <w:pPr>
        <w:ind w:firstLine="480"/>
      </w:pPr>
      <w:r>
        <w:t>（3）开采顺序</w:t>
      </w:r>
    </w:p>
    <w:p w14:paraId="30A33795">
      <w:pPr>
        <w:ind w:firstLine="480"/>
      </w:pPr>
      <w:r>
        <w:t>开采范围为 8～19 线、119～23 线</w:t>
      </w:r>
      <w:r>
        <w:rPr>
          <w:rFonts w:hint="eastAsia"/>
        </w:rPr>
        <w:t>、</w:t>
      </w:r>
      <w:r>
        <w:t xml:space="preserve"> 8～24 线间的-170～-410m 间</w:t>
      </w:r>
      <w:r>
        <w:rPr>
          <w:rFonts w:hint="eastAsia"/>
        </w:rPr>
        <w:t>和</w:t>
      </w:r>
      <w:r>
        <w:rPr>
          <w:rFonts w:hint="eastAsia" w:cs="Times New Roman" w:eastAsiaTheme="minorEastAsia"/>
          <w:spacing w:val="8"/>
          <w:szCs w:val="21"/>
        </w:rPr>
        <w:t>-410～-470</w:t>
      </w:r>
      <w:r>
        <w:rPr>
          <w:rFonts w:cs="Times New Roman" w:eastAsiaTheme="minorEastAsia"/>
          <w:spacing w:val="8"/>
          <w:szCs w:val="21"/>
        </w:rPr>
        <w:t>m间</w:t>
      </w:r>
      <w:r>
        <w:rPr>
          <w:rFonts w:hint="eastAsia" w:cs="Times New Roman" w:eastAsiaTheme="minorEastAsia"/>
          <w:spacing w:val="8"/>
          <w:szCs w:val="21"/>
        </w:rPr>
        <w:t>（-470</w:t>
      </w:r>
      <w:r>
        <w:rPr>
          <w:rFonts w:cs="Times New Roman" w:eastAsiaTheme="minorEastAsia"/>
          <w:spacing w:val="8"/>
          <w:szCs w:val="21"/>
        </w:rPr>
        <w:t>m中段）的矿体</w:t>
      </w:r>
      <w:r>
        <w:t>，根据矿体赋存条件采用自上而下回采，阶段矿体自两端向中间 11 线后退式回采。</w:t>
      </w:r>
    </w:p>
    <w:p w14:paraId="7E41AED4">
      <w:pPr>
        <w:pStyle w:val="5"/>
      </w:pPr>
      <w:r>
        <w:t>3.3.1.2 开拓运输系统</w:t>
      </w:r>
    </w:p>
    <w:p w14:paraId="38DD03C3">
      <w:pPr>
        <w:spacing w:before="182"/>
        <w:ind w:firstLine="488"/>
        <w:rPr>
          <w:rFonts w:hint="eastAsia" w:ascii="宋体" w:hAnsi="宋体" w:cs="宋体"/>
          <w:sz w:val="23"/>
          <w:szCs w:val="23"/>
        </w:rPr>
      </w:pPr>
      <w:r>
        <w:rPr>
          <w:rFonts w:ascii="宋体" w:hAnsi="宋体" w:cs="宋体"/>
          <w:spacing w:val="7"/>
          <w:sz w:val="23"/>
          <w:szCs w:val="23"/>
        </w:rPr>
        <w:t>（</w:t>
      </w:r>
      <w:r>
        <w:rPr>
          <w:rFonts w:ascii="宋体" w:hAnsi="宋体" w:cs="宋体"/>
          <w:spacing w:val="4"/>
          <w:sz w:val="23"/>
          <w:szCs w:val="23"/>
        </w:rPr>
        <w:t>1</w:t>
      </w:r>
      <w:r>
        <w:rPr>
          <w:rFonts w:ascii="宋体" w:hAnsi="宋体" w:cs="宋体"/>
          <w:spacing w:val="7"/>
          <w:sz w:val="23"/>
          <w:szCs w:val="23"/>
        </w:rPr>
        <w:t>）开拓</w:t>
      </w:r>
      <w:r>
        <w:rPr>
          <w:rFonts w:ascii="宋体" w:hAnsi="宋体" w:cs="宋体"/>
          <w:spacing w:val="6"/>
          <w:sz w:val="23"/>
          <w:szCs w:val="23"/>
        </w:rPr>
        <w:t>系统</w:t>
      </w:r>
    </w:p>
    <w:p w14:paraId="11E6165A">
      <w:pPr>
        <w:spacing w:before="165" w:line="375" w:lineRule="auto"/>
        <w:ind w:left="130" w:right="72" w:firstLine="496"/>
        <w:rPr>
          <w:rFonts w:hint="eastAsia" w:ascii="宋体" w:hAnsi="宋体" w:cs="宋体"/>
          <w:sz w:val="23"/>
          <w:szCs w:val="23"/>
        </w:rPr>
      </w:pPr>
      <w:r>
        <w:rPr>
          <w:rFonts w:ascii="宋体" w:hAnsi="宋体" w:cs="宋体"/>
          <w:spacing w:val="9"/>
          <w:sz w:val="23"/>
          <w:szCs w:val="23"/>
        </w:rPr>
        <w:t>开拓运输系统采用七条竖井</w:t>
      </w:r>
      <w:r>
        <w:rPr>
          <w:rFonts w:ascii="宋体" w:hAnsi="宋体" w:cs="宋体"/>
          <w:spacing w:val="5"/>
          <w:sz w:val="23"/>
          <w:szCs w:val="23"/>
        </w:rPr>
        <w:t>+</w:t>
      </w:r>
      <w:r>
        <w:rPr>
          <w:rFonts w:ascii="宋体" w:hAnsi="宋体" w:cs="宋体"/>
          <w:spacing w:val="9"/>
          <w:sz w:val="23"/>
          <w:szCs w:val="23"/>
        </w:rPr>
        <w:t>盲斜坡道开拓运输方案</w:t>
      </w:r>
      <w:r>
        <w:rPr>
          <w:rFonts w:ascii="宋体" w:hAnsi="宋体" w:cs="宋体"/>
          <w:spacing w:val="10"/>
          <w:sz w:val="23"/>
          <w:szCs w:val="23"/>
        </w:rPr>
        <w:t>，</w:t>
      </w:r>
      <w:r>
        <w:rPr>
          <w:rFonts w:ascii="宋体" w:hAnsi="宋体" w:cs="宋体"/>
          <w:spacing w:val="9"/>
          <w:sz w:val="23"/>
          <w:szCs w:val="23"/>
        </w:rPr>
        <w:t>斜坡</w:t>
      </w:r>
      <w:r>
        <w:rPr>
          <w:rFonts w:ascii="宋体" w:hAnsi="宋体" w:cs="宋体"/>
          <w:spacing w:val="8"/>
          <w:sz w:val="23"/>
          <w:szCs w:val="23"/>
        </w:rPr>
        <w:t>道不通地表</w:t>
      </w:r>
      <w:r>
        <w:rPr>
          <w:rFonts w:ascii="宋体" w:hAnsi="宋体" w:cs="宋体"/>
          <w:spacing w:val="10"/>
          <w:sz w:val="23"/>
          <w:szCs w:val="23"/>
        </w:rPr>
        <w:t>。</w:t>
      </w:r>
      <w:r>
        <w:rPr>
          <w:rFonts w:ascii="宋体" w:hAnsi="宋体" w:cs="宋体"/>
          <w:spacing w:val="8"/>
          <w:sz w:val="23"/>
          <w:szCs w:val="23"/>
        </w:rPr>
        <w:t>中段水</w:t>
      </w:r>
      <w:r>
        <w:rPr>
          <w:rFonts w:ascii="宋体" w:hAnsi="宋体" w:cs="宋体"/>
          <w:spacing w:val="4"/>
          <w:sz w:val="23"/>
          <w:szCs w:val="23"/>
        </w:rPr>
        <w:t>平包括</w:t>
      </w:r>
      <w:r>
        <w:rPr>
          <w:rFonts w:ascii="宋体" w:hAnsi="宋体" w:cs="宋体"/>
          <w:spacing w:val="2"/>
          <w:sz w:val="23"/>
          <w:szCs w:val="23"/>
        </w:rPr>
        <w:t>-170m</w:t>
      </w:r>
      <w:r>
        <w:rPr>
          <w:rFonts w:ascii="宋体" w:hAnsi="宋体" w:cs="宋体"/>
          <w:spacing w:val="4"/>
          <w:sz w:val="23"/>
          <w:szCs w:val="23"/>
        </w:rPr>
        <w:t>、</w:t>
      </w:r>
      <w:r>
        <w:rPr>
          <w:rFonts w:ascii="宋体" w:hAnsi="宋体" w:cs="宋体"/>
          <w:spacing w:val="2"/>
          <w:sz w:val="23"/>
          <w:szCs w:val="23"/>
        </w:rPr>
        <w:t>-230m</w:t>
      </w:r>
      <w:r>
        <w:rPr>
          <w:rFonts w:ascii="宋体" w:hAnsi="宋体" w:cs="宋体"/>
          <w:spacing w:val="4"/>
          <w:sz w:val="23"/>
          <w:szCs w:val="23"/>
        </w:rPr>
        <w:t>、</w:t>
      </w:r>
      <w:r>
        <w:rPr>
          <w:rFonts w:ascii="宋体" w:hAnsi="宋体" w:cs="宋体"/>
          <w:spacing w:val="2"/>
          <w:sz w:val="23"/>
          <w:szCs w:val="23"/>
        </w:rPr>
        <w:t>-290m</w:t>
      </w:r>
      <w:r>
        <w:rPr>
          <w:rFonts w:ascii="宋体" w:hAnsi="宋体" w:cs="宋体"/>
          <w:spacing w:val="4"/>
          <w:sz w:val="23"/>
          <w:szCs w:val="23"/>
        </w:rPr>
        <w:t>、</w:t>
      </w:r>
      <w:r>
        <w:rPr>
          <w:rFonts w:ascii="宋体" w:hAnsi="宋体" w:cs="宋体"/>
          <w:spacing w:val="2"/>
          <w:sz w:val="23"/>
          <w:szCs w:val="23"/>
        </w:rPr>
        <w:t>-350m</w:t>
      </w:r>
      <w:r>
        <w:rPr>
          <w:rFonts w:ascii="宋体" w:hAnsi="宋体" w:cs="宋体"/>
          <w:spacing w:val="4"/>
          <w:sz w:val="23"/>
          <w:szCs w:val="23"/>
        </w:rPr>
        <w:t>、</w:t>
      </w:r>
      <w:r>
        <w:rPr>
          <w:rFonts w:ascii="宋体" w:hAnsi="宋体" w:cs="宋体"/>
          <w:spacing w:val="2"/>
          <w:sz w:val="23"/>
          <w:szCs w:val="23"/>
        </w:rPr>
        <w:t>-410m</w:t>
      </w:r>
      <w:r>
        <w:rPr>
          <w:rFonts w:ascii="宋体" w:hAnsi="宋体" w:cs="宋体"/>
          <w:spacing w:val="3"/>
          <w:sz w:val="23"/>
          <w:szCs w:val="23"/>
        </w:rPr>
        <w:t xml:space="preserve"> </w:t>
      </w:r>
      <w:r>
        <w:rPr>
          <w:rFonts w:hint="eastAsia" w:ascii="宋体" w:hAnsi="宋体" w:cs="宋体"/>
          <w:spacing w:val="3"/>
          <w:sz w:val="23"/>
          <w:szCs w:val="23"/>
        </w:rPr>
        <w:t>、-510m</w:t>
      </w:r>
      <w:r>
        <w:rPr>
          <w:rFonts w:ascii="宋体" w:hAnsi="宋体" w:cs="宋体"/>
          <w:spacing w:val="4"/>
          <w:sz w:val="23"/>
          <w:szCs w:val="23"/>
        </w:rPr>
        <w:t>共</w:t>
      </w:r>
      <w:r>
        <w:rPr>
          <w:rFonts w:ascii="宋体" w:hAnsi="宋体" w:cs="宋体"/>
          <w:spacing w:val="3"/>
          <w:sz w:val="23"/>
          <w:szCs w:val="23"/>
        </w:rPr>
        <w:t xml:space="preserve"> </w:t>
      </w:r>
      <w:r>
        <w:rPr>
          <w:rFonts w:hint="eastAsia" w:ascii="宋体" w:hAnsi="宋体" w:cs="宋体"/>
          <w:spacing w:val="2"/>
          <w:sz w:val="23"/>
          <w:szCs w:val="23"/>
        </w:rPr>
        <w:t>6</w:t>
      </w:r>
      <w:r>
        <w:rPr>
          <w:rFonts w:ascii="宋体" w:hAnsi="宋体" w:cs="宋体"/>
          <w:spacing w:val="4"/>
          <w:sz w:val="23"/>
          <w:szCs w:val="23"/>
        </w:rPr>
        <w:t>个中段。七条竖</w:t>
      </w:r>
      <w:r>
        <w:rPr>
          <w:rFonts w:ascii="宋体" w:hAnsi="宋体" w:cs="宋体"/>
          <w:spacing w:val="3"/>
          <w:sz w:val="23"/>
          <w:szCs w:val="23"/>
        </w:rPr>
        <w:t>井为主井</w:t>
      </w:r>
      <w:r>
        <w:rPr>
          <w:rFonts w:ascii="宋体" w:hAnsi="宋体" w:cs="宋体"/>
          <w:spacing w:val="4"/>
          <w:sz w:val="23"/>
          <w:szCs w:val="23"/>
        </w:rPr>
        <w:t>、</w:t>
      </w:r>
      <w:r>
        <w:rPr>
          <w:rFonts w:ascii="宋体" w:hAnsi="宋体" w:cs="宋体"/>
          <w:spacing w:val="3"/>
          <w:sz w:val="23"/>
          <w:szCs w:val="23"/>
        </w:rPr>
        <w:t>副井</w:t>
      </w:r>
      <w:r>
        <w:rPr>
          <w:rFonts w:ascii="宋体" w:hAnsi="宋体" w:cs="宋体"/>
          <w:spacing w:val="4"/>
          <w:sz w:val="23"/>
          <w:szCs w:val="23"/>
        </w:rPr>
        <w:t>、</w:t>
      </w:r>
      <w:r>
        <w:rPr>
          <w:rFonts w:ascii="宋体" w:hAnsi="宋体" w:cs="宋体"/>
          <w:sz w:val="23"/>
          <w:szCs w:val="23"/>
        </w:rPr>
        <w:t xml:space="preserve"> </w:t>
      </w:r>
      <w:r>
        <w:rPr>
          <w:rFonts w:ascii="宋体" w:hAnsi="宋体" w:cs="宋体"/>
          <w:spacing w:val="12"/>
          <w:sz w:val="23"/>
          <w:szCs w:val="23"/>
        </w:rPr>
        <w:t>进风井（兼措施井</w:t>
      </w:r>
      <w:r>
        <w:rPr>
          <w:rFonts w:ascii="宋体" w:hAnsi="宋体" w:cs="宋体"/>
          <w:spacing w:val="15"/>
          <w:sz w:val="23"/>
          <w:szCs w:val="23"/>
        </w:rPr>
        <w:t>）、</w:t>
      </w:r>
      <w:r>
        <w:rPr>
          <w:rFonts w:ascii="宋体" w:hAnsi="宋体" w:cs="宋体"/>
          <w:spacing w:val="12"/>
          <w:sz w:val="23"/>
          <w:szCs w:val="23"/>
        </w:rPr>
        <w:t>南辅助提升井</w:t>
      </w:r>
      <w:r>
        <w:rPr>
          <w:rFonts w:ascii="宋体" w:hAnsi="宋体" w:cs="宋体"/>
          <w:spacing w:val="15"/>
          <w:sz w:val="23"/>
          <w:szCs w:val="23"/>
        </w:rPr>
        <w:t>、</w:t>
      </w:r>
      <w:r>
        <w:rPr>
          <w:rFonts w:ascii="宋体" w:hAnsi="宋体" w:cs="宋体"/>
          <w:spacing w:val="12"/>
          <w:sz w:val="23"/>
          <w:szCs w:val="23"/>
        </w:rPr>
        <w:t>北辅助提升井</w:t>
      </w:r>
      <w:r>
        <w:rPr>
          <w:rFonts w:ascii="宋体" w:hAnsi="宋体" w:cs="宋体"/>
          <w:spacing w:val="15"/>
          <w:sz w:val="23"/>
          <w:szCs w:val="23"/>
        </w:rPr>
        <w:t>、</w:t>
      </w:r>
      <w:r>
        <w:rPr>
          <w:rFonts w:ascii="宋体" w:hAnsi="宋体" w:cs="宋体"/>
          <w:spacing w:val="12"/>
          <w:sz w:val="23"/>
          <w:szCs w:val="23"/>
        </w:rPr>
        <w:t>北风井</w:t>
      </w:r>
      <w:r>
        <w:rPr>
          <w:rFonts w:ascii="宋体" w:hAnsi="宋体" w:cs="宋体"/>
          <w:spacing w:val="15"/>
          <w:sz w:val="23"/>
          <w:szCs w:val="23"/>
        </w:rPr>
        <w:t>、</w:t>
      </w:r>
      <w:r>
        <w:rPr>
          <w:rFonts w:ascii="宋体" w:hAnsi="宋体" w:cs="宋体"/>
          <w:spacing w:val="11"/>
          <w:sz w:val="23"/>
          <w:szCs w:val="23"/>
        </w:rPr>
        <w:t>南风井</w:t>
      </w:r>
      <w:r>
        <w:rPr>
          <w:rFonts w:ascii="宋体" w:hAnsi="宋体" w:cs="宋体"/>
          <w:spacing w:val="15"/>
          <w:sz w:val="23"/>
          <w:szCs w:val="23"/>
        </w:rPr>
        <w:t>，</w:t>
      </w:r>
      <w:r>
        <w:rPr>
          <w:rFonts w:ascii="宋体" w:hAnsi="宋体" w:cs="宋体"/>
          <w:spacing w:val="11"/>
          <w:sz w:val="23"/>
          <w:szCs w:val="23"/>
        </w:rPr>
        <w:t>北辅助提</w:t>
      </w:r>
      <w:r>
        <w:rPr>
          <w:rFonts w:ascii="宋体" w:hAnsi="宋体" w:cs="宋体"/>
          <w:sz w:val="23"/>
          <w:szCs w:val="23"/>
        </w:rPr>
        <w:t xml:space="preserve"> </w:t>
      </w:r>
      <w:r>
        <w:rPr>
          <w:rFonts w:ascii="宋体" w:hAnsi="宋体" w:cs="宋体"/>
          <w:spacing w:val="7"/>
          <w:sz w:val="23"/>
          <w:szCs w:val="23"/>
        </w:rPr>
        <w:t>升井位于北风井以北</w:t>
      </w:r>
      <w:r>
        <w:rPr>
          <w:rFonts w:ascii="宋体" w:hAnsi="宋体" w:cs="宋体"/>
          <w:spacing w:val="8"/>
          <w:sz w:val="23"/>
          <w:szCs w:val="23"/>
        </w:rPr>
        <w:t>，</w:t>
      </w:r>
      <w:r>
        <w:rPr>
          <w:rFonts w:ascii="宋体" w:hAnsi="宋体" w:cs="宋体"/>
          <w:spacing w:val="7"/>
          <w:sz w:val="23"/>
          <w:szCs w:val="23"/>
        </w:rPr>
        <w:t>井筒直径</w:t>
      </w:r>
      <w:r>
        <w:rPr>
          <w:rFonts w:ascii="宋体" w:hAnsi="宋体" w:cs="宋体"/>
          <w:spacing w:val="4"/>
          <w:sz w:val="23"/>
          <w:szCs w:val="23"/>
        </w:rPr>
        <w:t xml:space="preserve"> 5.0m</w:t>
      </w:r>
      <w:r>
        <w:rPr>
          <w:rFonts w:ascii="宋体" w:hAnsi="宋体" w:cs="宋体"/>
          <w:spacing w:val="8"/>
          <w:sz w:val="23"/>
          <w:szCs w:val="23"/>
        </w:rPr>
        <w:t>，</w:t>
      </w:r>
      <w:r>
        <w:rPr>
          <w:rFonts w:ascii="宋体" w:hAnsi="宋体" w:cs="宋体"/>
          <w:spacing w:val="7"/>
          <w:sz w:val="23"/>
          <w:szCs w:val="23"/>
        </w:rPr>
        <w:t>井深</w:t>
      </w:r>
      <w:r>
        <w:rPr>
          <w:rFonts w:ascii="宋体" w:hAnsi="宋体" w:cs="宋体"/>
          <w:spacing w:val="4"/>
          <w:sz w:val="23"/>
          <w:szCs w:val="23"/>
        </w:rPr>
        <w:t xml:space="preserve"> 379.8m</w:t>
      </w:r>
      <w:r>
        <w:rPr>
          <w:rFonts w:ascii="宋体" w:hAnsi="宋体" w:cs="宋体"/>
          <w:spacing w:val="8"/>
          <w:sz w:val="23"/>
          <w:szCs w:val="23"/>
        </w:rPr>
        <w:t>。</w:t>
      </w:r>
      <w:r>
        <w:rPr>
          <w:rFonts w:ascii="宋体" w:hAnsi="宋体" w:cs="宋体"/>
          <w:spacing w:val="7"/>
          <w:sz w:val="23"/>
          <w:szCs w:val="23"/>
        </w:rPr>
        <w:t>其中主井</w:t>
      </w:r>
      <w:r>
        <w:rPr>
          <w:rFonts w:ascii="宋体" w:hAnsi="宋体" w:cs="宋体"/>
          <w:spacing w:val="6"/>
          <w:sz w:val="23"/>
          <w:szCs w:val="23"/>
        </w:rPr>
        <w:t>担负矿石提升任务</w:t>
      </w:r>
      <w:r>
        <w:rPr>
          <w:rFonts w:ascii="宋体" w:hAnsi="宋体" w:cs="宋体"/>
          <w:spacing w:val="8"/>
          <w:sz w:val="23"/>
          <w:szCs w:val="23"/>
        </w:rPr>
        <w:t>，</w:t>
      </w:r>
      <w:r>
        <w:rPr>
          <w:rFonts w:ascii="宋体" w:hAnsi="宋体" w:cs="宋体"/>
          <w:sz w:val="23"/>
          <w:szCs w:val="23"/>
        </w:rPr>
        <w:t xml:space="preserve"> </w:t>
      </w:r>
      <w:r>
        <w:rPr>
          <w:rFonts w:ascii="宋体" w:hAnsi="宋体" w:cs="宋体"/>
          <w:spacing w:val="13"/>
          <w:sz w:val="23"/>
          <w:szCs w:val="23"/>
        </w:rPr>
        <w:t>辅井担</w:t>
      </w:r>
      <w:r>
        <w:rPr>
          <w:rFonts w:ascii="宋体" w:hAnsi="宋体" w:cs="宋体"/>
          <w:spacing w:val="12"/>
          <w:sz w:val="23"/>
          <w:szCs w:val="23"/>
        </w:rPr>
        <w:t>负废石</w:t>
      </w:r>
      <w:r>
        <w:rPr>
          <w:rFonts w:ascii="宋体" w:hAnsi="宋体" w:cs="宋体"/>
          <w:spacing w:val="14"/>
          <w:sz w:val="23"/>
          <w:szCs w:val="23"/>
        </w:rPr>
        <w:t>、</w:t>
      </w:r>
      <w:r>
        <w:rPr>
          <w:rFonts w:ascii="宋体" w:hAnsi="宋体" w:cs="宋体"/>
          <w:spacing w:val="12"/>
          <w:sz w:val="23"/>
          <w:szCs w:val="23"/>
        </w:rPr>
        <w:t>材料设备</w:t>
      </w:r>
      <w:r>
        <w:rPr>
          <w:rFonts w:ascii="宋体" w:hAnsi="宋体" w:cs="宋体"/>
          <w:spacing w:val="14"/>
          <w:sz w:val="23"/>
          <w:szCs w:val="23"/>
        </w:rPr>
        <w:t>、</w:t>
      </w:r>
      <w:r>
        <w:rPr>
          <w:rFonts w:ascii="宋体" w:hAnsi="宋体" w:cs="宋体"/>
          <w:spacing w:val="12"/>
          <w:sz w:val="23"/>
          <w:szCs w:val="23"/>
        </w:rPr>
        <w:t>人员的提升任务</w:t>
      </w:r>
      <w:r>
        <w:rPr>
          <w:rFonts w:ascii="宋体" w:hAnsi="宋体" w:cs="宋体"/>
          <w:spacing w:val="14"/>
          <w:sz w:val="23"/>
          <w:szCs w:val="23"/>
        </w:rPr>
        <w:t>；</w:t>
      </w:r>
      <w:r>
        <w:rPr>
          <w:rFonts w:ascii="宋体" w:hAnsi="宋体" w:cs="宋体"/>
          <w:spacing w:val="12"/>
          <w:sz w:val="23"/>
          <w:szCs w:val="23"/>
        </w:rPr>
        <w:t>措施井主要作为专用进风井</w:t>
      </w:r>
      <w:r>
        <w:rPr>
          <w:rFonts w:ascii="宋体" w:hAnsi="宋体" w:cs="宋体"/>
          <w:spacing w:val="14"/>
          <w:sz w:val="23"/>
          <w:szCs w:val="23"/>
        </w:rPr>
        <w:t>，</w:t>
      </w:r>
      <w:r>
        <w:rPr>
          <w:rFonts w:ascii="宋体" w:hAnsi="宋体" w:cs="宋体"/>
          <w:spacing w:val="12"/>
          <w:sz w:val="23"/>
          <w:szCs w:val="23"/>
        </w:rPr>
        <w:t>在矿山</w:t>
      </w:r>
      <w:r>
        <w:rPr>
          <w:rFonts w:ascii="宋体" w:hAnsi="宋体" w:cs="宋体"/>
          <w:sz w:val="23"/>
          <w:szCs w:val="23"/>
        </w:rPr>
        <w:t xml:space="preserve"> </w:t>
      </w:r>
      <w:r>
        <w:rPr>
          <w:rFonts w:ascii="宋体" w:hAnsi="宋体" w:cs="宋体"/>
          <w:spacing w:val="13"/>
          <w:sz w:val="23"/>
          <w:szCs w:val="23"/>
        </w:rPr>
        <w:t>建设期间作</w:t>
      </w:r>
      <w:r>
        <w:rPr>
          <w:rFonts w:ascii="宋体" w:hAnsi="宋体" w:cs="宋体"/>
          <w:spacing w:val="12"/>
          <w:sz w:val="23"/>
          <w:szCs w:val="23"/>
        </w:rPr>
        <w:t>为临时提升之用</w:t>
      </w:r>
      <w:r>
        <w:rPr>
          <w:rFonts w:ascii="宋体" w:hAnsi="宋体" w:cs="宋体"/>
          <w:spacing w:val="14"/>
          <w:sz w:val="23"/>
          <w:szCs w:val="23"/>
        </w:rPr>
        <w:t>；</w:t>
      </w:r>
      <w:r>
        <w:rPr>
          <w:rFonts w:ascii="宋体" w:hAnsi="宋体" w:cs="宋体"/>
          <w:spacing w:val="12"/>
          <w:sz w:val="23"/>
          <w:szCs w:val="23"/>
        </w:rPr>
        <w:t>南</w:t>
      </w:r>
      <w:r>
        <w:rPr>
          <w:rFonts w:ascii="宋体" w:hAnsi="宋体" w:cs="宋体"/>
          <w:spacing w:val="14"/>
          <w:sz w:val="23"/>
          <w:szCs w:val="23"/>
        </w:rPr>
        <w:t>、</w:t>
      </w:r>
      <w:r>
        <w:rPr>
          <w:rFonts w:ascii="宋体" w:hAnsi="宋体" w:cs="宋体"/>
          <w:spacing w:val="12"/>
          <w:sz w:val="23"/>
          <w:szCs w:val="23"/>
        </w:rPr>
        <w:t>北辅井主要作为辅助提升矿石</w:t>
      </w:r>
      <w:r>
        <w:rPr>
          <w:rFonts w:ascii="宋体" w:hAnsi="宋体" w:cs="宋体"/>
          <w:spacing w:val="14"/>
          <w:sz w:val="23"/>
          <w:szCs w:val="23"/>
        </w:rPr>
        <w:t>；</w:t>
      </w:r>
      <w:r>
        <w:rPr>
          <w:rFonts w:ascii="宋体" w:hAnsi="宋体" w:cs="宋体"/>
          <w:spacing w:val="12"/>
          <w:sz w:val="23"/>
          <w:szCs w:val="23"/>
        </w:rPr>
        <w:t>南北风井主要为</w:t>
      </w:r>
      <w:r>
        <w:rPr>
          <w:rFonts w:ascii="宋体" w:hAnsi="宋体" w:cs="宋体"/>
          <w:spacing w:val="5"/>
          <w:sz w:val="23"/>
          <w:szCs w:val="23"/>
        </w:rPr>
        <w:t>排风井</w:t>
      </w:r>
      <w:r>
        <w:rPr>
          <w:rFonts w:ascii="宋体" w:hAnsi="宋体" w:cs="宋体"/>
          <w:spacing w:val="8"/>
          <w:sz w:val="23"/>
          <w:szCs w:val="23"/>
        </w:rPr>
        <w:t>。</w:t>
      </w:r>
    </w:p>
    <w:p w14:paraId="76236D3B">
      <w:pPr>
        <w:pStyle w:val="18"/>
        <w:ind w:firstLine="482"/>
        <w:jc w:val="center"/>
        <w:rPr>
          <w:b/>
          <w:bCs/>
          <w:sz w:val="24"/>
          <w:szCs w:val="24"/>
        </w:rPr>
      </w:pPr>
      <w:r>
        <w:rPr>
          <w:b/>
          <w:bCs/>
          <w:sz w:val="24"/>
          <w:szCs w:val="24"/>
        </w:rPr>
        <w:t>表 3.3-1  开拓运输系统情况表</w:t>
      </w:r>
    </w:p>
    <w:tbl>
      <w:tblPr>
        <w:tblStyle w:val="139"/>
        <w:tblW w:w="895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4"/>
        <w:gridCol w:w="1276"/>
        <w:gridCol w:w="4536"/>
        <w:gridCol w:w="2454"/>
      </w:tblGrid>
      <w:tr w14:paraId="24C4D0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jc w:val="center"/>
        </w:trPr>
        <w:tc>
          <w:tcPr>
            <w:tcW w:w="684" w:type="dxa"/>
            <w:tcBorders>
              <w:left w:val="single" w:color="000000" w:sz="10" w:space="0"/>
            </w:tcBorders>
            <w:vAlign w:val="center"/>
          </w:tcPr>
          <w:p w14:paraId="48226552">
            <w:pPr>
              <w:widowControl/>
              <w:kinsoku w:val="0"/>
              <w:autoSpaceDE w:val="0"/>
              <w:autoSpaceDN w:val="0"/>
              <w:adjustRightInd w:val="0"/>
              <w:snapToGrid w:val="0"/>
              <w:spacing w:before="97" w:line="229" w:lineRule="auto"/>
              <w:ind w:firstLine="122"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t>序号</w:t>
            </w:r>
          </w:p>
        </w:tc>
        <w:tc>
          <w:tcPr>
            <w:tcW w:w="1276" w:type="dxa"/>
            <w:vAlign w:val="center"/>
          </w:tcPr>
          <w:p w14:paraId="6A95E26A">
            <w:pPr>
              <w:widowControl/>
              <w:kinsoku w:val="0"/>
              <w:autoSpaceDE w:val="0"/>
              <w:autoSpaceDN w:val="0"/>
              <w:adjustRightInd w:val="0"/>
              <w:snapToGrid w:val="0"/>
              <w:spacing w:before="96" w:line="230" w:lineRule="auto"/>
              <w:ind w:firstLine="335"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5"/>
                <w:kern w:val="0"/>
                <w:sz w:val="20"/>
                <w:szCs w:val="20"/>
                <w14:textOutline w14:w="3797" w14:cap="sq" w14:cmpd="sng" w14:algn="ctr">
                  <w14:solidFill>
                    <w14:srgbClr w14:val="000000"/>
                  </w14:solidFill>
                  <w14:prstDash w14:val="solid"/>
                  <w14:bevel/>
                </w14:textOutline>
              </w:rPr>
              <w:t>名</w:t>
            </w:r>
            <w:r>
              <w:rPr>
                <w:rFonts w:ascii="宋体" w:hAnsi="宋体" w:cs="宋体"/>
                <w:snapToGrid w:val="0"/>
                <w:color w:val="auto"/>
                <w:spacing w:val="4"/>
                <w:kern w:val="0"/>
                <w:sz w:val="20"/>
                <w:szCs w:val="20"/>
                <w14:textOutline w14:w="3797" w14:cap="sq" w14:cmpd="sng" w14:algn="ctr">
                  <w14:solidFill>
                    <w14:srgbClr w14:val="000000"/>
                  </w14:solidFill>
                  <w14:prstDash w14:val="solid"/>
                  <w14:bevel/>
                </w14:textOutline>
              </w:rPr>
              <w:t>称</w:t>
            </w:r>
          </w:p>
        </w:tc>
        <w:tc>
          <w:tcPr>
            <w:tcW w:w="4536" w:type="dxa"/>
            <w:vAlign w:val="center"/>
          </w:tcPr>
          <w:p w14:paraId="131BDE5E">
            <w:pPr>
              <w:widowControl/>
              <w:kinsoku w:val="0"/>
              <w:autoSpaceDE w:val="0"/>
              <w:autoSpaceDN w:val="0"/>
              <w:adjustRightInd w:val="0"/>
              <w:snapToGrid w:val="0"/>
              <w:spacing w:before="97" w:line="228" w:lineRule="auto"/>
              <w:ind w:firstLine="1039"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10"/>
                <w:kern w:val="0"/>
                <w:sz w:val="20"/>
                <w:szCs w:val="20"/>
                <w14:textOutline w14:w="3797" w14:cap="sq" w14:cmpd="sng" w14:algn="ctr">
                  <w14:solidFill>
                    <w14:srgbClr w14:val="000000"/>
                  </w14:solidFill>
                  <w14:prstDash w14:val="solid"/>
                  <w14:bevel/>
                </w14:textOutline>
              </w:rPr>
              <w:t>原环评</w:t>
            </w:r>
            <w:r>
              <w:rPr>
                <w:rFonts w:ascii="宋体" w:hAnsi="宋体" w:cs="宋体"/>
                <w:snapToGrid w:val="0"/>
                <w:color w:val="auto"/>
                <w:spacing w:val="11"/>
                <w:kern w:val="0"/>
                <w:sz w:val="20"/>
                <w:szCs w:val="20"/>
                <w14:textOutline w14:w="3797" w14:cap="sq" w14:cmpd="sng" w14:algn="ctr">
                  <w14:solidFill>
                    <w14:srgbClr w14:val="000000"/>
                  </w14:solidFill>
                  <w14:prstDash w14:val="solid"/>
                  <w14:bevel/>
                </w14:textOutline>
              </w:rPr>
              <w:t>、</w:t>
            </w:r>
            <w:r>
              <w:rPr>
                <w:rFonts w:ascii="宋体" w:hAnsi="宋体" w:cs="宋体"/>
                <w:snapToGrid w:val="0"/>
                <w:color w:val="auto"/>
                <w:spacing w:val="10"/>
                <w:kern w:val="0"/>
                <w:sz w:val="20"/>
                <w:szCs w:val="20"/>
                <w14:textOutline w14:w="3797" w14:cap="sq" w14:cmpd="sng" w14:algn="ctr">
                  <w14:solidFill>
                    <w14:srgbClr w14:val="000000"/>
                  </w14:solidFill>
                  <w14:prstDash w14:val="solid"/>
                  <w14:bevel/>
                </w14:textOutline>
              </w:rPr>
              <w:t>验</w:t>
            </w:r>
            <w:r>
              <w:rPr>
                <w:rFonts w:ascii="宋体" w:hAnsi="宋体" w:cs="宋体"/>
                <w:snapToGrid w:val="0"/>
                <w:color w:val="auto"/>
                <w:spacing w:val="9"/>
                <w:kern w:val="0"/>
                <w:sz w:val="20"/>
                <w:szCs w:val="20"/>
                <w14:textOutline w14:w="3797" w14:cap="sq" w14:cmpd="sng" w14:algn="ctr">
                  <w14:solidFill>
                    <w14:srgbClr w14:val="000000"/>
                  </w14:solidFill>
                  <w14:prstDash w14:val="solid"/>
                  <w14:bevel/>
                </w14:textOutline>
              </w:rPr>
              <w:t>收阶段开拓系统</w:t>
            </w:r>
          </w:p>
        </w:tc>
        <w:tc>
          <w:tcPr>
            <w:tcW w:w="2454" w:type="dxa"/>
            <w:tcBorders>
              <w:right w:val="single" w:color="000000" w:sz="10" w:space="0"/>
            </w:tcBorders>
            <w:vAlign w:val="center"/>
          </w:tcPr>
          <w:p w14:paraId="2F2E782B">
            <w:pPr>
              <w:widowControl/>
              <w:kinsoku w:val="0"/>
              <w:autoSpaceDE w:val="0"/>
              <w:autoSpaceDN w:val="0"/>
              <w:adjustRightInd w:val="0"/>
              <w:snapToGrid w:val="0"/>
              <w:spacing w:before="97" w:line="226" w:lineRule="auto"/>
              <w:ind w:firstLine="783" w:firstLineChars="0"/>
              <w:jc w:val="left"/>
              <w:textAlignment w:val="baseline"/>
              <w:rPr>
                <w:rFonts w:hint="eastAsia" w:ascii="宋体" w:hAnsi="宋体" w:cs="宋体"/>
                <w:snapToGrid w:val="0"/>
                <w:color w:val="auto"/>
                <w:kern w:val="0"/>
                <w:sz w:val="20"/>
                <w:szCs w:val="20"/>
              </w:rPr>
            </w:pPr>
            <w:r>
              <w:rPr>
                <w:rFonts w:ascii="宋体" w:hAnsi="宋体" w:cs="宋体"/>
                <w:snapToGrid w:val="0"/>
                <w:color w:val="auto"/>
                <w:spacing w:val="9"/>
                <w:kern w:val="0"/>
                <w:sz w:val="20"/>
                <w:szCs w:val="20"/>
                <w14:textOutline w14:w="3797" w14:cap="sq" w14:cmpd="sng" w14:algn="ctr">
                  <w14:solidFill>
                    <w14:srgbClr w14:val="000000"/>
                  </w14:solidFill>
                  <w14:prstDash w14:val="solid"/>
                  <w14:bevel/>
                </w14:textOutline>
              </w:rPr>
              <w:t>后</w:t>
            </w:r>
            <w:r>
              <w:rPr>
                <w:rFonts w:ascii="宋体" w:hAnsi="宋体" w:cs="宋体"/>
                <w:snapToGrid w:val="0"/>
                <w:color w:val="auto"/>
                <w:spacing w:val="8"/>
                <w:kern w:val="0"/>
                <w:sz w:val="20"/>
                <w:szCs w:val="20"/>
                <w14:textOutline w14:w="3797" w14:cap="sq" w14:cmpd="sng" w14:algn="ctr">
                  <w14:solidFill>
                    <w14:srgbClr w14:val="000000"/>
                  </w14:solidFill>
                  <w14:prstDash w14:val="solid"/>
                  <w14:bevel/>
                </w14:textOutline>
              </w:rPr>
              <w:t>评价阶段</w:t>
            </w:r>
          </w:p>
        </w:tc>
      </w:tr>
      <w:tr w14:paraId="609320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74" w:hRule="atLeast"/>
          <w:jc w:val="center"/>
        </w:trPr>
        <w:tc>
          <w:tcPr>
            <w:tcW w:w="684" w:type="dxa"/>
            <w:tcBorders>
              <w:left w:val="single" w:color="000000" w:sz="10" w:space="0"/>
            </w:tcBorders>
            <w:vAlign w:val="center"/>
          </w:tcPr>
          <w:p w14:paraId="022620D8">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1</w:t>
            </w:r>
          </w:p>
        </w:tc>
        <w:tc>
          <w:tcPr>
            <w:tcW w:w="1276" w:type="dxa"/>
            <w:vAlign w:val="center"/>
          </w:tcPr>
          <w:p w14:paraId="619C9777">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主井</w:t>
            </w:r>
          </w:p>
        </w:tc>
        <w:tc>
          <w:tcPr>
            <w:tcW w:w="4536" w:type="dxa"/>
            <w:vAlign w:val="center"/>
          </w:tcPr>
          <w:p w14:paraId="4F6B9779">
            <w:pPr>
              <w:spacing w:before="72" w:line="228" w:lineRule="auto"/>
              <w:ind w:left="104" w:right="99" w:firstLine="199" w:firstLineChars="93"/>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为箕斗提升井 ，井筒净直径 4.5m ，井口标高 40.09m，井底标高-404.5m，井深 444.59m，采用 14m3 底卸单箕斗，4×4 多绳落地摩擦轮提升机， 担负矿石提升任务。</w:t>
            </w:r>
          </w:p>
        </w:tc>
        <w:tc>
          <w:tcPr>
            <w:tcW w:w="2454" w:type="dxa"/>
            <w:tcBorders>
              <w:right w:val="single" w:color="000000" w:sz="10" w:space="0"/>
            </w:tcBorders>
            <w:vAlign w:val="center"/>
          </w:tcPr>
          <w:p w14:paraId="01136840">
            <w:pPr>
              <w:spacing w:before="72" w:line="228" w:lineRule="auto"/>
              <w:ind w:left="149" w:right="131" w:firstLine="214" w:firstLineChars="100"/>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随着企业生产，井深及井底标高变化，其他无变化</w:t>
            </w:r>
          </w:p>
        </w:tc>
      </w:tr>
      <w:tr w14:paraId="4B72E7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73" w:hRule="atLeast"/>
          <w:jc w:val="center"/>
        </w:trPr>
        <w:tc>
          <w:tcPr>
            <w:tcW w:w="684" w:type="dxa"/>
            <w:tcBorders>
              <w:left w:val="single" w:color="000000" w:sz="10" w:space="0"/>
            </w:tcBorders>
            <w:vAlign w:val="center"/>
          </w:tcPr>
          <w:p w14:paraId="1B83BA43">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2</w:t>
            </w:r>
          </w:p>
        </w:tc>
        <w:tc>
          <w:tcPr>
            <w:tcW w:w="1276" w:type="dxa"/>
            <w:vAlign w:val="center"/>
          </w:tcPr>
          <w:p w14:paraId="74DF83B7">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副井</w:t>
            </w:r>
          </w:p>
        </w:tc>
        <w:tc>
          <w:tcPr>
            <w:tcW w:w="4536" w:type="dxa"/>
            <w:vAlign w:val="center"/>
          </w:tcPr>
          <w:p w14:paraId="3DCCE902">
            <w:pPr>
              <w:spacing w:before="72" w:line="228" w:lineRule="auto"/>
              <w:ind w:left="106" w:right="44"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为罐笼提升井 ，井筒净直径 5.5m ，井口标高 39.59m，井底标高-434m，井深 473.59m，采用 5 号双层单罐笼，2.8×4 落地式多绳摩擦轮提升机， 担负废石、材料设备、人员的提升任务。</w:t>
            </w:r>
          </w:p>
        </w:tc>
        <w:tc>
          <w:tcPr>
            <w:tcW w:w="2454" w:type="dxa"/>
            <w:tcBorders>
              <w:right w:val="single" w:color="000000" w:sz="10" w:space="0"/>
            </w:tcBorders>
            <w:vAlign w:val="center"/>
          </w:tcPr>
          <w:p w14:paraId="082D4313">
            <w:pPr>
              <w:spacing w:before="72" w:line="228" w:lineRule="auto"/>
              <w:ind w:left="149" w:right="131" w:firstLine="214" w:firstLineChars="100"/>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随着企业生产，井深及井底标高变化，其他无变化</w:t>
            </w:r>
          </w:p>
        </w:tc>
      </w:tr>
      <w:tr w14:paraId="52A478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73" w:hRule="atLeast"/>
          <w:jc w:val="center"/>
        </w:trPr>
        <w:tc>
          <w:tcPr>
            <w:tcW w:w="684" w:type="dxa"/>
            <w:tcBorders>
              <w:left w:val="single" w:color="000000" w:sz="10" w:space="0"/>
            </w:tcBorders>
            <w:vAlign w:val="center"/>
          </w:tcPr>
          <w:p w14:paraId="47C78279">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3</w:t>
            </w:r>
          </w:p>
        </w:tc>
        <w:tc>
          <w:tcPr>
            <w:tcW w:w="1276" w:type="dxa"/>
            <w:vAlign w:val="center"/>
          </w:tcPr>
          <w:p w14:paraId="34EE7208">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进风井（兼措施井）</w:t>
            </w:r>
          </w:p>
        </w:tc>
        <w:tc>
          <w:tcPr>
            <w:tcW w:w="4536" w:type="dxa"/>
            <w:vAlign w:val="center"/>
          </w:tcPr>
          <w:p w14:paraId="3A996031">
            <w:pPr>
              <w:spacing w:before="72" w:line="228" w:lineRule="auto"/>
              <w:ind w:left="104" w:right="99"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措施井兼进风 ，井筒净直径 4.5m 。井口标高 40.08m，井底标高-290m，井深 330.08m，该井主 要作为专用进风井，在矿山建设期间作为临时提 升之用。</w:t>
            </w:r>
          </w:p>
        </w:tc>
        <w:tc>
          <w:tcPr>
            <w:tcW w:w="2454" w:type="dxa"/>
            <w:tcBorders>
              <w:right w:val="single" w:color="000000" w:sz="10" w:space="0"/>
            </w:tcBorders>
            <w:vAlign w:val="center"/>
          </w:tcPr>
          <w:p w14:paraId="4FB44AC0">
            <w:pPr>
              <w:spacing w:before="72" w:line="228" w:lineRule="auto"/>
              <w:ind w:left="149" w:right="131" w:firstLine="214" w:firstLineChars="100"/>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随着企业生产，井深及井底标高变化，其他无变化</w:t>
            </w:r>
          </w:p>
        </w:tc>
      </w:tr>
      <w:tr w14:paraId="0454A5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2" w:hRule="atLeast"/>
          <w:jc w:val="center"/>
        </w:trPr>
        <w:tc>
          <w:tcPr>
            <w:tcW w:w="684" w:type="dxa"/>
            <w:tcBorders>
              <w:left w:val="single" w:color="000000" w:sz="10" w:space="0"/>
            </w:tcBorders>
            <w:vAlign w:val="center"/>
          </w:tcPr>
          <w:p w14:paraId="65387CFD">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4</w:t>
            </w:r>
          </w:p>
        </w:tc>
        <w:tc>
          <w:tcPr>
            <w:tcW w:w="1276" w:type="dxa"/>
            <w:vAlign w:val="center"/>
          </w:tcPr>
          <w:p w14:paraId="393D8A38">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北风井</w:t>
            </w:r>
          </w:p>
        </w:tc>
        <w:tc>
          <w:tcPr>
            <w:tcW w:w="4536" w:type="dxa"/>
            <w:vAlign w:val="center"/>
          </w:tcPr>
          <w:p w14:paraId="08EC6967">
            <w:pPr>
              <w:spacing w:before="72" w:line="228" w:lineRule="auto"/>
              <w:ind w:left="105" w:right="44"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井筒净直径 3.5m，井口标高 37m，井底标高-230m， 井深 267m，主要用来回风，同时做为第二安全出 口。</w:t>
            </w:r>
          </w:p>
        </w:tc>
        <w:tc>
          <w:tcPr>
            <w:tcW w:w="2454" w:type="dxa"/>
            <w:tcBorders>
              <w:right w:val="single" w:color="000000" w:sz="10" w:space="0"/>
            </w:tcBorders>
            <w:vAlign w:val="center"/>
          </w:tcPr>
          <w:p w14:paraId="70944CD6">
            <w:pPr>
              <w:spacing w:before="72" w:line="228" w:lineRule="auto"/>
              <w:ind w:left="149" w:right="131" w:firstLine="214" w:firstLineChars="100"/>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随着企业生产，井深及井底标高变化，其他无变化</w:t>
            </w:r>
          </w:p>
        </w:tc>
      </w:tr>
      <w:tr w14:paraId="360AA7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684" w:type="dxa"/>
            <w:tcBorders>
              <w:left w:val="single" w:color="000000" w:sz="10" w:space="0"/>
            </w:tcBorders>
            <w:vAlign w:val="center"/>
          </w:tcPr>
          <w:p w14:paraId="3E575D75">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5</w:t>
            </w:r>
          </w:p>
        </w:tc>
        <w:tc>
          <w:tcPr>
            <w:tcW w:w="1276" w:type="dxa"/>
            <w:vAlign w:val="center"/>
          </w:tcPr>
          <w:p w14:paraId="38A93875">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南辅助提</w:t>
            </w:r>
            <w:r>
              <w:rPr>
                <w:rFonts w:hint="eastAsia" w:ascii="宋体" w:hAnsi="宋体" w:cs="宋体"/>
                <w:snapToGrid w:val="0"/>
                <w:color w:val="auto"/>
                <w:spacing w:val="7"/>
                <w:kern w:val="0"/>
                <w:sz w:val="20"/>
                <w:szCs w:val="20"/>
              </w:rPr>
              <w:t>升井</w:t>
            </w:r>
          </w:p>
        </w:tc>
        <w:tc>
          <w:tcPr>
            <w:tcW w:w="4536" w:type="dxa"/>
            <w:vAlign w:val="center"/>
          </w:tcPr>
          <w:p w14:paraId="4EE7AA02">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井筒净直径 4.5m，井口标高 40m，井底标高-230m，井深 270m，主要用来提升废石。</w:t>
            </w:r>
          </w:p>
        </w:tc>
        <w:tc>
          <w:tcPr>
            <w:tcW w:w="2454" w:type="dxa"/>
            <w:tcBorders>
              <w:right w:val="single" w:color="000000" w:sz="10" w:space="0"/>
            </w:tcBorders>
            <w:vAlign w:val="center"/>
          </w:tcPr>
          <w:p w14:paraId="2871EFD6">
            <w:pPr>
              <w:spacing w:before="72" w:line="228" w:lineRule="auto"/>
              <w:ind w:firstLine="214" w:firstLineChars="100"/>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随着企业生产，井深及井底标高变化，其他无变化</w:t>
            </w:r>
          </w:p>
        </w:tc>
      </w:tr>
      <w:tr w14:paraId="528C48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684" w:type="dxa"/>
            <w:tcBorders>
              <w:left w:val="single" w:color="000000" w:sz="10" w:space="0"/>
            </w:tcBorders>
            <w:vAlign w:val="center"/>
          </w:tcPr>
          <w:p w14:paraId="47EDFBB9">
            <w:pPr>
              <w:spacing w:before="72" w:line="228" w:lineRule="auto"/>
              <w:ind w:firstLine="0" w:firstLineChars="0"/>
              <w:jc w:val="center"/>
              <w:rPr>
                <w:rFonts w:hint="eastAsia" w:ascii="宋体" w:hAnsi="宋体" w:cs="宋体"/>
                <w:snapToGrid w:val="0"/>
                <w:color w:val="auto"/>
                <w:spacing w:val="7"/>
                <w:kern w:val="0"/>
                <w:sz w:val="20"/>
                <w:szCs w:val="20"/>
              </w:rPr>
            </w:pPr>
            <w:r>
              <w:rPr>
                <w:rFonts w:hint="eastAsia" w:ascii="宋体" w:hAnsi="宋体" w:cs="宋体"/>
                <w:snapToGrid w:val="0"/>
                <w:color w:val="auto"/>
                <w:spacing w:val="7"/>
                <w:kern w:val="0"/>
                <w:sz w:val="20"/>
                <w:szCs w:val="20"/>
              </w:rPr>
              <w:t>6</w:t>
            </w:r>
          </w:p>
        </w:tc>
        <w:tc>
          <w:tcPr>
            <w:tcW w:w="1276" w:type="dxa"/>
            <w:vAlign w:val="center"/>
          </w:tcPr>
          <w:p w14:paraId="0FDEC8B8">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北辅助提 升井</w:t>
            </w:r>
          </w:p>
        </w:tc>
        <w:tc>
          <w:tcPr>
            <w:tcW w:w="4536" w:type="dxa"/>
            <w:vAlign w:val="center"/>
          </w:tcPr>
          <w:p w14:paraId="70C6EC85">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井筒直径 5m，井口标高 35.8m，井底标高-350.3m。 装 2JK-3.5/11.5E 单绳提升机 。 年提升矿石 70×104t/a；后期年提升矿石 70×104t/a。</w:t>
            </w:r>
          </w:p>
        </w:tc>
        <w:tc>
          <w:tcPr>
            <w:tcW w:w="2454" w:type="dxa"/>
            <w:tcBorders>
              <w:right w:val="single" w:color="000000" w:sz="10" w:space="0"/>
            </w:tcBorders>
            <w:vAlign w:val="center"/>
          </w:tcPr>
          <w:p w14:paraId="1A6C9491">
            <w:pPr>
              <w:spacing w:before="72" w:line="228" w:lineRule="auto"/>
              <w:ind w:firstLine="214" w:firstLineChars="100"/>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随着企业生产，井深及井 底标高变化，其他无变化</w:t>
            </w:r>
          </w:p>
        </w:tc>
      </w:tr>
      <w:tr w14:paraId="1B94D4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684" w:type="dxa"/>
            <w:tcBorders>
              <w:left w:val="single" w:color="000000" w:sz="10" w:space="0"/>
            </w:tcBorders>
            <w:vAlign w:val="center"/>
          </w:tcPr>
          <w:p w14:paraId="502157CA">
            <w:pPr>
              <w:spacing w:before="72" w:line="228" w:lineRule="auto"/>
              <w:ind w:firstLine="0" w:firstLineChars="0"/>
              <w:jc w:val="center"/>
              <w:rPr>
                <w:rFonts w:hint="eastAsia" w:ascii="宋体" w:hAnsi="宋体" w:cs="宋体"/>
                <w:snapToGrid w:val="0"/>
                <w:color w:val="auto"/>
                <w:spacing w:val="7"/>
                <w:kern w:val="0"/>
                <w:sz w:val="20"/>
                <w:szCs w:val="20"/>
              </w:rPr>
            </w:pPr>
            <w:r>
              <w:rPr>
                <w:rFonts w:hint="eastAsia" w:ascii="宋体" w:hAnsi="宋体" w:cs="宋体"/>
                <w:snapToGrid w:val="0"/>
                <w:color w:val="auto"/>
                <w:spacing w:val="7"/>
                <w:kern w:val="0"/>
                <w:sz w:val="20"/>
                <w:szCs w:val="20"/>
              </w:rPr>
              <w:t>7</w:t>
            </w:r>
          </w:p>
        </w:tc>
        <w:tc>
          <w:tcPr>
            <w:tcW w:w="1276" w:type="dxa"/>
            <w:vAlign w:val="center"/>
          </w:tcPr>
          <w:p w14:paraId="2A31CB4F">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南风井</w:t>
            </w:r>
          </w:p>
        </w:tc>
        <w:tc>
          <w:tcPr>
            <w:tcW w:w="4536" w:type="dxa"/>
            <w:vAlign w:val="center"/>
          </w:tcPr>
          <w:p w14:paraId="535150E4">
            <w:pPr>
              <w:spacing w:before="72" w:line="228"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矿山的南部通风井，该风井井口标高 39m，井底 标高-230m，井深 269m，井筒直径 4.5m。</w:t>
            </w:r>
          </w:p>
        </w:tc>
        <w:tc>
          <w:tcPr>
            <w:tcW w:w="2454" w:type="dxa"/>
            <w:tcBorders>
              <w:right w:val="single" w:color="000000" w:sz="10" w:space="0"/>
            </w:tcBorders>
            <w:vAlign w:val="center"/>
          </w:tcPr>
          <w:p w14:paraId="719927B2">
            <w:pPr>
              <w:spacing w:before="72" w:line="228" w:lineRule="auto"/>
              <w:ind w:firstLine="214" w:firstLineChars="100"/>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随着企业生产，井深及井底标高变化，其他无变化</w:t>
            </w:r>
          </w:p>
        </w:tc>
      </w:tr>
    </w:tbl>
    <w:p w14:paraId="646651EF">
      <w:pPr>
        <w:ind w:firstLine="480"/>
      </w:pPr>
      <w:r>
        <mc:AlternateContent>
          <mc:Choice Requires="wpg">
            <w:drawing>
              <wp:inline distT="0" distB="0" distL="0" distR="0">
                <wp:extent cx="4676775" cy="2828925"/>
                <wp:effectExtent l="19050" t="19050" r="28575" b="47625"/>
                <wp:docPr id="207814815" name="组合 11"/>
                <wp:cNvGraphicFramePr/>
                <a:graphic xmlns:a="http://schemas.openxmlformats.org/drawingml/2006/main">
                  <a:graphicData uri="http://schemas.microsoft.com/office/word/2010/wordprocessingGroup">
                    <wpg:wgp>
                      <wpg:cNvGrpSpPr/>
                      <wpg:grpSpPr>
                        <a:xfrm>
                          <a:off x="0" y="0"/>
                          <a:ext cx="4676775" cy="2828925"/>
                          <a:chOff x="0" y="0"/>
                          <a:chExt cx="8992" cy="4940"/>
                        </a:xfrm>
                      </wpg:grpSpPr>
                      <pic:pic xmlns:pic="http://schemas.openxmlformats.org/drawingml/2006/picture">
                        <pic:nvPicPr>
                          <pic:cNvPr id="1869292133" name="Picture 9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992" cy="4940"/>
                          </a:xfrm>
                          <a:prstGeom prst="rect">
                            <a:avLst/>
                          </a:prstGeom>
                          <a:noFill/>
                          <a:ln>
                            <a:noFill/>
                          </a:ln>
                        </pic:spPr>
                      </pic:pic>
                      <wps:wsp>
                        <wps:cNvPr id="2021860585" name="Text Box 942"/>
                        <wps:cNvSpPr txBox="1">
                          <a:spLocks noChangeArrowheads="1"/>
                        </wps:cNvSpPr>
                        <wps:spPr bwMode="auto">
                          <a:xfrm>
                            <a:off x="-20" y="-20"/>
                            <a:ext cx="9032" cy="5023"/>
                          </a:xfrm>
                          <a:prstGeom prst="rect">
                            <a:avLst/>
                          </a:prstGeom>
                          <a:noFill/>
                          <a:ln>
                            <a:noFill/>
                          </a:ln>
                        </wps:spPr>
                        <wps:txbx>
                          <w:txbxContent>
                            <w:p w14:paraId="6B26109B">
                              <w:pPr>
                                <w:spacing w:line="252" w:lineRule="auto"/>
                                <w:ind w:firstLine="480"/>
                              </w:pPr>
                            </w:p>
                          </w:txbxContent>
                        </wps:txbx>
                        <wps:bodyPr rot="0" vert="horz" wrap="square" lIns="0" tIns="0" rIns="0" bIns="0" anchor="t" anchorCtr="0" upright="1">
                          <a:noAutofit/>
                        </wps:bodyPr>
                      </wps:wsp>
                    </wpg:wgp>
                  </a:graphicData>
                </a:graphic>
              </wp:inline>
            </w:drawing>
          </mc:Choice>
          <mc:Fallback>
            <w:pict>
              <v:group id="组合 11" o:spid="_x0000_s1026" o:spt="203" style="height:222.75pt;width:368.25pt;" coordsize="8992,4940" o:gfxdata="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">
                <o:lock v:ext="edit" aspectratio="f"/>
                <v:shape id="Picture 941" o:spid="_x0000_s1026" o:spt="75" type="#_x0000_t75" style="position:absolute;left:0;top:0;height:4940;width:8992;" filled="f" o:preferrelative="t" stroked="f" coordsize="21600,21600" o:gfxdata="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CSI&#10;scEAAADjAAAADwAAAAAAAAABACAAAAAiAAAAZHJzL2Rvd25yZXYueG1sUEsBAhQAFAAAAAgAh07i&#10;QDMvBZ47AAAAOQAAABAAAAAAAAAAAQAgAAAAEAEAAGRycy9zaGFwZXhtbC54bWxQSwUGAAAAAAYA&#10;BgBbAQAAugMAAAAA&#10;">
                  <v:fill on="f" focussize="0,0"/>
                  <v:stroke on="f"/>
                  <v:imagedata r:id="rId28" o:title=""/>
                  <o:lock v:ext="edit" aspectratio="t"/>
                </v:shape>
                <v:shape id="Text Box 942" o:spid="_x0000_s1026" o:spt="202" type="#_x0000_t202" style="position:absolute;left:-20;top:-20;height:5023;width:9032;" filled="f" stroked="f" coordsize="21600,21600" o:gfxdata="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71208sQAAADjAAAADwAAAAAAAAABACAAAAAiAAAAZHJzL2Rvd25yZXYueG1sUEsBAhQAFAAAAAgA&#10;h07iQDMvBZ47AAAAOQAAABAAAAAAAAAAAQAgAAAAEwEAAGRycy9zaGFwZXhtbC54bWxQSwUGAAAA&#10;AAYABgBbAQAAvQMAAAAA&#10;">
                  <v:fill on="f" focussize="0,0"/>
                  <v:stroke on="f"/>
                  <v:imagedata o:title=""/>
                  <o:lock v:ext="edit" aspectratio="f"/>
                  <v:textbox inset="0mm,0mm,0mm,0mm">
                    <w:txbxContent>
                      <w:p w14:paraId="6B26109B">
                        <w:pPr>
                          <w:spacing w:line="252" w:lineRule="auto"/>
                          <w:ind w:firstLine="480"/>
                        </w:pPr>
                      </w:p>
                    </w:txbxContent>
                  </v:textbox>
                </v:shape>
                <w10:wrap type="none"/>
                <w10:anchorlock/>
              </v:group>
            </w:pict>
          </mc:Fallback>
        </mc:AlternateContent>
      </w:r>
    </w:p>
    <w:p w14:paraId="0423FB86">
      <w:pPr>
        <w:pStyle w:val="18"/>
        <w:ind w:firstLine="482"/>
        <w:jc w:val="center"/>
        <w:rPr>
          <w:b/>
          <w:bCs/>
          <w:sz w:val="24"/>
          <w:szCs w:val="24"/>
        </w:rPr>
      </w:pPr>
      <w:r>
        <w:rPr>
          <w:rFonts w:hint="eastAsia"/>
          <w:b/>
          <w:bCs/>
          <w:sz w:val="24"/>
          <w:szCs w:val="24"/>
        </w:rPr>
        <w:t>图</w:t>
      </w:r>
      <w:r>
        <w:rPr>
          <w:b/>
          <w:bCs/>
          <w:sz w:val="24"/>
          <w:szCs w:val="24"/>
        </w:rPr>
        <w:t>3.3-2  选厂区主井、副井、措施井图</w:t>
      </w:r>
    </w:p>
    <w:p w14:paraId="6A59FE45">
      <w:pPr>
        <w:ind w:firstLine="480"/>
      </w:pPr>
      <w:r>
        <w:drawing>
          <wp:inline distT="0" distB="0" distL="0" distR="0">
            <wp:extent cx="4695825" cy="3481070"/>
            <wp:effectExtent l="0" t="0" r="0" b="5080"/>
            <wp:docPr id="1855244937"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44937" name="Picture 9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703542" cy="3487173"/>
                    </a:xfrm>
                    <a:prstGeom prst="rect">
                      <a:avLst/>
                    </a:prstGeom>
                    <a:noFill/>
                    <a:ln>
                      <a:noFill/>
                    </a:ln>
                  </pic:spPr>
                </pic:pic>
              </a:graphicData>
            </a:graphic>
          </wp:inline>
        </w:drawing>
      </w:r>
    </w:p>
    <w:p w14:paraId="0579EA15">
      <w:pPr>
        <w:pStyle w:val="18"/>
        <w:ind w:firstLine="482"/>
        <w:jc w:val="center"/>
        <w:rPr>
          <w:b/>
          <w:bCs/>
          <w:sz w:val="24"/>
          <w:szCs w:val="24"/>
        </w:rPr>
      </w:pPr>
      <w:r>
        <w:rPr>
          <w:rFonts w:hint="eastAsia"/>
          <w:b/>
          <w:bCs/>
          <w:sz w:val="24"/>
          <w:szCs w:val="24"/>
        </w:rPr>
        <w:t>图</w:t>
      </w:r>
      <w:r>
        <w:rPr>
          <w:b/>
          <w:bCs/>
          <w:sz w:val="24"/>
          <w:szCs w:val="24"/>
        </w:rPr>
        <w:t>3.3-</w:t>
      </w:r>
      <w:r>
        <w:rPr>
          <w:rFonts w:hint="eastAsia"/>
          <w:b/>
          <w:bCs/>
          <w:sz w:val="24"/>
          <w:szCs w:val="24"/>
        </w:rPr>
        <w:t>3</w:t>
      </w:r>
      <w:r>
        <w:rPr>
          <w:b/>
          <w:bCs/>
          <w:sz w:val="24"/>
          <w:szCs w:val="24"/>
        </w:rPr>
        <w:t xml:space="preserve">  </w:t>
      </w:r>
      <w:r>
        <w:rPr>
          <w:rFonts w:hint="eastAsia"/>
          <w:b/>
          <w:bCs/>
          <w:sz w:val="24"/>
          <w:szCs w:val="24"/>
        </w:rPr>
        <w:t>北辅助</w:t>
      </w:r>
      <w:r>
        <w:rPr>
          <w:b/>
          <w:bCs/>
          <w:sz w:val="24"/>
          <w:szCs w:val="24"/>
        </w:rPr>
        <w:t>井图</w:t>
      </w:r>
    </w:p>
    <w:p w14:paraId="585A6366">
      <w:pPr>
        <w:ind w:firstLine="480"/>
      </w:pPr>
      <w:r>
        <w:drawing>
          <wp:inline distT="0" distB="0" distL="0" distR="0">
            <wp:extent cx="4152900" cy="5536565"/>
            <wp:effectExtent l="0" t="0" r="0" b="0"/>
            <wp:docPr id="1806508588" name="IM 42"/>
            <wp:cNvGraphicFramePr/>
            <a:graphic xmlns:a="http://schemas.openxmlformats.org/drawingml/2006/main">
              <a:graphicData uri="http://schemas.openxmlformats.org/drawingml/2006/picture">
                <pic:pic xmlns:pic="http://schemas.openxmlformats.org/drawingml/2006/picture">
                  <pic:nvPicPr>
                    <pic:cNvPr id="1806508588" name="IM 42"/>
                    <pic:cNvPicPr/>
                  </pic:nvPicPr>
                  <pic:blipFill>
                    <a:blip r:embed="rId30"/>
                    <a:stretch>
                      <a:fillRect/>
                    </a:stretch>
                  </pic:blipFill>
                  <pic:spPr>
                    <a:xfrm>
                      <a:off x="0" y="0"/>
                      <a:ext cx="4152900" cy="5536691"/>
                    </a:xfrm>
                    <a:prstGeom prst="rect">
                      <a:avLst/>
                    </a:prstGeom>
                  </pic:spPr>
                </pic:pic>
              </a:graphicData>
            </a:graphic>
          </wp:inline>
        </w:drawing>
      </w:r>
    </w:p>
    <w:p w14:paraId="19E0E817">
      <w:pPr>
        <w:ind w:firstLine="482"/>
        <w:jc w:val="center"/>
      </w:pPr>
      <w:r>
        <w:rPr>
          <w:rFonts w:hint="eastAsia"/>
          <w:b/>
          <w:bCs/>
          <w:szCs w:val="24"/>
        </w:rPr>
        <w:t>图</w:t>
      </w:r>
      <w:r>
        <w:rPr>
          <w:b/>
          <w:bCs/>
          <w:szCs w:val="24"/>
        </w:rPr>
        <w:t>3.3-</w:t>
      </w:r>
      <w:r>
        <w:rPr>
          <w:rFonts w:hint="eastAsia"/>
          <w:b/>
          <w:bCs/>
          <w:szCs w:val="24"/>
        </w:rPr>
        <w:t>4</w:t>
      </w:r>
      <w:r>
        <w:rPr>
          <w:b/>
          <w:bCs/>
          <w:szCs w:val="24"/>
        </w:rPr>
        <w:t xml:space="preserve">  </w:t>
      </w:r>
      <w:r>
        <w:rPr>
          <w:rFonts w:hint="eastAsia"/>
          <w:b/>
          <w:bCs/>
          <w:szCs w:val="24"/>
        </w:rPr>
        <w:t>北风</w:t>
      </w:r>
      <w:r>
        <w:rPr>
          <w:b/>
          <w:bCs/>
          <w:szCs w:val="24"/>
        </w:rPr>
        <w:t>井图</w:t>
      </w:r>
    </w:p>
    <w:p w14:paraId="688E2E96">
      <w:pPr>
        <w:ind w:firstLine="480"/>
      </w:pPr>
      <w:r>
        <w:t>（2）井下运输</w:t>
      </w:r>
    </w:p>
    <w:p w14:paraId="49B9DDCF">
      <w:pPr>
        <w:ind w:firstLine="480"/>
      </w:pPr>
      <w:r>
        <w:t>矿石从采区溜井下部的震动放矿机装入 6m</w:t>
      </w:r>
      <w:r>
        <w:rPr>
          <w:vertAlign w:val="superscript"/>
        </w:rPr>
        <w:t>3</w:t>
      </w:r>
      <w:r>
        <w:t xml:space="preserve"> 底侧卸矿车，由 14t 电机车牵引至溜 井井底车场，卸入主溜井，经破碎硐室粗碎后， 由胶带机给入计量斗装底卸箕斗提 升至地面矿仓。掘进废石装 0.7m</w:t>
      </w:r>
      <w:r>
        <w:rPr>
          <w:vertAlign w:val="superscript"/>
        </w:rPr>
        <w:t>3</w:t>
      </w:r>
      <w:r>
        <w:t xml:space="preserve"> 翻转矿车， 由 7t 电机车牵引至副井井底车场装入 罐笼，提升至地表。</w:t>
      </w:r>
    </w:p>
    <w:p w14:paraId="6F7B1A4C">
      <w:pPr>
        <w:pStyle w:val="5"/>
      </w:pPr>
      <w:r>
        <w:t>3.3.1.3 井下供排水</w:t>
      </w:r>
    </w:p>
    <w:p w14:paraId="60ACCE51">
      <w:pPr>
        <w:ind w:firstLine="480"/>
      </w:pPr>
      <w:r>
        <w:t>（1）排水方式</w:t>
      </w:r>
    </w:p>
    <w:p w14:paraId="371D01BC">
      <w:pPr>
        <w:spacing w:before="154" w:line="375" w:lineRule="auto"/>
        <w:ind w:left="13" w:right="63" w:firstLine="480"/>
      </w:pPr>
      <w:r>
        <w:t>井下排水-290m 中段以上采用直接抽排，-290m 中段以下采用接力排水方案。上 部-170m、-230m 阶段的地下涌水下泄到-290m 阶段水仓，集中由水泵排至地表万吨水池。-350m、-410m 阶段开采时，在各自的井底车场附近设置排水设施，将地下涌水排至-290m 水仓，再由该阶段泵房中的水泵接力排至地表万吨水池。</w:t>
      </w:r>
      <w:r>
        <w:rPr>
          <w:rFonts w:hint="eastAsia"/>
        </w:rPr>
        <w:t>深部开拓工程</w:t>
      </w:r>
      <w:r>
        <w:t>在</w:t>
      </w:r>
      <w:r>
        <w:rPr>
          <w:rFonts w:hint="eastAsia"/>
        </w:rPr>
        <w:t>-470</w:t>
      </w:r>
      <w:r>
        <w:t>m电梯井石门处新建主排水泵房</w:t>
      </w:r>
      <w:r>
        <w:rPr>
          <w:rFonts w:hint="eastAsia"/>
        </w:rPr>
        <w:t>负责-</w:t>
      </w:r>
      <w:r>
        <w:t>410m以下的排水</w:t>
      </w:r>
      <w:r>
        <w:rPr>
          <w:rFonts w:hint="eastAsia"/>
        </w:rPr>
        <w:t>，与现有1#副井</w:t>
      </w:r>
      <w:r>
        <w:t>-410m泵房</w:t>
      </w:r>
      <w:r>
        <w:rPr>
          <w:rFonts w:hint="eastAsia"/>
        </w:rPr>
        <w:t>接力将井下</w:t>
      </w:r>
      <w:r>
        <w:t>涌水</w:t>
      </w:r>
      <w:r>
        <w:rPr>
          <w:rFonts w:hint="eastAsia"/>
        </w:rPr>
        <w:t>排至</w:t>
      </w:r>
      <w:r>
        <w:t>地表水池。</w:t>
      </w:r>
    </w:p>
    <w:p w14:paraId="6ED86365">
      <w:pPr>
        <w:spacing w:line="239" w:lineRule="auto"/>
        <w:ind w:firstLine="492"/>
        <w:rPr>
          <w:rFonts w:hint="eastAsia" w:ascii="宋体" w:hAnsi="宋体" w:cs="宋体"/>
          <w:sz w:val="23"/>
          <w:szCs w:val="23"/>
        </w:rPr>
      </w:pPr>
      <w:r>
        <w:rPr>
          <w:rFonts w:ascii="宋体" w:hAnsi="宋体" w:cs="宋体"/>
          <w:spacing w:val="8"/>
          <w:sz w:val="23"/>
          <w:szCs w:val="23"/>
        </w:rPr>
        <w:t>（</w:t>
      </w:r>
      <w:r>
        <w:rPr>
          <w:rFonts w:ascii="宋体" w:hAnsi="宋体" w:cs="宋体"/>
          <w:spacing w:val="4"/>
          <w:sz w:val="23"/>
          <w:szCs w:val="23"/>
        </w:rPr>
        <w:t>2</w:t>
      </w:r>
      <w:r>
        <w:rPr>
          <w:rFonts w:ascii="宋体" w:hAnsi="宋体" w:cs="宋体"/>
          <w:spacing w:val="9"/>
          <w:sz w:val="23"/>
          <w:szCs w:val="23"/>
        </w:rPr>
        <w:t>）</w:t>
      </w:r>
      <w:r>
        <w:rPr>
          <w:rFonts w:ascii="宋体" w:hAnsi="宋体" w:cs="宋体"/>
          <w:spacing w:val="8"/>
          <w:sz w:val="23"/>
          <w:szCs w:val="23"/>
        </w:rPr>
        <w:t>排水主要</w:t>
      </w:r>
      <w:r>
        <w:rPr>
          <w:rFonts w:ascii="宋体" w:hAnsi="宋体" w:cs="宋体"/>
          <w:spacing w:val="7"/>
          <w:sz w:val="23"/>
          <w:szCs w:val="23"/>
        </w:rPr>
        <w:t>构筑物</w:t>
      </w:r>
    </w:p>
    <w:p w14:paraId="7E6A16F8">
      <w:pPr>
        <w:spacing w:before="169" w:line="227" w:lineRule="auto"/>
        <w:ind w:firstLine="496"/>
        <w:rPr>
          <w:rFonts w:hint="eastAsia" w:ascii="宋体" w:hAnsi="宋体" w:cs="宋体"/>
          <w:sz w:val="23"/>
          <w:szCs w:val="23"/>
        </w:rPr>
      </w:pPr>
      <w:r>
        <w:rPr>
          <w:rFonts w:ascii="宋体" w:hAnsi="宋体" w:cs="宋体"/>
          <w:spacing w:val="9"/>
          <w:sz w:val="23"/>
          <w:szCs w:val="23"/>
        </w:rPr>
        <w:t>利用现有工程井下</w:t>
      </w:r>
      <w:r>
        <w:rPr>
          <w:rFonts w:ascii="宋体" w:hAnsi="宋体" w:cs="宋体"/>
          <w:spacing w:val="8"/>
          <w:sz w:val="23"/>
          <w:szCs w:val="23"/>
        </w:rPr>
        <w:t>各中段水仓</w:t>
      </w:r>
      <w:r>
        <w:rPr>
          <w:rFonts w:ascii="宋体" w:hAnsi="宋体" w:cs="宋体"/>
          <w:spacing w:val="9"/>
          <w:sz w:val="23"/>
          <w:szCs w:val="23"/>
        </w:rPr>
        <w:t>。</w:t>
      </w:r>
    </w:p>
    <w:p w14:paraId="47001CE8">
      <w:pPr>
        <w:spacing w:before="182"/>
        <w:ind w:firstLine="492"/>
        <w:rPr>
          <w:rFonts w:hint="eastAsia" w:ascii="宋体" w:hAnsi="宋体" w:cs="宋体"/>
          <w:sz w:val="23"/>
          <w:szCs w:val="23"/>
        </w:rPr>
      </w:pPr>
      <w:r>
        <w:rPr>
          <w:rFonts w:ascii="宋体" w:hAnsi="宋体" w:cs="宋体"/>
          <w:spacing w:val="8"/>
          <w:sz w:val="23"/>
          <w:szCs w:val="23"/>
        </w:rPr>
        <w:t>（</w:t>
      </w:r>
      <w:r>
        <w:rPr>
          <w:rFonts w:ascii="宋体" w:hAnsi="宋体" w:cs="宋体"/>
          <w:spacing w:val="5"/>
          <w:sz w:val="23"/>
          <w:szCs w:val="23"/>
        </w:rPr>
        <w:t>3</w:t>
      </w:r>
      <w:r>
        <w:rPr>
          <w:rFonts w:ascii="宋体" w:hAnsi="宋体" w:cs="宋体"/>
          <w:spacing w:val="9"/>
          <w:sz w:val="23"/>
          <w:szCs w:val="23"/>
        </w:rPr>
        <w:t>）</w:t>
      </w:r>
      <w:r>
        <w:rPr>
          <w:rFonts w:ascii="宋体" w:hAnsi="宋体" w:cs="宋体"/>
          <w:spacing w:val="7"/>
          <w:sz w:val="23"/>
          <w:szCs w:val="23"/>
        </w:rPr>
        <w:t>井下排水系统</w:t>
      </w:r>
    </w:p>
    <w:p w14:paraId="6A61D103">
      <w:pPr>
        <w:spacing w:before="169" w:line="375" w:lineRule="auto"/>
        <w:ind w:left="11" w:right="31" w:firstLine="488"/>
        <w:rPr>
          <w:rFonts w:hint="eastAsia" w:ascii="宋体" w:hAnsi="宋体" w:cs="宋体"/>
          <w:sz w:val="23"/>
          <w:szCs w:val="23"/>
        </w:rPr>
      </w:pPr>
      <w:r>
        <w:rPr>
          <w:rFonts w:ascii="宋体" w:hAnsi="宋体" w:cs="宋体"/>
          <w:spacing w:val="7"/>
          <w:sz w:val="23"/>
          <w:szCs w:val="23"/>
        </w:rPr>
        <w:t>井下排水汇集至</w:t>
      </w:r>
      <w:r>
        <w:rPr>
          <w:rFonts w:ascii="宋体" w:hAnsi="宋体" w:cs="宋体"/>
          <w:spacing w:val="4"/>
          <w:sz w:val="23"/>
          <w:szCs w:val="23"/>
        </w:rPr>
        <w:t>-2</w:t>
      </w:r>
      <w:r>
        <w:rPr>
          <w:rFonts w:ascii="宋体" w:hAnsi="宋体" w:cs="宋体"/>
          <w:spacing w:val="3"/>
          <w:sz w:val="23"/>
          <w:szCs w:val="23"/>
        </w:rPr>
        <w:t>90m</w:t>
      </w:r>
      <w:r>
        <w:rPr>
          <w:rFonts w:ascii="宋体" w:hAnsi="宋体" w:cs="宋体"/>
          <w:spacing w:val="4"/>
          <w:sz w:val="23"/>
          <w:szCs w:val="23"/>
        </w:rPr>
        <w:t xml:space="preserve"> </w:t>
      </w:r>
      <w:r>
        <w:rPr>
          <w:rFonts w:ascii="宋体" w:hAnsi="宋体" w:cs="宋体"/>
          <w:spacing w:val="6"/>
          <w:sz w:val="23"/>
          <w:szCs w:val="23"/>
        </w:rPr>
        <w:t>水仓</w:t>
      </w:r>
      <w:r>
        <w:rPr>
          <w:rFonts w:ascii="宋体" w:hAnsi="宋体" w:cs="宋体"/>
          <w:spacing w:val="7"/>
          <w:sz w:val="23"/>
          <w:szCs w:val="23"/>
        </w:rPr>
        <w:t>，</w:t>
      </w:r>
      <w:r>
        <w:rPr>
          <w:rFonts w:ascii="宋体" w:hAnsi="宋体" w:cs="宋体"/>
          <w:spacing w:val="6"/>
          <w:sz w:val="23"/>
          <w:szCs w:val="23"/>
        </w:rPr>
        <w:t>再由该阶段泵房中的水泵接力排至地表万吨水池</w:t>
      </w:r>
      <w:r>
        <w:rPr>
          <w:rFonts w:ascii="宋体" w:hAnsi="宋体" w:cs="宋体"/>
          <w:spacing w:val="7"/>
          <w:sz w:val="23"/>
          <w:szCs w:val="23"/>
        </w:rPr>
        <w:t>，</w:t>
      </w:r>
      <w:r>
        <w:rPr>
          <w:rFonts w:ascii="宋体" w:hAnsi="宋体" w:cs="宋体"/>
          <w:sz w:val="23"/>
          <w:szCs w:val="23"/>
        </w:rPr>
        <w:t xml:space="preserve"> </w:t>
      </w:r>
      <w:r>
        <w:rPr>
          <w:rFonts w:ascii="宋体" w:hAnsi="宋体" w:cs="宋体"/>
          <w:spacing w:val="9"/>
          <w:sz w:val="23"/>
          <w:szCs w:val="23"/>
        </w:rPr>
        <w:t>作为生产新水供选厂使用</w:t>
      </w:r>
      <w:r>
        <w:rPr>
          <w:rFonts w:ascii="宋体" w:hAnsi="宋体" w:cs="宋体"/>
          <w:spacing w:val="10"/>
          <w:sz w:val="23"/>
          <w:szCs w:val="23"/>
        </w:rPr>
        <w:t>，</w:t>
      </w:r>
      <w:r>
        <w:rPr>
          <w:rFonts w:ascii="宋体" w:hAnsi="宋体" w:cs="宋体"/>
          <w:spacing w:val="9"/>
          <w:sz w:val="23"/>
          <w:szCs w:val="23"/>
        </w:rPr>
        <w:t>正常情况下不外排</w:t>
      </w:r>
      <w:r>
        <w:rPr>
          <w:rFonts w:ascii="宋体" w:hAnsi="宋体" w:cs="宋体"/>
          <w:spacing w:val="10"/>
          <w:sz w:val="23"/>
          <w:szCs w:val="23"/>
        </w:rPr>
        <w:t>。</w:t>
      </w:r>
    </w:p>
    <w:p w14:paraId="459C4D09">
      <w:pPr>
        <w:spacing w:before="1" w:line="239" w:lineRule="auto"/>
        <w:ind w:firstLine="492"/>
        <w:rPr>
          <w:rFonts w:hint="eastAsia" w:ascii="宋体" w:hAnsi="宋体" w:cs="宋体"/>
          <w:sz w:val="23"/>
          <w:szCs w:val="23"/>
        </w:rPr>
      </w:pPr>
      <w:r>
        <w:rPr>
          <w:rFonts w:ascii="宋体" w:hAnsi="宋体" w:cs="宋体"/>
          <w:spacing w:val="8"/>
          <w:sz w:val="23"/>
          <w:szCs w:val="23"/>
        </w:rPr>
        <w:t>（</w:t>
      </w:r>
      <w:r>
        <w:rPr>
          <w:rFonts w:ascii="宋体" w:hAnsi="宋体" w:cs="宋体"/>
          <w:spacing w:val="5"/>
          <w:sz w:val="23"/>
          <w:szCs w:val="23"/>
        </w:rPr>
        <w:t>4</w:t>
      </w:r>
      <w:r>
        <w:rPr>
          <w:rFonts w:ascii="宋体" w:hAnsi="宋体" w:cs="宋体"/>
          <w:spacing w:val="9"/>
          <w:sz w:val="23"/>
          <w:szCs w:val="23"/>
        </w:rPr>
        <w:t>）</w:t>
      </w:r>
      <w:r>
        <w:rPr>
          <w:rFonts w:ascii="宋体" w:hAnsi="宋体" w:cs="宋体"/>
          <w:spacing w:val="7"/>
          <w:sz w:val="23"/>
          <w:szCs w:val="23"/>
        </w:rPr>
        <w:t>井下供水系统</w:t>
      </w:r>
    </w:p>
    <w:p w14:paraId="6073EB3D">
      <w:pPr>
        <w:spacing w:before="168" w:line="382" w:lineRule="auto"/>
        <w:ind w:left="13" w:firstLine="492"/>
        <w:rPr>
          <w:rFonts w:hint="eastAsia" w:ascii="宋体" w:hAnsi="宋体" w:cs="宋体"/>
          <w:sz w:val="23"/>
          <w:szCs w:val="23"/>
        </w:rPr>
      </w:pPr>
      <w:r>
        <w:rPr>
          <w:rFonts w:ascii="宋体" w:hAnsi="宋体" w:cs="宋体"/>
          <w:spacing w:val="8"/>
          <w:sz w:val="23"/>
          <w:szCs w:val="23"/>
        </w:rPr>
        <w:t>井下</w:t>
      </w:r>
      <w:r>
        <w:rPr>
          <w:rFonts w:ascii="宋体" w:hAnsi="宋体" w:cs="宋体"/>
          <w:spacing w:val="7"/>
          <w:sz w:val="23"/>
          <w:szCs w:val="23"/>
        </w:rPr>
        <w:t>供水采用集中供水方式</w:t>
      </w:r>
      <w:r>
        <w:rPr>
          <w:rFonts w:ascii="宋体" w:hAnsi="宋体" w:cs="宋体"/>
          <w:spacing w:val="9"/>
          <w:sz w:val="23"/>
          <w:szCs w:val="23"/>
        </w:rPr>
        <w:t>，</w:t>
      </w:r>
      <w:r>
        <w:rPr>
          <w:rFonts w:ascii="宋体" w:hAnsi="宋体" w:cs="宋体"/>
          <w:spacing w:val="7"/>
          <w:sz w:val="23"/>
          <w:szCs w:val="23"/>
        </w:rPr>
        <w:t>由地表供水池（塔</w:t>
      </w:r>
      <w:r>
        <w:rPr>
          <w:rFonts w:ascii="宋体" w:hAnsi="宋体" w:cs="宋体"/>
          <w:spacing w:val="9"/>
          <w:sz w:val="23"/>
          <w:szCs w:val="23"/>
        </w:rPr>
        <w:t>）</w:t>
      </w:r>
      <w:r>
        <w:rPr>
          <w:rFonts w:ascii="宋体" w:hAnsi="宋体" w:cs="宋体"/>
          <w:spacing w:val="7"/>
          <w:sz w:val="23"/>
          <w:szCs w:val="23"/>
        </w:rPr>
        <w:t>及副井井筒供至井下各中段</w:t>
      </w:r>
      <w:r>
        <w:rPr>
          <w:rFonts w:ascii="宋体" w:hAnsi="宋体" w:cs="宋体"/>
          <w:spacing w:val="9"/>
          <w:sz w:val="23"/>
          <w:szCs w:val="23"/>
        </w:rPr>
        <w:t>，</w:t>
      </w:r>
      <w:r>
        <w:rPr>
          <w:rFonts w:ascii="宋体" w:hAnsi="宋体" w:cs="宋体"/>
          <w:sz w:val="23"/>
          <w:szCs w:val="23"/>
        </w:rPr>
        <w:t xml:space="preserve"> </w:t>
      </w:r>
      <w:r>
        <w:rPr>
          <w:rFonts w:ascii="宋体" w:hAnsi="宋体" w:cs="宋体"/>
          <w:spacing w:val="9"/>
          <w:sz w:val="23"/>
          <w:szCs w:val="23"/>
        </w:rPr>
        <w:t>经减压阀减压后</w:t>
      </w:r>
      <w:r>
        <w:rPr>
          <w:rFonts w:ascii="宋体" w:hAnsi="宋体" w:cs="宋体"/>
          <w:spacing w:val="8"/>
          <w:sz w:val="23"/>
          <w:szCs w:val="23"/>
        </w:rPr>
        <w:t>向用水点供水</w:t>
      </w:r>
      <w:r>
        <w:rPr>
          <w:rFonts w:ascii="宋体" w:hAnsi="宋体" w:cs="宋体"/>
          <w:spacing w:val="9"/>
          <w:sz w:val="23"/>
          <w:szCs w:val="23"/>
        </w:rPr>
        <w:t>。</w:t>
      </w:r>
    </w:p>
    <w:p w14:paraId="31285DBF">
      <w:pPr>
        <w:pStyle w:val="5"/>
      </w:pPr>
      <w:r>
        <w:t>3.3.1.4 通风系统</w:t>
      </w:r>
    </w:p>
    <w:p w14:paraId="74A13D5A">
      <w:pPr>
        <w:spacing w:before="168" w:line="382" w:lineRule="auto"/>
        <w:ind w:left="13" w:firstLine="496"/>
        <w:rPr>
          <w:rFonts w:hint="eastAsia" w:ascii="宋体" w:hAnsi="宋体" w:cs="宋体"/>
          <w:spacing w:val="9"/>
          <w:sz w:val="23"/>
          <w:szCs w:val="23"/>
        </w:rPr>
      </w:pPr>
      <w:r>
        <w:rPr>
          <w:rFonts w:ascii="宋体" w:hAnsi="宋体" w:cs="宋体"/>
          <w:spacing w:val="9"/>
          <w:sz w:val="23"/>
          <w:szCs w:val="23"/>
        </w:rPr>
        <w:t>（1）通风系统</w:t>
      </w:r>
    </w:p>
    <w:p w14:paraId="68BBA525">
      <w:pPr>
        <w:spacing w:before="168" w:line="382" w:lineRule="auto"/>
        <w:ind w:left="13" w:firstLine="496"/>
        <w:rPr>
          <w:rFonts w:hint="eastAsia" w:ascii="宋体" w:hAnsi="宋体" w:cs="宋体"/>
          <w:spacing w:val="9"/>
          <w:sz w:val="23"/>
          <w:szCs w:val="23"/>
        </w:rPr>
      </w:pPr>
      <w:r>
        <w:rPr>
          <w:rFonts w:ascii="宋体" w:hAnsi="宋体" w:cs="宋体"/>
          <w:spacing w:val="9"/>
          <w:sz w:val="23"/>
          <w:szCs w:val="23"/>
        </w:rPr>
        <w:t>通风系统采用中部副井和进风井（兼作措施井）入风，南回风井、北回风井出 风的两翼中央对角抽出式通风系统。通风系统矿井总风量 330m3/s。</w:t>
      </w:r>
    </w:p>
    <w:p w14:paraId="01BB7B99">
      <w:pPr>
        <w:spacing w:before="168" w:line="382" w:lineRule="auto"/>
        <w:ind w:left="13" w:firstLine="496"/>
        <w:rPr>
          <w:rFonts w:hint="eastAsia" w:ascii="宋体" w:hAnsi="宋体" w:cs="宋体"/>
          <w:spacing w:val="9"/>
          <w:sz w:val="23"/>
          <w:szCs w:val="23"/>
        </w:rPr>
      </w:pPr>
      <w:r>
        <w:rPr>
          <w:rFonts w:hint="eastAsia" w:ascii="宋体" w:hAnsi="宋体" w:cs="宋体"/>
          <w:spacing w:val="9"/>
          <w:sz w:val="23"/>
          <w:szCs w:val="23"/>
        </w:rPr>
        <w:t>（</w:t>
      </w:r>
      <w:r>
        <w:rPr>
          <w:rFonts w:ascii="宋体" w:hAnsi="宋体" w:cs="宋体"/>
          <w:spacing w:val="9"/>
          <w:sz w:val="23"/>
          <w:szCs w:val="23"/>
        </w:rPr>
        <w:t>2）风机位置</w:t>
      </w:r>
    </w:p>
    <w:p w14:paraId="1081596D">
      <w:pPr>
        <w:spacing w:before="168" w:line="382" w:lineRule="auto"/>
        <w:ind w:left="13" w:firstLine="496"/>
        <w:rPr>
          <w:rFonts w:hint="eastAsia" w:ascii="宋体" w:hAnsi="宋体" w:cs="宋体"/>
          <w:spacing w:val="9"/>
          <w:sz w:val="23"/>
          <w:szCs w:val="23"/>
        </w:rPr>
      </w:pPr>
      <w:r>
        <w:rPr>
          <w:rFonts w:ascii="宋体" w:hAnsi="宋体" w:cs="宋体"/>
          <w:spacing w:val="9"/>
          <w:sz w:val="23"/>
          <w:szCs w:val="23"/>
        </w:rPr>
        <w:t>风机分别布置在-170m 中段北风井下部，-230m 中段南风井下部，两个地段均布 置两台风机。新南风井配备 K45-6-No.17 型风机，装机功率为 200KW，叶片安装角均 为 35°，每两台风机配备 1 台备用电机。</w:t>
      </w:r>
    </w:p>
    <w:p w14:paraId="4D5070F5">
      <w:pPr>
        <w:pStyle w:val="4"/>
      </w:pPr>
      <w:r>
        <w:t>3.3.2 地面选矿工艺</w:t>
      </w:r>
    </w:p>
    <w:p w14:paraId="220A46FD">
      <w:pPr>
        <w:spacing w:before="168" w:line="382" w:lineRule="auto"/>
        <w:ind w:left="13" w:firstLine="496"/>
        <w:rPr>
          <w:rFonts w:hint="eastAsia" w:ascii="宋体" w:hAnsi="宋体" w:cs="宋体"/>
          <w:spacing w:val="9"/>
          <w:sz w:val="23"/>
          <w:szCs w:val="23"/>
        </w:rPr>
      </w:pPr>
      <w:r>
        <w:rPr>
          <w:rFonts w:ascii="宋体" w:hAnsi="宋体" w:cs="宋体"/>
          <w:spacing w:val="9"/>
          <w:sz w:val="23"/>
          <w:szCs w:val="23"/>
        </w:rPr>
        <w:t>与环评及验收阶段生产工艺相比较，选矿工艺进行了优化，增加了湿抛工序，其他无变化。</w:t>
      </w:r>
    </w:p>
    <w:p w14:paraId="13418481">
      <w:pPr>
        <w:pStyle w:val="5"/>
      </w:pPr>
      <w:r>
        <w:t>3.3.2.1 选矿工艺流程</w:t>
      </w:r>
    </w:p>
    <w:p w14:paraId="5384F61E">
      <w:pPr>
        <w:spacing w:before="168" w:line="382" w:lineRule="auto"/>
        <w:ind w:left="13" w:firstLine="496"/>
        <w:rPr>
          <w:rFonts w:hint="eastAsia" w:ascii="宋体" w:hAnsi="宋体" w:cs="宋体"/>
          <w:spacing w:val="9"/>
          <w:sz w:val="23"/>
          <w:szCs w:val="23"/>
        </w:rPr>
      </w:pPr>
      <w:r>
        <w:rPr>
          <w:rFonts w:ascii="宋体" w:hAnsi="宋体" w:cs="宋体"/>
          <w:spacing w:val="9"/>
          <w:sz w:val="23"/>
          <w:szCs w:val="23"/>
        </w:rPr>
        <w:t>（1）选矿工艺</w:t>
      </w:r>
    </w:p>
    <w:p w14:paraId="2EE2D203">
      <w:pPr>
        <w:spacing w:before="168" w:line="382" w:lineRule="auto"/>
        <w:ind w:left="13" w:firstLine="496"/>
        <w:rPr>
          <w:rFonts w:hint="eastAsia" w:ascii="宋体" w:hAnsi="宋体" w:cs="宋体"/>
          <w:spacing w:val="9"/>
          <w:sz w:val="23"/>
          <w:szCs w:val="23"/>
        </w:rPr>
      </w:pPr>
      <w:r>
        <w:rPr>
          <w:rFonts w:ascii="宋体" w:hAnsi="宋体" w:cs="宋体"/>
          <w:spacing w:val="9"/>
          <w:sz w:val="23"/>
          <w:szCs w:val="23"/>
        </w:rPr>
        <w:t>具体选矿流程为：粗破碎设在井下，分别为一台 PE1200×1500 颚式破碎机、一台 PE600×900，一台 C100。破碎后提升至选矿中碎料仓。中碎设备为 1 台 H6800 圆锥破碎机，中碎产品最大粒度60mm。中碎产品与细碎产品合并送去筛分作业，筛上产品经干式大块磁选机分选，抛弃低品位废石，干选精矿给入细碎前中间矿仓。筛分设备为 2YA2460 圆振动筛4台，双层筛做单层筛用，以提高筛分效率，上层筛孔为 30mm，下层筛孔为15mm，筛下产品粒度为-12mm。95%送去湿抛工序前的粉矿仓。 细碎设备为H6800 圆锥破碎机 2 台。湿抛工序设备为一台 XCTS-1030 磁选机及TZS1236 型、TZS1536 型直线振动筛。1-4 系列一段磨矿采用 MQCG2700×3600 格子型滚动轴承球磨机与 2FG-20高堰式双螺旋分级机组成的闭路磨矿分级流程；5 系列一段磨矿用 3245 格子型球磨机与旋流器分级组成的闭路磨矿流程；一段磁选抛尾后， 精矿给入二段磨矿，二段磨矿采用MQCY2700×3600 溢流型滚动轴承球磨机与高频细筛组成的闭路磨矿分级流程；二段磨矿后产品经弱磁选抛尾得到最终铁精矿，铁精矿经浓缩磁选机过滤后，滤饼精矿水分约8%。工艺流程图见图 3.3-5。</w:t>
      </w:r>
    </w:p>
    <w:p w14:paraId="44EC1226">
      <w:pPr>
        <w:ind w:firstLine="480"/>
      </w:pPr>
      <w:r>
        <w:drawing>
          <wp:inline distT="0" distB="0" distL="0" distR="0">
            <wp:extent cx="5278120" cy="7813040"/>
            <wp:effectExtent l="0" t="0" r="0" b="0"/>
            <wp:docPr id="708174928" name="IM 43"/>
            <wp:cNvGraphicFramePr/>
            <a:graphic xmlns:a="http://schemas.openxmlformats.org/drawingml/2006/main">
              <a:graphicData uri="http://schemas.openxmlformats.org/drawingml/2006/picture">
                <pic:pic xmlns:pic="http://schemas.openxmlformats.org/drawingml/2006/picture">
                  <pic:nvPicPr>
                    <pic:cNvPr id="708174928" name="IM 43"/>
                    <pic:cNvPicPr/>
                  </pic:nvPicPr>
                  <pic:blipFill>
                    <a:blip r:embed="rId31"/>
                    <a:stretch>
                      <a:fillRect/>
                    </a:stretch>
                  </pic:blipFill>
                  <pic:spPr>
                    <a:xfrm>
                      <a:off x="0" y="0"/>
                      <a:ext cx="5278120" cy="7813118"/>
                    </a:xfrm>
                    <a:prstGeom prst="rect">
                      <a:avLst/>
                    </a:prstGeom>
                  </pic:spPr>
                </pic:pic>
              </a:graphicData>
            </a:graphic>
          </wp:inline>
        </w:drawing>
      </w:r>
    </w:p>
    <w:p w14:paraId="0FF32347">
      <w:pPr>
        <w:ind w:firstLine="482"/>
        <w:jc w:val="center"/>
        <w:rPr>
          <w:b/>
          <w:bCs/>
          <w:szCs w:val="24"/>
        </w:rPr>
      </w:pPr>
      <w:r>
        <w:rPr>
          <w:b/>
          <w:bCs/>
          <w:szCs w:val="24"/>
        </w:rPr>
        <w:t>图 3.3-5  选矿工艺流程图</w:t>
      </w:r>
    </w:p>
    <w:p w14:paraId="41C5C699">
      <w:pPr>
        <w:pStyle w:val="5"/>
      </w:pPr>
      <w:r>
        <w:t>3.3.2.2 选矿设备</w:t>
      </w:r>
    </w:p>
    <w:p w14:paraId="5B60AC34">
      <w:pPr>
        <w:spacing w:before="182" w:line="226" w:lineRule="auto"/>
        <w:ind w:firstLine="484"/>
        <w:rPr>
          <w:rFonts w:hint="eastAsia" w:ascii="宋体" w:hAnsi="宋体" w:cs="宋体"/>
          <w:sz w:val="23"/>
          <w:szCs w:val="23"/>
        </w:rPr>
      </w:pPr>
      <w:r>
        <w:rPr>
          <w:rFonts w:ascii="宋体" w:hAnsi="宋体" w:cs="宋体"/>
          <w:spacing w:val="6"/>
          <w:sz w:val="23"/>
          <w:szCs w:val="23"/>
        </w:rPr>
        <w:t>后评价阶段选</w:t>
      </w:r>
      <w:r>
        <w:rPr>
          <w:rFonts w:ascii="宋体" w:hAnsi="宋体" w:cs="宋体"/>
          <w:spacing w:val="5"/>
          <w:sz w:val="23"/>
          <w:szCs w:val="23"/>
        </w:rPr>
        <w:t>矿设备情况见表</w:t>
      </w:r>
      <w:r>
        <w:rPr>
          <w:rFonts w:ascii="宋体" w:hAnsi="宋体" w:cs="宋体"/>
          <w:spacing w:val="3"/>
          <w:sz w:val="23"/>
          <w:szCs w:val="23"/>
        </w:rPr>
        <w:t xml:space="preserve"> </w:t>
      </w:r>
      <w:r>
        <w:rPr>
          <w:rFonts w:ascii="宋体" w:hAnsi="宋体" w:cs="宋体"/>
          <w:spacing w:val="2"/>
          <w:sz w:val="23"/>
          <w:szCs w:val="23"/>
        </w:rPr>
        <w:t>3.3-3</w:t>
      </w:r>
      <w:r>
        <w:rPr>
          <w:rFonts w:ascii="宋体" w:hAnsi="宋体" w:cs="宋体"/>
          <w:spacing w:val="6"/>
          <w:sz w:val="23"/>
          <w:szCs w:val="23"/>
        </w:rPr>
        <w:t>。</w:t>
      </w:r>
    </w:p>
    <w:p w14:paraId="26BB31D1">
      <w:pPr>
        <w:ind w:firstLine="482"/>
        <w:jc w:val="center"/>
        <w:rPr>
          <w:b/>
          <w:bCs/>
          <w:szCs w:val="24"/>
        </w:rPr>
      </w:pPr>
      <w:r>
        <w:rPr>
          <w:b/>
          <w:bCs/>
          <w:szCs w:val="24"/>
        </w:rPr>
        <w:t>表 3.3-3  选矿工艺主要设备变化情况表</w:t>
      </w:r>
    </w:p>
    <w:tbl>
      <w:tblPr>
        <w:tblStyle w:val="139"/>
        <w:tblW w:w="8950"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8"/>
        <w:gridCol w:w="1316"/>
        <w:gridCol w:w="2528"/>
        <w:gridCol w:w="2348"/>
        <w:gridCol w:w="763"/>
        <w:gridCol w:w="1297"/>
      </w:tblGrid>
      <w:tr w14:paraId="07ECC2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trPr>
        <w:tc>
          <w:tcPr>
            <w:tcW w:w="698" w:type="dxa"/>
            <w:tcBorders>
              <w:left w:val="single" w:color="000000" w:sz="10" w:space="0"/>
            </w:tcBorders>
          </w:tcPr>
          <w:p w14:paraId="3A0D931F">
            <w:pPr>
              <w:spacing w:before="95" w:line="229" w:lineRule="auto"/>
              <w:ind w:firstLine="0" w:firstLineChars="0"/>
              <w:jc w:val="center"/>
              <w:rPr>
                <w:rFonts w:hint="eastAsia"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pPr>
            <w:r>
              <w:rPr>
                <w:rFonts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t>序号</w:t>
            </w:r>
          </w:p>
        </w:tc>
        <w:tc>
          <w:tcPr>
            <w:tcW w:w="1316" w:type="dxa"/>
          </w:tcPr>
          <w:p w14:paraId="35D1CE93">
            <w:pPr>
              <w:spacing w:before="96" w:line="228" w:lineRule="auto"/>
              <w:ind w:firstLine="0" w:firstLineChars="0"/>
              <w:jc w:val="center"/>
              <w:rPr>
                <w:rFonts w:hint="eastAsia"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pPr>
            <w:r>
              <w:rPr>
                <w:rFonts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t>安装地点</w:t>
            </w:r>
          </w:p>
        </w:tc>
        <w:tc>
          <w:tcPr>
            <w:tcW w:w="2528" w:type="dxa"/>
          </w:tcPr>
          <w:p w14:paraId="4CEEADBA">
            <w:pPr>
              <w:spacing w:before="95" w:line="229" w:lineRule="auto"/>
              <w:ind w:firstLine="0" w:firstLineChars="0"/>
              <w:jc w:val="center"/>
              <w:rPr>
                <w:rFonts w:hint="eastAsia"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pPr>
            <w:r>
              <w:rPr>
                <w:rFonts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t>设备名称</w:t>
            </w:r>
          </w:p>
        </w:tc>
        <w:tc>
          <w:tcPr>
            <w:tcW w:w="2348" w:type="dxa"/>
          </w:tcPr>
          <w:p w14:paraId="7B8B879E">
            <w:pPr>
              <w:spacing w:before="95" w:line="228" w:lineRule="auto"/>
              <w:ind w:firstLine="0" w:firstLineChars="0"/>
              <w:jc w:val="center"/>
              <w:rPr>
                <w:rFonts w:hint="eastAsia"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pPr>
            <w:r>
              <w:rPr>
                <w:rFonts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t>规格</w:t>
            </w:r>
          </w:p>
        </w:tc>
        <w:tc>
          <w:tcPr>
            <w:tcW w:w="763" w:type="dxa"/>
          </w:tcPr>
          <w:p w14:paraId="32DEAA71">
            <w:pPr>
              <w:spacing w:before="95" w:line="228" w:lineRule="auto"/>
              <w:ind w:firstLine="0" w:firstLineChars="0"/>
              <w:jc w:val="center"/>
              <w:rPr>
                <w:rFonts w:hint="eastAsia"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pPr>
            <w:r>
              <w:rPr>
                <w:rFonts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t>数量</w:t>
            </w:r>
          </w:p>
        </w:tc>
        <w:tc>
          <w:tcPr>
            <w:tcW w:w="1297" w:type="dxa"/>
            <w:tcBorders>
              <w:right w:val="single" w:color="000000" w:sz="10" w:space="0"/>
            </w:tcBorders>
          </w:tcPr>
          <w:p w14:paraId="233D7636">
            <w:pPr>
              <w:spacing w:before="96" w:line="228" w:lineRule="auto"/>
              <w:ind w:firstLine="0" w:firstLineChars="0"/>
              <w:jc w:val="center"/>
              <w:rPr>
                <w:rFonts w:hint="eastAsia"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pPr>
            <w:r>
              <w:rPr>
                <w:rFonts w:ascii="宋体" w:hAnsi="宋体" w:cs="宋体"/>
                <w:snapToGrid w:val="0"/>
                <w:color w:val="auto"/>
                <w:spacing w:val="6"/>
                <w:kern w:val="0"/>
                <w:sz w:val="20"/>
                <w:szCs w:val="20"/>
                <w14:textOutline w14:w="3797" w14:cap="sq" w14:cmpd="sng" w14:algn="ctr">
                  <w14:solidFill>
                    <w14:srgbClr w14:val="000000"/>
                  </w14:solidFill>
                  <w14:prstDash w14:val="solid"/>
                  <w14:bevel/>
                </w14:textOutline>
              </w:rPr>
              <w:t>变化情况</w:t>
            </w:r>
          </w:p>
        </w:tc>
      </w:tr>
      <w:tr w14:paraId="5BB1F8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698" w:type="dxa"/>
            <w:tcBorders>
              <w:left w:val="single" w:color="000000" w:sz="10" w:space="0"/>
            </w:tcBorders>
          </w:tcPr>
          <w:p w14:paraId="20E2C412">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316" w:type="dxa"/>
            <w:vMerge w:val="restart"/>
            <w:tcBorders>
              <w:bottom w:val="nil"/>
            </w:tcBorders>
          </w:tcPr>
          <w:p w14:paraId="44F27F68">
            <w:pPr>
              <w:spacing w:before="65" w:line="228" w:lineRule="auto"/>
              <w:ind w:firstLine="0" w:firstLineChars="0"/>
              <w:rPr>
                <w:rFonts w:hint="eastAsia" w:ascii="宋体" w:hAnsi="宋体" w:cs="宋体"/>
                <w:snapToGrid w:val="0"/>
                <w:color w:val="auto"/>
                <w:kern w:val="0"/>
                <w:sz w:val="20"/>
                <w:szCs w:val="20"/>
              </w:rPr>
            </w:pPr>
            <w:r>
              <w:rPr>
                <w:rFonts w:ascii="宋体" w:hAnsi="宋体" w:cs="宋体"/>
                <w:snapToGrid w:val="0"/>
                <w:color w:val="auto"/>
                <w:kern w:val="0"/>
                <w:sz w:val="20"/>
                <w:szCs w:val="20"/>
              </w:rPr>
              <w:t>中细碎车间</w:t>
            </w:r>
          </w:p>
        </w:tc>
        <w:tc>
          <w:tcPr>
            <w:tcW w:w="2528" w:type="dxa"/>
          </w:tcPr>
          <w:p w14:paraId="260E9D7D">
            <w:pPr>
              <w:spacing w:before="72" w:line="227"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1#胶带输送机 10080</w:t>
            </w:r>
          </w:p>
        </w:tc>
        <w:tc>
          <w:tcPr>
            <w:tcW w:w="2348" w:type="dxa"/>
          </w:tcPr>
          <w:p w14:paraId="19BC7CAF">
            <w:pPr>
              <w:spacing w:before="72" w:line="268" w:lineRule="exact"/>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V=1.6m/s N=90KW</w:t>
            </w:r>
          </w:p>
        </w:tc>
        <w:tc>
          <w:tcPr>
            <w:tcW w:w="763" w:type="dxa"/>
          </w:tcPr>
          <w:p w14:paraId="6F0808DB">
            <w:pPr>
              <w:spacing w:before="103" w:line="193"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2248BE1C">
            <w:pPr>
              <w:spacing w:before="72" w:line="228"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5C6ADD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55873B82">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w:t>
            </w:r>
          </w:p>
        </w:tc>
        <w:tc>
          <w:tcPr>
            <w:tcW w:w="1316" w:type="dxa"/>
            <w:vMerge w:val="continue"/>
            <w:tcBorders>
              <w:top w:val="nil"/>
              <w:bottom w:val="nil"/>
            </w:tcBorders>
          </w:tcPr>
          <w:p w14:paraId="4002CA0F">
            <w:pPr>
              <w:ind w:firstLine="400"/>
              <w:rPr>
                <w:rFonts w:hint="eastAsia" w:ascii="宋体" w:hAnsi="宋体" w:cs="宋体"/>
                <w:snapToGrid w:val="0"/>
                <w:color w:val="auto"/>
                <w:kern w:val="0"/>
                <w:sz w:val="20"/>
                <w:szCs w:val="20"/>
              </w:rPr>
            </w:pPr>
          </w:p>
        </w:tc>
        <w:tc>
          <w:tcPr>
            <w:tcW w:w="2528" w:type="dxa"/>
          </w:tcPr>
          <w:p w14:paraId="460E8780">
            <w:pPr>
              <w:spacing w:before="71" w:line="227"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中碎加料胶带机 14080</w:t>
            </w:r>
          </w:p>
        </w:tc>
        <w:tc>
          <w:tcPr>
            <w:tcW w:w="2348" w:type="dxa"/>
          </w:tcPr>
          <w:p w14:paraId="3671227A">
            <w:pPr>
              <w:spacing w:before="71" w:line="269" w:lineRule="exact"/>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V=1.0m/s N=15KW</w:t>
            </w:r>
          </w:p>
        </w:tc>
        <w:tc>
          <w:tcPr>
            <w:tcW w:w="763" w:type="dxa"/>
          </w:tcPr>
          <w:p w14:paraId="2D446828">
            <w:pPr>
              <w:spacing w:before="103" w:line="193"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345C8519">
            <w:pPr>
              <w:spacing w:before="72" w:line="228"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218C09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0AB70A44">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w:t>
            </w:r>
          </w:p>
        </w:tc>
        <w:tc>
          <w:tcPr>
            <w:tcW w:w="1316" w:type="dxa"/>
            <w:vMerge w:val="continue"/>
            <w:tcBorders>
              <w:top w:val="nil"/>
              <w:bottom w:val="nil"/>
            </w:tcBorders>
          </w:tcPr>
          <w:p w14:paraId="2B118BA6">
            <w:pPr>
              <w:ind w:firstLine="400"/>
              <w:rPr>
                <w:rFonts w:hint="eastAsia" w:ascii="宋体" w:hAnsi="宋体" w:cs="宋体"/>
                <w:snapToGrid w:val="0"/>
                <w:color w:val="auto"/>
                <w:kern w:val="0"/>
                <w:sz w:val="20"/>
                <w:szCs w:val="20"/>
              </w:rPr>
            </w:pPr>
          </w:p>
        </w:tc>
        <w:tc>
          <w:tcPr>
            <w:tcW w:w="2528" w:type="dxa"/>
          </w:tcPr>
          <w:p w14:paraId="5B273AF1">
            <w:pPr>
              <w:spacing w:before="71" w:line="227"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中碎圆锥破碎机</w:t>
            </w:r>
          </w:p>
        </w:tc>
        <w:tc>
          <w:tcPr>
            <w:tcW w:w="2348" w:type="dxa"/>
          </w:tcPr>
          <w:p w14:paraId="0B0D0F03">
            <w:pPr>
              <w:spacing w:before="104" w:line="191"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H6800 N=315KW</w:t>
            </w:r>
          </w:p>
        </w:tc>
        <w:tc>
          <w:tcPr>
            <w:tcW w:w="763" w:type="dxa"/>
          </w:tcPr>
          <w:p w14:paraId="0F05A94E">
            <w:pPr>
              <w:spacing w:before="103" w:line="193"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673CC630">
            <w:pPr>
              <w:spacing w:before="72" w:line="228"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3E9A6E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698" w:type="dxa"/>
            <w:tcBorders>
              <w:left w:val="single" w:color="000000" w:sz="10" w:space="0"/>
            </w:tcBorders>
          </w:tcPr>
          <w:p w14:paraId="145F4E04">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4</w:t>
            </w:r>
          </w:p>
        </w:tc>
        <w:tc>
          <w:tcPr>
            <w:tcW w:w="1316" w:type="dxa"/>
            <w:vMerge w:val="continue"/>
            <w:tcBorders>
              <w:top w:val="nil"/>
              <w:bottom w:val="nil"/>
            </w:tcBorders>
          </w:tcPr>
          <w:p w14:paraId="2740B091">
            <w:pPr>
              <w:ind w:firstLine="400"/>
              <w:rPr>
                <w:rFonts w:hint="eastAsia" w:ascii="宋体" w:hAnsi="宋体" w:cs="宋体"/>
                <w:snapToGrid w:val="0"/>
                <w:color w:val="auto"/>
                <w:kern w:val="0"/>
                <w:sz w:val="20"/>
                <w:szCs w:val="20"/>
              </w:rPr>
            </w:pPr>
          </w:p>
        </w:tc>
        <w:tc>
          <w:tcPr>
            <w:tcW w:w="2528" w:type="dxa"/>
          </w:tcPr>
          <w:p w14:paraId="77C27E98">
            <w:pPr>
              <w:spacing w:before="72" w:line="227"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中碎圆锥破碎机</w:t>
            </w:r>
          </w:p>
        </w:tc>
        <w:tc>
          <w:tcPr>
            <w:tcW w:w="2348" w:type="dxa"/>
          </w:tcPr>
          <w:p w14:paraId="7B7F77D7">
            <w:pPr>
              <w:spacing w:before="105" w:line="190"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PYH-5CC N=400KW</w:t>
            </w:r>
          </w:p>
        </w:tc>
        <w:tc>
          <w:tcPr>
            <w:tcW w:w="763" w:type="dxa"/>
          </w:tcPr>
          <w:p w14:paraId="64255F3A">
            <w:pPr>
              <w:spacing w:before="104" w:line="193"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08C3121C">
            <w:pPr>
              <w:spacing w:before="72" w:line="228"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4DDBA9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457DA7B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5</w:t>
            </w:r>
          </w:p>
        </w:tc>
        <w:tc>
          <w:tcPr>
            <w:tcW w:w="1316" w:type="dxa"/>
            <w:vMerge w:val="continue"/>
            <w:tcBorders>
              <w:top w:val="nil"/>
              <w:bottom w:val="nil"/>
            </w:tcBorders>
          </w:tcPr>
          <w:p w14:paraId="00971483">
            <w:pPr>
              <w:ind w:firstLine="400"/>
              <w:rPr>
                <w:rFonts w:hint="eastAsia" w:ascii="宋体" w:hAnsi="宋体" w:cs="宋体"/>
                <w:snapToGrid w:val="0"/>
                <w:color w:val="auto"/>
                <w:kern w:val="0"/>
                <w:sz w:val="20"/>
                <w:szCs w:val="20"/>
              </w:rPr>
            </w:pPr>
          </w:p>
        </w:tc>
        <w:tc>
          <w:tcPr>
            <w:tcW w:w="2528" w:type="dxa"/>
          </w:tcPr>
          <w:p w14:paraId="3EFA8596">
            <w:pPr>
              <w:spacing w:before="71" w:line="227"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2#胶带运输输送机 10080</w:t>
            </w:r>
          </w:p>
        </w:tc>
        <w:tc>
          <w:tcPr>
            <w:tcW w:w="2348" w:type="dxa"/>
          </w:tcPr>
          <w:p w14:paraId="2BE3947A">
            <w:pPr>
              <w:spacing w:before="71" w:line="269" w:lineRule="exact"/>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V=1.6m/s N=75KW</w:t>
            </w:r>
          </w:p>
        </w:tc>
        <w:tc>
          <w:tcPr>
            <w:tcW w:w="763" w:type="dxa"/>
          </w:tcPr>
          <w:p w14:paraId="54C3C81D">
            <w:pPr>
              <w:spacing w:before="103" w:line="193"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75E0D86C">
            <w:pPr>
              <w:spacing w:before="72" w:line="228"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6B33C2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7F12211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6</w:t>
            </w:r>
          </w:p>
        </w:tc>
        <w:tc>
          <w:tcPr>
            <w:tcW w:w="1316" w:type="dxa"/>
            <w:vMerge w:val="continue"/>
            <w:tcBorders>
              <w:top w:val="nil"/>
              <w:bottom w:val="nil"/>
            </w:tcBorders>
          </w:tcPr>
          <w:p w14:paraId="758C5A33">
            <w:pPr>
              <w:ind w:firstLine="400"/>
              <w:rPr>
                <w:rFonts w:hint="eastAsia" w:ascii="宋体" w:hAnsi="宋体" w:cs="宋体"/>
                <w:snapToGrid w:val="0"/>
                <w:color w:val="auto"/>
                <w:kern w:val="0"/>
                <w:sz w:val="20"/>
                <w:szCs w:val="20"/>
              </w:rPr>
            </w:pPr>
          </w:p>
        </w:tc>
        <w:tc>
          <w:tcPr>
            <w:tcW w:w="2528" w:type="dxa"/>
          </w:tcPr>
          <w:p w14:paraId="246D57A1">
            <w:pPr>
              <w:spacing w:before="72" w:line="227"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细碎圆锥破碎机</w:t>
            </w:r>
          </w:p>
        </w:tc>
        <w:tc>
          <w:tcPr>
            <w:tcW w:w="2348" w:type="dxa"/>
          </w:tcPr>
          <w:p w14:paraId="11C79422">
            <w:pPr>
              <w:spacing w:before="104" w:line="191"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H6800 N=315KW</w:t>
            </w:r>
          </w:p>
        </w:tc>
        <w:tc>
          <w:tcPr>
            <w:tcW w:w="763" w:type="dxa"/>
          </w:tcPr>
          <w:p w14:paraId="308A8B42">
            <w:pPr>
              <w:spacing w:before="105" w:line="192"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2</w:t>
            </w:r>
          </w:p>
        </w:tc>
        <w:tc>
          <w:tcPr>
            <w:tcW w:w="1297" w:type="dxa"/>
            <w:tcBorders>
              <w:right w:val="single" w:color="000000" w:sz="10" w:space="0"/>
            </w:tcBorders>
          </w:tcPr>
          <w:p w14:paraId="4E0D3193">
            <w:pPr>
              <w:spacing w:before="72" w:line="228" w:lineRule="auto"/>
              <w:ind w:firstLine="400"/>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254EF9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3BCC8E5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7</w:t>
            </w:r>
          </w:p>
        </w:tc>
        <w:tc>
          <w:tcPr>
            <w:tcW w:w="1316" w:type="dxa"/>
            <w:vMerge w:val="continue"/>
            <w:tcBorders>
              <w:top w:val="nil"/>
            </w:tcBorders>
          </w:tcPr>
          <w:p w14:paraId="317EB558">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64FFBAD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细碎圆锥破碎机</w:t>
            </w:r>
          </w:p>
        </w:tc>
        <w:tc>
          <w:tcPr>
            <w:tcW w:w="2348" w:type="dxa"/>
          </w:tcPr>
          <w:p w14:paraId="41AFF46B">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PYHD-5CC</w:t>
            </w:r>
          </w:p>
        </w:tc>
        <w:tc>
          <w:tcPr>
            <w:tcW w:w="763" w:type="dxa"/>
          </w:tcPr>
          <w:p w14:paraId="164081B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43BC2E74">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5167A7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61B70F9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8</w:t>
            </w:r>
          </w:p>
        </w:tc>
        <w:tc>
          <w:tcPr>
            <w:tcW w:w="1316" w:type="dxa"/>
          </w:tcPr>
          <w:p w14:paraId="46DD259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-325 中段</w:t>
            </w:r>
          </w:p>
        </w:tc>
        <w:tc>
          <w:tcPr>
            <w:tcW w:w="2528" w:type="dxa"/>
          </w:tcPr>
          <w:p w14:paraId="2CF6D0C4">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颚式破碎机</w:t>
            </w:r>
          </w:p>
        </w:tc>
        <w:tc>
          <w:tcPr>
            <w:tcW w:w="2348" w:type="dxa"/>
          </w:tcPr>
          <w:p w14:paraId="13B3C5A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PE1200×1500</w:t>
            </w:r>
          </w:p>
        </w:tc>
        <w:tc>
          <w:tcPr>
            <w:tcW w:w="763" w:type="dxa"/>
          </w:tcPr>
          <w:p w14:paraId="72B3227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5D3EE86E">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116ACF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10990214">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9</w:t>
            </w:r>
          </w:p>
        </w:tc>
        <w:tc>
          <w:tcPr>
            <w:tcW w:w="1316" w:type="dxa"/>
            <w:vMerge w:val="restart"/>
            <w:tcBorders>
              <w:bottom w:val="nil"/>
            </w:tcBorders>
          </w:tcPr>
          <w:p w14:paraId="753C177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筛分车间</w:t>
            </w:r>
          </w:p>
        </w:tc>
        <w:tc>
          <w:tcPr>
            <w:tcW w:w="2528" w:type="dxa"/>
          </w:tcPr>
          <w:p w14:paraId="1D5C15A8">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8#胶带输送机 10080</w:t>
            </w:r>
          </w:p>
        </w:tc>
        <w:tc>
          <w:tcPr>
            <w:tcW w:w="2348" w:type="dxa"/>
          </w:tcPr>
          <w:p w14:paraId="70B78C25">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V=2.0m/s N=160KW</w:t>
            </w:r>
          </w:p>
        </w:tc>
        <w:tc>
          <w:tcPr>
            <w:tcW w:w="763" w:type="dxa"/>
          </w:tcPr>
          <w:p w14:paraId="4C88578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2592F26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3610E1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49B7CE3A">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10</w:t>
            </w:r>
          </w:p>
        </w:tc>
        <w:tc>
          <w:tcPr>
            <w:tcW w:w="1316" w:type="dxa"/>
            <w:vMerge w:val="continue"/>
            <w:tcBorders>
              <w:top w:val="nil"/>
              <w:bottom w:val="nil"/>
            </w:tcBorders>
          </w:tcPr>
          <w:p w14:paraId="2B6F6F13">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6D04E3D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9#胶带输送机 14080</w:t>
            </w:r>
          </w:p>
        </w:tc>
        <w:tc>
          <w:tcPr>
            <w:tcW w:w="2348" w:type="dxa"/>
          </w:tcPr>
          <w:p w14:paraId="6FA6D626">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V=2.0m/s N=37KW</w:t>
            </w:r>
          </w:p>
        </w:tc>
        <w:tc>
          <w:tcPr>
            <w:tcW w:w="763" w:type="dxa"/>
          </w:tcPr>
          <w:p w14:paraId="6E725E9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34A4EC7A">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365739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40B1965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11</w:t>
            </w:r>
          </w:p>
        </w:tc>
        <w:tc>
          <w:tcPr>
            <w:tcW w:w="1316" w:type="dxa"/>
            <w:vMerge w:val="continue"/>
            <w:tcBorders>
              <w:top w:val="nil"/>
              <w:bottom w:val="nil"/>
            </w:tcBorders>
          </w:tcPr>
          <w:p w14:paraId="77E21AD0">
            <w:pPr>
              <w:spacing w:before="103"/>
              <w:ind w:firstLine="0" w:firstLineChars="0"/>
              <w:jc w:val="center"/>
              <w:rPr>
                <w:rFonts w:hint="eastAsia" w:ascii="宋体" w:hAnsi="宋体" w:cs="宋体"/>
                <w:snapToGrid w:val="0"/>
                <w:color w:val="auto"/>
                <w:kern w:val="0"/>
                <w:sz w:val="20"/>
                <w:szCs w:val="20"/>
              </w:rPr>
            </w:pPr>
          </w:p>
        </w:tc>
        <w:tc>
          <w:tcPr>
            <w:tcW w:w="2528" w:type="dxa"/>
          </w:tcPr>
          <w:p w14:paraId="382BA422">
            <w:pPr>
              <w:spacing w:before="103" w:line="227"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干式磁选机</w:t>
            </w:r>
          </w:p>
        </w:tc>
        <w:tc>
          <w:tcPr>
            <w:tcW w:w="2348" w:type="dxa"/>
          </w:tcPr>
          <w:p w14:paraId="7D448EE1">
            <w:pPr>
              <w:spacing w:before="103" w:line="191"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CTDG0814N</w:t>
            </w:r>
          </w:p>
        </w:tc>
        <w:tc>
          <w:tcPr>
            <w:tcW w:w="763" w:type="dxa"/>
          </w:tcPr>
          <w:p w14:paraId="4A2A4878">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532B11D0">
            <w:pPr>
              <w:spacing w:before="103" w:line="228"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7134F8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4B51FE4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12</w:t>
            </w:r>
          </w:p>
        </w:tc>
        <w:tc>
          <w:tcPr>
            <w:tcW w:w="1316" w:type="dxa"/>
            <w:vMerge w:val="continue"/>
            <w:tcBorders>
              <w:top w:val="nil"/>
              <w:bottom w:val="nil"/>
            </w:tcBorders>
          </w:tcPr>
          <w:p w14:paraId="23951DEC">
            <w:pPr>
              <w:spacing w:before="103"/>
              <w:ind w:firstLine="0" w:firstLineChars="0"/>
              <w:jc w:val="center"/>
              <w:rPr>
                <w:rFonts w:hint="eastAsia" w:ascii="宋体" w:hAnsi="宋体" w:cs="宋体"/>
                <w:snapToGrid w:val="0"/>
                <w:color w:val="auto"/>
                <w:kern w:val="0"/>
                <w:sz w:val="20"/>
                <w:szCs w:val="20"/>
              </w:rPr>
            </w:pPr>
          </w:p>
        </w:tc>
        <w:tc>
          <w:tcPr>
            <w:tcW w:w="2528" w:type="dxa"/>
          </w:tcPr>
          <w:p w14:paraId="2AA9B3B0">
            <w:pPr>
              <w:spacing w:before="103" w:line="227"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大倾角胶带输送机 5050</w:t>
            </w:r>
          </w:p>
        </w:tc>
        <w:tc>
          <w:tcPr>
            <w:tcW w:w="2348" w:type="dxa"/>
          </w:tcPr>
          <w:p w14:paraId="4B5F2F51">
            <w:pPr>
              <w:spacing w:before="103" w:line="270" w:lineRule="exact"/>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V=1.6m/s N=22KW</w:t>
            </w:r>
          </w:p>
        </w:tc>
        <w:tc>
          <w:tcPr>
            <w:tcW w:w="763" w:type="dxa"/>
          </w:tcPr>
          <w:p w14:paraId="1DA7221A">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2FD3F399">
            <w:pPr>
              <w:spacing w:before="103" w:line="228"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4B6A44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698" w:type="dxa"/>
            <w:tcBorders>
              <w:left w:val="single" w:color="000000" w:sz="10" w:space="0"/>
            </w:tcBorders>
          </w:tcPr>
          <w:p w14:paraId="18243D3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13</w:t>
            </w:r>
          </w:p>
        </w:tc>
        <w:tc>
          <w:tcPr>
            <w:tcW w:w="1316" w:type="dxa"/>
            <w:vMerge w:val="continue"/>
            <w:tcBorders>
              <w:top w:val="nil"/>
            </w:tcBorders>
          </w:tcPr>
          <w:p w14:paraId="414C2C2F">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2247E76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圆振筛</w:t>
            </w:r>
          </w:p>
        </w:tc>
        <w:tc>
          <w:tcPr>
            <w:tcW w:w="2348" w:type="dxa"/>
          </w:tcPr>
          <w:p w14:paraId="3B86576E">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2YA2460</w:t>
            </w:r>
          </w:p>
        </w:tc>
        <w:tc>
          <w:tcPr>
            <w:tcW w:w="763" w:type="dxa"/>
          </w:tcPr>
          <w:p w14:paraId="2BD4E31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4</w:t>
            </w:r>
          </w:p>
        </w:tc>
        <w:tc>
          <w:tcPr>
            <w:tcW w:w="1297" w:type="dxa"/>
            <w:tcBorders>
              <w:right w:val="single" w:color="000000" w:sz="10" w:space="0"/>
            </w:tcBorders>
          </w:tcPr>
          <w:p w14:paraId="2118B1D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798455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46DFC27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14</w:t>
            </w:r>
          </w:p>
        </w:tc>
        <w:tc>
          <w:tcPr>
            <w:tcW w:w="1316" w:type="dxa"/>
            <w:vMerge w:val="restart"/>
            <w:tcBorders>
              <w:bottom w:val="nil"/>
            </w:tcBorders>
          </w:tcPr>
          <w:p w14:paraId="11356C8A">
            <w:pPr>
              <w:spacing w:before="103" w:line="227"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干选车间</w:t>
            </w:r>
          </w:p>
        </w:tc>
        <w:tc>
          <w:tcPr>
            <w:tcW w:w="2528" w:type="dxa"/>
          </w:tcPr>
          <w:p w14:paraId="49919AE9">
            <w:pPr>
              <w:spacing w:before="103" w:line="227"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5#胶带输送机 10080</w:t>
            </w:r>
          </w:p>
        </w:tc>
        <w:tc>
          <w:tcPr>
            <w:tcW w:w="2348" w:type="dxa"/>
          </w:tcPr>
          <w:p w14:paraId="71F0BFFF">
            <w:pPr>
              <w:spacing w:before="103" w:line="268" w:lineRule="exact"/>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V=1.8m/s N=75KW</w:t>
            </w:r>
          </w:p>
        </w:tc>
        <w:tc>
          <w:tcPr>
            <w:tcW w:w="763" w:type="dxa"/>
          </w:tcPr>
          <w:p w14:paraId="3C02944B">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49FFE86C">
            <w:pPr>
              <w:spacing w:before="103" w:line="228"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667228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698" w:type="dxa"/>
            <w:tcBorders>
              <w:left w:val="single" w:color="000000" w:sz="10" w:space="0"/>
            </w:tcBorders>
          </w:tcPr>
          <w:p w14:paraId="64D66FA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15</w:t>
            </w:r>
          </w:p>
        </w:tc>
        <w:tc>
          <w:tcPr>
            <w:tcW w:w="1316" w:type="dxa"/>
            <w:vMerge w:val="continue"/>
            <w:tcBorders>
              <w:top w:val="nil"/>
            </w:tcBorders>
          </w:tcPr>
          <w:p w14:paraId="11877733">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14F4A53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干磁尾矿胶带机 08063</w:t>
            </w:r>
          </w:p>
        </w:tc>
        <w:tc>
          <w:tcPr>
            <w:tcW w:w="2348" w:type="dxa"/>
          </w:tcPr>
          <w:p w14:paraId="0872DF9D">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V=1.8m/s N=15KW</w:t>
            </w:r>
          </w:p>
        </w:tc>
        <w:tc>
          <w:tcPr>
            <w:tcW w:w="763" w:type="dxa"/>
          </w:tcPr>
          <w:p w14:paraId="39F9391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291003E5">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2AE64A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447C4B32">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18</w:t>
            </w:r>
          </w:p>
        </w:tc>
        <w:tc>
          <w:tcPr>
            <w:tcW w:w="1316" w:type="dxa"/>
            <w:vMerge w:val="restart"/>
          </w:tcPr>
          <w:p w14:paraId="4785ADCA">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主厂房</w:t>
            </w:r>
          </w:p>
        </w:tc>
        <w:tc>
          <w:tcPr>
            <w:tcW w:w="2528" w:type="dxa"/>
          </w:tcPr>
          <w:p w14:paraId="6E690315">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格子型球磨机</w:t>
            </w:r>
          </w:p>
        </w:tc>
        <w:tc>
          <w:tcPr>
            <w:tcW w:w="2348" w:type="dxa"/>
          </w:tcPr>
          <w:p w14:paraId="4DA841A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MQCG2700×3600</w:t>
            </w:r>
          </w:p>
        </w:tc>
        <w:tc>
          <w:tcPr>
            <w:tcW w:w="763" w:type="dxa"/>
          </w:tcPr>
          <w:p w14:paraId="4AEA80D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4</w:t>
            </w:r>
          </w:p>
        </w:tc>
        <w:tc>
          <w:tcPr>
            <w:tcW w:w="1297" w:type="dxa"/>
            <w:tcBorders>
              <w:right w:val="single" w:color="000000" w:sz="10" w:space="0"/>
            </w:tcBorders>
          </w:tcPr>
          <w:p w14:paraId="215DE9FD">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3A8C7A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5FC9D36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19</w:t>
            </w:r>
          </w:p>
        </w:tc>
        <w:tc>
          <w:tcPr>
            <w:tcW w:w="1316" w:type="dxa"/>
            <w:vMerge w:val="continue"/>
          </w:tcPr>
          <w:p w14:paraId="5CC04393">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56ED55D6">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溢流型球磨机</w:t>
            </w:r>
          </w:p>
        </w:tc>
        <w:tc>
          <w:tcPr>
            <w:tcW w:w="2348" w:type="dxa"/>
          </w:tcPr>
          <w:p w14:paraId="6A02E11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MQCY2700×3600</w:t>
            </w:r>
          </w:p>
        </w:tc>
        <w:tc>
          <w:tcPr>
            <w:tcW w:w="763" w:type="dxa"/>
          </w:tcPr>
          <w:p w14:paraId="0B82DE5E">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4</w:t>
            </w:r>
          </w:p>
        </w:tc>
        <w:tc>
          <w:tcPr>
            <w:tcW w:w="1297" w:type="dxa"/>
            <w:tcBorders>
              <w:right w:val="single" w:color="000000" w:sz="10" w:space="0"/>
            </w:tcBorders>
          </w:tcPr>
          <w:p w14:paraId="369984E8">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73B436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698" w:type="dxa"/>
            <w:tcBorders>
              <w:left w:val="single" w:color="000000" w:sz="10" w:space="0"/>
            </w:tcBorders>
          </w:tcPr>
          <w:p w14:paraId="3A33CA7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20</w:t>
            </w:r>
          </w:p>
        </w:tc>
        <w:tc>
          <w:tcPr>
            <w:tcW w:w="1316" w:type="dxa"/>
            <w:vMerge w:val="continue"/>
          </w:tcPr>
          <w:p w14:paraId="6FEA634F">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0DF0BD1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分级机</w:t>
            </w:r>
          </w:p>
        </w:tc>
        <w:tc>
          <w:tcPr>
            <w:tcW w:w="2348" w:type="dxa"/>
          </w:tcPr>
          <w:p w14:paraId="679405A2">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2FC-2.0 高堰式</w:t>
            </w:r>
          </w:p>
        </w:tc>
        <w:tc>
          <w:tcPr>
            <w:tcW w:w="763" w:type="dxa"/>
          </w:tcPr>
          <w:p w14:paraId="34A8FA9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51A2F595">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380ABF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63A8842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21</w:t>
            </w:r>
          </w:p>
        </w:tc>
        <w:tc>
          <w:tcPr>
            <w:tcW w:w="1316" w:type="dxa"/>
            <w:vMerge w:val="continue"/>
          </w:tcPr>
          <w:p w14:paraId="52E3F430">
            <w:pPr>
              <w:spacing w:before="103"/>
              <w:ind w:firstLine="0" w:firstLineChars="0"/>
              <w:jc w:val="center"/>
              <w:rPr>
                <w:rFonts w:hint="eastAsia" w:ascii="宋体" w:hAnsi="宋体" w:cs="宋体"/>
                <w:snapToGrid w:val="0"/>
                <w:color w:val="auto"/>
                <w:kern w:val="0"/>
                <w:sz w:val="20"/>
                <w:szCs w:val="20"/>
              </w:rPr>
            </w:pPr>
          </w:p>
        </w:tc>
        <w:tc>
          <w:tcPr>
            <w:tcW w:w="2528" w:type="dxa"/>
          </w:tcPr>
          <w:p w14:paraId="0E1BAB9C">
            <w:pPr>
              <w:spacing w:before="103" w:line="227"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分级机</w:t>
            </w:r>
          </w:p>
        </w:tc>
        <w:tc>
          <w:tcPr>
            <w:tcW w:w="2348" w:type="dxa"/>
          </w:tcPr>
          <w:p w14:paraId="56932ECD">
            <w:pPr>
              <w:spacing w:before="103" w:line="190"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2FG-20</w:t>
            </w:r>
          </w:p>
        </w:tc>
        <w:tc>
          <w:tcPr>
            <w:tcW w:w="763" w:type="dxa"/>
          </w:tcPr>
          <w:p w14:paraId="677751FA">
            <w:pPr>
              <w:spacing w:before="103" w:line="190"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w:t>
            </w:r>
          </w:p>
        </w:tc>
        <w:tc>
          <w:tcPr>
            <w:tcW w:w="1297" w:type="dxa"/>
            <w:tcBorders>
              <w:right w:val="single" w:color="000000" w:sz="10" w:space="0"/>
            </w:tcBorders>
          </w:tcPr>
          <w:p w14:paraId="6790C60D">
            <w:pPr>
              <w:spacing w:before="103" w:line="228"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3F7E2D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0F648F5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22</w:t>
            </w:r>
          </w:p>
        </w:tc>
        <w:tc>
          <w:tcPr>
            <w:tcW w:w="1316" w:type="dxa"/>
            <w:vMerge w:val="continue"/>
          </w:tcPr>
          <w:p w14:paraId="1FDB0E9D">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31CC5E0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格子型球磨机</w:t>
            </w:r>
          </w:p>
        </w:tc>
        <w:tc>
          <w:tcPr>
            <w:tcW w:w="2348" w:type="dxa"/>
          </w:tcPr>
          <w:p w14:paraId="083EEBFD">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MG3200×4500</w:t>
            </w:r>
          </w:p>
        </w:tc>
        <w:tc>
          <w:tcPr>
            <w:tcW w:w="763" w:type="dxa"/>
          </w:tcPr>
          <w:p w14:paraId="70EFEF0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3FB28AA8">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11DF54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698" w:type="dxa"/>
            <w:tcBorders>
              <w:left w:val="single" w:color="000000" w:sz="10" w:space="0"/>
            </w:tcBorders>
          </w:tcPr>
          <w:p w14:paraId="6693BD7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23</w:t>
            </w:r>
          </w:p>
        </w:tc>
        <w:tc>
          <w:tcPr>
            <w:tcW w:w="1316" w:type="dxa"/>
            <w:vMerge w:val="continue"/>
          </w:tcPr>
          <w:p w14:paraId="4CD770D7">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0010CB5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盘式给料机</w:t>
            </w:r>
          </w:p>
        </w:tc>
        <w:tc>
          <w:tcPr>
            <w:tcW w:w="2348" w:type="dxa"/>
          </w:tcPr>
          <w:p w14:paraId="1F54826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BR-20</w:t>
            </w:r>
          </w:p>
        </w:tc>
        <w:tc>
          <w:tcPr>
            <w:tcW w:w="763" w:type="dxa"/>
          </w:tcPr>
          <w:p w14:paraId="081C3238">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w:t>
            </w:r>
          </w:p>
        </w:tc>
        <w:tc>
          <w:tcPr>
            <w:tcW w:w="1297" w:type="dxa"/>
            <w:tcBorders>
              <w:right w:val="single" w:color="000000" w:sz="10" w:space="0"/>
            </w:tcBorders>
          </w:tcPr>
          <w:p w14:paraId="3CBF4C4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24AC05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3FC72D7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24</w:t>
            </w:r>
          </w:p>
        </w:tc>
        <w:tc>
          <w:tcPr>
            <w:tcW w:w="1316" w:type="dxa"/>
            <w:vMerge w:val="continue"/>
          </w:tcPr>
          <w:p w14:paraId="57277117">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1F2A50CE">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盘式给料机</w:t>
            </w:r>
          </w:p>
        </w:tc>
        <w:tc>
          <w:tcPr>
            <w:tcW w:w="2348" w:type="dxa"/>
          </w:tcPr>
          <w:p w14:paraId="356AB352">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ZPG-4.0</w:t>
            </w:r>
          </w:p>
        </w:tc>
        <w:tc>
          <w:tcPr>
            <w:tcW w:w="763" w:type="dxa"/>
          </w:tcPr>
          <w:p w14:paraId="596E2B6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w:t>
            </w:r>
          </w:p>
        </w:tc>
        <w:tc>
          <w:tcPr>
            <w:tcW w:w="1297" w:type="dxa"/>
            <w:tcBorders>
              <w:right w:val="single" w:color="000000" w:sz="10" w:space="0"/>
            </w:tcBorders>
          </w:tcPr>
          <w:p w14:paraId="7282F2DD">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5B1C79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764FFAD8">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25</w:t>
            </w:r>
          </w:p>
        </w:tc>
        <w:tc>
          <w:tcPr>
            <w:tcW w:w="1316" w:type="dxa"/>
            <w:vMerge w:val="continue"/>
          </w:tcPr>
          <w:p w14:paraId="75572CB2">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2C5AAF2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旋流器</w:t>
            </w:r>
          </w:p>
        </w:tc>
        <w:tc>
          <w:tcPr>
            <w:tcW w:w="2348" w:type="dxa"/>
          </w:tcPr>
          <w:p w14:paraId="2DFE938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F×610-GT×4</w:t>
            </w:r>
          </w:p>
        </w:tc>
        <w:tc>
          <w:tcPr>
            <w:tcW w:w="763" w:type="dxa"/>
          </w:tcPr>
          <w:p w14:paraId="1A6EA7DE">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222AB2D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0760DC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6E601E0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26</w:t>
            </w:r>
          </w:p>
        </w:tc>
        <w:tc>
          <w:tcPr>
            <w:tcW w:w="1316" w:type="dxa"/>
            <w:vMerge w:val="continue"/>
          </w:tcPr>
          <w:p w14:paraId="786D35CE">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10B6077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渣浆泵（分级泵）</w:t>
            </w:r>
          </w:p>
        </w:tc>
        <w:tc>
          <w:tcPr>
            <w:tcW w:w="2348" w:type="dxa"/>
          </w:tcPr>
          <w:p w14:paraId="32491BCD">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100ZBD-400</w:t>
            </w:r>
          </w:p>
        </w:tc>
        <w:tc>
          <w:tcPr>
            <w:tcW w:w="763" w:type="dxa"/>
          </w:tcPr>
          <w:p w14:paraId="39BC4A76">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w:t>
            </w:r>
          </w:p>
        </w:tc>
        <w:tc>
          <w:tcPr>
            <w:tcW w:w="1297" w:type="dxa"/>
            <w:tcBorders>
              <w:right w:val="single" w:color="000000" w:sz="10" w:space="0"/>
            </w:tcBorders>
          </w:tcPr>
          <w:p w14:paraId="0781532F">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7DBF0B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29E61452">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27</w:t>
            </w:r>
          </w:p>
        </w:tc>
        <w:tc>
          <w:tcPr>
            <w:tcW w:w="1316" w:type="dxa"/>
            <w:vMerge w:val="continue"/>
          </w:tcPr>
          <w:p w14:paraId="7AA65977">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5AC3159A">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永磁筒式磁选机</w:t>
            </w:r>
          </w:p>
        </w:tc>
        <w:tc>
          <w:tcPr>
            <w:tcW w:w="2348" w:type="dxa"/>
          </w:tcPr>
          <w:p w14:paraId="09209A0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XCTB1200×2100</w:t>
            </w:r>
          </w:p>
        </w:tc>
        <w:tc>
          <w:tcPr>
            <w:tcW w:w="763" w:type="dxa"/>
          </w:tcPr>
          <w:p w14:paraId="42C1B34B">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6</w:t>
            </w:r>
          </w:p>
        </w:tc>
        <w:tc>
          <w:tcPr>
            <w:tcW w:w="1297" w:type="dxa"/>
            <w:tcBorders>
              <w:right w:val="single" w:color="000000" w:sz="10" w:space="0"/>
            </w:tcBorders>
          </w:tcPr>
          <w:p w14:paraId="1C08194B">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27A17A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2539F126">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28</w:t>
            </w:r>
          </w:p>
        </w:tc>
        <w:tc>
          <w:tcPr>
            <w:tcW w:w="1316" w:type="dxa"/>
            <w:vMerge w:val="continue"/>
          </w:tcPr>
          <w:p w14:paraId="3AE4F521">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7C9CC0E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高频细筛</w:t>
            </w:r>
          </w:p>
        </w:tc>
        <w:tc>
          <w:tcPr>
            <w:tcW w:w="2348" w:type="dxa"/>
          </w:tcPr>
          <w:p w14:paraId="24A1A74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2SG48-60W-5STK</w:t>
            </w:r>
          </w:p>
        </w:tc>
        <w:tc>
          <w:tcPr>
            <w:tcW w:w="763" w:type="dxa"/>
          </w:tcPr>
          <w:p w14:paraId="689A1EC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w:t>
            </w:r>
          </w:p>
        </w:tc>
        <w:tc>
          <w:tcPr>
            <w:tcW w:w="1297" w:type="dxa"/>
            <w:tcBorders>
              <w:right w:val="single" w:color="000000" w:sz="10" w:space="0"/>
            </w:tcBorders>
          </w:tcPr>
          <w:p w14:paraId="7B9BEB5E">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09D308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698" w:type="dxa"/>
            <w:tcBorders>
              <w:left w:val="single" w:color="000000" w:sz="10" w:space="0"/>
            </w:tcBorders>
          </w:tcPr>
          <w:p w14:paraId="78D2076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29</w:t>
            </w:r>
          </w:p>
        </w:tc>
        <w:tc>
          <w:tcPr>
            <w:tcW w:w="1316" w:type="dxa"/>
            <w:vMerge w:val="continue"/>
          </w:tcPr>
          <w:p w14:paraId="2C73A7A2">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6BF2ACD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磁选机</w:t>
            </w:r>
          </w:p>
        </w:tc>
        <w:tc>
          <w:tcPr>
            <w:tcW w:w="2348" w:type="dxa"/>
          </w:tcPr>
          <w:p w14:paraId="57DCCC4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XCTB1200×3000</w:t>
            </w:r>
          </w:p>
        </w:tc>
        <w:tc>
          <w:tcPr>
            <w:tcW w:w="763" w:type="dxa"/>
          </w:tcPr>
          <w:p w14:paraId="4C94BD0B">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4</w:t>
            </w:r>
          </w:p>
        </w:tc>
        <w:tc>
          <w:tcPr>
            <w:tcW w:w="1297" w:type="dxa"/>
            <w:tcBorders>
              <w:right w:val="single" w:color="000000" w:sz="10" w:space="0"/>
            </w:tcBorders>
          </w:tcPr>
          <w:p w14:paraId="01252A4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6F615C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000B76D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30</w:t>
            </w:r>
          </w:p>
        </w:tc>
        <w:tc>
          <w:tcPr>
            <w:tcW w:w="1316" w:type="dxa"/>
            <w:vMerge w:val="continue"/>
          </w:tcPr>
          <w:p w14:paraId="52DA3722">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1881F79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陶瓷过滤机</w:t>
            </w:r>
          </w:p>
        </w:tc>
        <w:tc>
          <w:tcPr>
            <w:tcW w:w="2348" w:type="dxa"/>
          </w:tcPr>
          <w:p w14:paraId="4D036E3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TT-24</w:t>
            </w:r>
          </w:p>
        </w:tc>
        <w:tc>
          <w:tcPr>
            <w:tcW w:w="763" w:type="dxa"/>
          </w:tcPr>
          <w:p w14:paraId="17A8D79B">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w:t>
            </w:r>
          </w:p>
        </w:tc>
        <w:tc>
          <w:tcPr>
            <w:tcW w:w="1297" w:type="dxa"/>
            <w:tcBorders>
              <w:right w:val="single" w:color="000000" w:sz="10" w:space="0"/>
            </w:tcBorders>
          </w:tcPr>
          <w:p w14:paraId="436406B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3C33CF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051F42C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31</w:t>
            </w:r>
          </w:p>
        </w:tc>
        <w:tc>
          <w:tcPr>
            <w:tcW w:w="1316" w:type="dxa"/>
            <w:vMerge w:val="continue"/>
          </w:tcPr>
          <w:p w14:paraId="1B50A9ED">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0093AB5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陶瓷过滤机</w:t>
            </w:r>
          </w:p>
        </w:tc>
        <w:tc>
          <w:tcPr>
            <w:tcW w:w="2348" w:type="dxa"/>
          </w:tcPr>
          <w:p w14:paraId="3C20CB9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TT-30</w:t>
            </w:r>
          </w:p>
        </w:tc>
        <w:tc>
          <w:tcPr>
            <w:tcW w:w="763" w:type="dxa"/>
          </w:tcPr>
          <w:p w14:paraId="512F7FC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4</w:t>
            </w:r>
          </w:p>
        </w:tc>
        <w:tc>
          <w:tcPr>
            <w:tcW w:w="1297" w:type="dxa"/>
            <w:tcBorders>
              <w:right w:val="single" w:color="000000" w:sz="10" w:space="0"/>
            </w:tcBorders>
          </w:tcPr>
          <w:p w14:paraId="2644E5E2">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479B94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2AB0A2F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32</w:t>
            </w:r>
          </w:p>
        </w:tc>
        <w:tc>
          <w:tcPr>
            <w:tcW w:w="1316" w:type="dxa"/>
            <w:vMerge w:val="continue"/>
          </w:tcPr>
          <w:p w14:paraId="5567900D">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010E2BC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陶瓷过滤机</w:t>
            </w:r>
          </w:p>
        </w:tc>
        <w:tc>
          <w:tcPr>
            <w:tcW w:w="2348" w:type="dxa"/>
          </w:tcPr>
          <w:p w14:paraId="17B217B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TT-21</w:t>
            </w:r>
          </w:p>
        </w:tc>
        <w:tc>
          <w:tcPr>
            <w:tcW w:w="763" w:type="dxa"/>
          </w:tcPr>
          <w:p w14:paraId="264541BE">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w:t>
            </w:r>
          </w:p>
        </w:tc>
        <w:tc>
          <w:tcPr>
            <w:tcW w:w="1297" w:type="dxa"/>
            <w:tcBorders>
              <w:right w:val="single" w:color="000000" w:sz="10" w:space="0"/>
            </w:tcBorders>
          </w:tcPr>
          <w:p w14:paraId="49F7EF1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0ED649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3695B28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33</w:t>
            </w:r>
          </w:p>
        </w:tc>
        <w:tc>
          <w:tcPr>
            <w:tcW w:w="1316" w:type="dxa"/>
            <w:vMerge w:val="continue"/>
          </w:tcPr>
          <w:p w14:paraId="27EDD8DB">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6AA502CD">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尾矿渣浆泵</w:t>
            </w:r>
          </w:p>
        </w:tc>
        <w:tc>
          <w:tcPr>
            <w:tcW w:w="2348" w:type="dxa"/>
          </w:tcPr>
          <w:p w14:paraId="576969FB">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300ZBD-630B</w:t>
            </w:r>
          </w:p>
        </w:tc>
        <w:tc>
          <w:tcPr>
            <w:tcW w:w="763" w:type="dxa"/>
          </w:tcPr>
          <w:p w14:paraId="0213B78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w:t>
            </w:r>
          </w:p>
        </w:tc>
        <w:tc>
          <w:tcPr>
            <w:tcW w:w="1297" w:type="dxa"/>
            <w:tcBorders>
              <w:right w:val="single" w:color="000000" w:sz="10" w:space="0"/>
            </w:tcBorders>
          </w:tcPr>
          <w:p w14:paraId="49745464">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无变化</w:t>
            </w:r>
          </w:p>
        </w:tc>
      </w:tr>
      <w:tr w14:paraId="6713A5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698" w:type="dxa"/>
            <w:tcBorders>
              <w:left w:val="single" w:color="000000" w:sz="10" w:space="0"/>
            </w:tcBorders>
          </w:tcPr>
          <w:p w14:paraId="4DCD092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34</w:t>
            </w:r>
          </w:p>
        </w:tc>
        <w:tc>
          <w:tcPr>
            <w:tcW w:w="1316" w:type="dxa"/>
            <w:vMerge w:val="continue"/>
          </w:tcPr>
          <w:p w14:paraId="4DE45250">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4B36B5A8">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磁选机</w:t>
            </w:r>
          </w:p>
        </w:tc>
        <w:tc>
          <w:tcPr>
            <w:tcW w:w="2348" w:type="dxa"/>
          </w:tcPr>
          <w:p w14:paraId="0CE3CBC5">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XCTS-1030</w:t>
            </w:r>
          </w:p>
        </w:tc>
        <w:tc>
          <w:tcPr>
            <w:tcW w:w="763" w:type="dxa"/>
          </w:tcPr>
          <w:p w14:paraId="1A0D00F6">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7FEAA046">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新增</w:t>
            </w:r>
          </w:p>
        </w:tc>
      </w:tr>
      <w:tr w14:paraId="75E0B5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698" w:type="dxa"/>
            <w:tcBorders>
              <w:left w:val="single" w:color="000000" w:sz="10" w:space="0"/>
            </w:tcBorders>
          </w:tcPr>
          <w:p w14:paraId="77C0F3F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35</w:t>
            </w:r>
          </w:p>
        </w:tc>
        <w:tc>
          <w:tcPr>
            <w:tcW w:w="1316" w:type="dxa"/>
            <w:vMerge w:val="continue"/>
          </w:tcPr>
          <w:p w14:paraId="405B5997">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0B88C535">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直线振动筛</w:t>
            </w:r>
          </w:p>
        </w:tc>
        <w:tc>
          <w:tcPr>
            <w:tcW w:w="2348" w:type="dxa"/>
          </w:tcPr>
          <w:p w14:paraId="19024372">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TZS1236</w:t>
            </w:r>
          </w:p>
        </w:tc>
        <w:tc>
          <w:tcPr>
            <w:tcW w:w="763" w:type="dxa"/>
          </w:tcPr>
          <w:p w14:paraId="06E220F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2C167DB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新增</w:t>
            </w:r>
          </w:p>
        </w:tc>
      </w:tr>
      <w:tr w14:paraId="6214FB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tcBorders>
          </w:tcPr>
          <w:p w14:paraId="489A5DE4">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36</w:t>
            </w:r>
          </w:p>
        </w:tc>
        <w:tc>
          <w:tcPr>
            <w:tcW w:w="1316" w:type="dxa"/>
            <w:vMerge w:val="continue"/>
          </w:tcPr>
          <w:p w14:paraId="6510DB27">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52B4538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直线振动筛</w:t>
            </w:r>
          </w:p>
        </w:tc>
        <w:tc>
          <w:tcPr>
            <w:tcW w:w="2348" w:type="dxa"/>
          </w:tcPr>
          <w:p w14:paraId="6AF4BB74">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TZS1536</w:t>
            </w:r>
          </w:p>
        </w:tc>
        <w:tc>
          <w:tcPr>
            <w:tcW w:w="763" w:type="dxa"/>
          </w:tcPr>
          <w:p w14:paraId="49C83C7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21C372BA">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新增</w:t>
            </w:r>
          </w:p>
        </w:tc>
      </w:tr>
      <w:tr w14:paraId="0D7ABB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tcBorders>
          </w:tcPr>
          <w:p w14:paraId="4F30FE86">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37</w:t>
            </w:r>
          </w:p>
        </w:tc>
        <w:tc>
          <w:tcPr>
            <w:tcW w:w="1316" w:type="dxa"/>
            <w:vMerge w:val="continue"/>
          </w:tcPr>
          <w:p w14:paraId="25A12995">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32C504B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9"/>
                <w:kern w:val="0"/>
                <w:sz w:val="20"/>
                <w:szCs w:val="20"/>
              </w:rPr>
              <w:t>湿抛废石斜</w:t>
            </w:r>
            <w:r>
              <w:rPr>
                <w:rFonts w:ascii="宋体" w:hAnsi="宋体" w:cs="宋体"/>
                <w:snapToGrid w:val="0"/>
                <w:color w:val="auto"/>
                <w:spacing w:val="8"/>
                <w:kern w:val="0"/>
                <w:sz w:val="20"/>
                <w:szCs w:val="20"/>
              </w:rPr>
              <w:t>坡皮带</w:t>
            </w:r>
          </w:p>
        </w:tc>
        <w:tc>
          <w:tcPr>
            <w:tcW w:w="2348" w:type="dxa"/>
          </w:tcPr>
          <w:p w14:paraId="4B535E56">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w:t>
            </w:r>
          </w:p>
        </w:tc>
        <w:tc>
          <w:tcPr>
            <w:tcW w:w="763" w:type="dxa"/>
          </w:tcPr>
          <w:p w14:paraId="5856F25E">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1A9CD3E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4"/>
                <w:kern w:val="0"/>
                <w:sz w:val="20"/>
                <w:szCs w:val="20"/>
              </w:rPr>
              <w:t>新增</w:t>
            </w:r>
          </w:p>
        </w:tc>
      </w:tr>
      <w:tr w14:paraId="7CC0BB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tcBorders>
          </w:tcPr>
          <w:p w14:paraId="392D9EEA">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38</w:t>
            </w:r>
          </w:p>
        </w:tc>
        <w:tc>
          <w:tcPr>
            <w:tcW w:w="1316" w:type="dxa"/>
            <w:vMerge w:val="continue"/>
            <w:tcBorders>
              <w:bottom w:val="single" w:color="000000" w:sz="4" w:space="0"/>
            </w:tcBorders>
          </w:tcPr>
          <w:p w14:paraId="26364AB4">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Pr>
          <w:p w14:paraId="0BDCB11D">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9"/>
                <w:kern w:val="0"/>
                <w:sz w:val="20"/>
                <w:szCs w:val="20"/>
              </w:rPr>
              <w:t>湿抛废石集</w:t>
            </w:r>
            <w:r>
              <w:rPr>
                <w:rFonts w:ascii="宋体" w:hAnsi="宋体" w:cs="宋体"/>
                <w:snapToGrid w:val="0"/>
                <w:color w:val="auto"/>
                <w:spacing w:val="8"/>
                <w:kern w:val="0"/>
                <w:sz w:val="20"/>
                <w:szCs w:val="20"/>
              </w:rPr>
              <w:t>矿皮带</w:t>
            </w:r>
          </w:p>
        </w:tc>
        <w:tc>
          <w:tcPr>
            <w:tcW w:w="2348" w:type="dxa"/>
          </w:tcPr>
          <w:p w14:paraId="2C835138">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2"/>
                <w:kern w:val="0"/>
                <w:sz w:val="20"/>
                <w:szCs w:val="20"/>
              </w:rPr>
              <w:t>TD75-80 L</w:t>
            </w:r>
            <w:r>
              <w:rPr>
                <w:rFonts w:ascii="宋体" w:hAnsi="宋体" w:cs="宋体"/>
                <w:snapToGrid w:val="0"/>
                <w:color w:val="auto"/>
                <w:spacing w:val="1"/>
                <w:kern w:val="0"/>
                <w:sz w:val="20"/>
                <w:szCs w:val="20"/>
              </w:rPr>
              <w:t>=150m</w:t>
            </w:r>
            <w:r>
              <w:rPr>
                <w:rFonts w:ascii="宋体" w:hAnsi="宋体" w:cs="宋体"/>
                <w:snapToGrid w:val="0"/>
                <w:color w:val="auto"/>
                <w:spacing w:val="2"/>
                <w:kern w:val="0"/>
                <w:sz w:val="20"/>
                <w:szCs w:val="20"/>
              </w:rPr>
              <w:t xml:space="preserve"> </w:t>
            </w:r>
            <w:r>
              <w:rPr>
                <w:rFonts w:ascii="宋体" w:hAnsi="宋体" w:cs="宋体"/>
                <w:snapToGrid w:val="0"/>
                <w:color w:val="auto"/>
                <w:spacing w:val="1"/>
                <w:kern w:val="0"/>
                <w:sz w:val="20"/>
                <w:szCs w:val="20"/>
              </w:rPr>
              <w:t>v=2m/s</w:t>
            </w:r>
          </w:p>
        </w:tc>
        <w:tc>
          <w:tcPr>
            <w:tcW w:w="763" w:type="dxa"/>
          </w:tcPr>
          <w:p w14:paraId="44CFA736">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6D4EA29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4"/>
                <w:kern w:val="0"/>
                <w:sz w:val="20"/>
                <w:szCs w:val="20"/>
              </w:rPr>
              <w:t>新增</w:t>
            </w:r>
          </w:p>
        </w:tc>
      </w:tr>
      <w:tr w14:paraId="1DB596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2652C056">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39</w:t>
            </w:r>
          </w:p>
        </w:tc>
        <w:tc>
          <w:tcPr>
            <w:tcW w:w="1316" w:type="dxa"/>
            <w:vMerge w:val="restart"/>
            <w:tcBorders>
              <w:top w:val="single" w:color="000000" w:sz="4" w:space="0"/>
              <w:left w:val="single" w:color="000000" w:sz="4" w:space="0"/>
              <w:right w:val="single" w:color="000000" w:sz="4" w:space="0"/>
            </w:tcBorders>
          </w:tcPr>
          <w:p w14:paraId="4FA970F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3"/>
                <w:kern w:val="0"/>
                <w:sz w:val="20"/>
                <w:szCs w:val="20"/>
              </w:rPr>
              <w:t>回</w:t>
            </w:r>
            <w:r>
              <w:rPr>
                <w:rFonts w:ascii="宋体" w:hAnsi="宋体" w:cs="宋体"/>
                <w:snapToGrid w:val="0"/>
                <w:color w:val="auto"/>
                <w:spacing w:val="2"/>
                <w:kern w:val="0"/>
                <w:sz w:val="20"/>
                <w:szCs w:val="20"/>
              </w:rPr>
              <w:t>水泵房</w:t>
            </w:r>
          </w:p>
        </w:tc>
        <w:tc>
          <w:tcPr>
            <w:tcW w:w="2528" w:type="dxa"/>
            <w:tcBorders>
              <w:left w:val="single" w:color="000000" w:sz="4" w:space="0"/>
            </w:tcBorders>
          </w:tcPr>
          <w:p w14:paraId="325EB54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4"/>
                <w:kern w:val="0"/>
                <w:sz w:val="20"/>
                <w:szCs w:val="20"/>
              </w:rPr>
              <w:t>水</w:t>
            </w:r>
            <w:r>
              <w:rPr>
                <w:rFonts w:ascii="宋体" w:hAnsi="宋体" w:cs="宋体"/>
                <w:snapToGrid w:val="0"/>
                <w:color w:val="auto"/>
                <w:spacing w:val="3"/>
                <w:kern w:val="0"/>
                <w:sz w:val="20"/>
                <w:szCs w:val="20"/>
              </w:rPr>
              <w:t>泵</w:t>
            </w:r>
          </w:p>
        </w:tc>
        <w:tc>
          <w:tcPr>
            <w:tcW w:w="2348" w:type="dxa"/>
          </w:tcPr>
          <w:p w14:paraId="765C4112">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5"/>
                <w:kern w:val="0"/>
                <w:sz w:val="20"/>
                <w:szCs w:val="20"/>
              </w:rPr>
              <w:t>30</w:t>
            </w:r>
            <w:r>
              <w:rPr>
                <w:rFonts w:ascii="宋体" w:hAnsi="宋体" w:cs="宋体"/>
                <w:snapToGrid w:val="0"/>
                <w:color w:val="auto"/>
                <w:spacing w:val="4"/>
                <w:kern w:val="0"/>
                <w:sz w:val="20"/>
                <w:szCs w:val="20"/>
              </w:rPr>
              <w:t>0S58A</w:t>
            </w:r>
            <w:r>
              <w:rPr>
                <w:rFonts w:ascii="宋体" w:hAnsi="宋体" w:cs="宋体"/>
                <w:snapToGrid w:val="0"/>
                <w:color w:val="auto"/>
                <w:spacing w:val="5"/>
                <w:kern w:val="0"/>
                <w:sz w:val="20"/>
                <w:szCs w:val="20"/>
              </w:rPr>
              <w:t xml:space="preserve"> </w:t>
            </w:r>
            <w:r>
              <w:rPr>
                <w:rFonts w:ascii="宋体" w:hAnsi="宋体" w:cs="宋体"/>
                <w:snapToGrid w:val="0"/>
                <w:color w:val="auto"/>
                <w:spacing w:val="4"/>
                <w:kern w:val="0"/>
                <w:sz w:val="20"/>
                <w:szCs w:val="20"/>
              </w:rPr>
              <w:t>N=160KW</w:t>
            </w:r>
          </w:p>
        </w:tc>
        <w:tc>
          <w:tcPr>
            <w:tcW w:w="763" w:type="dxa"/>
          </w:tcPr>
          <w:p w14:paraId="4C39542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w:t>
            </w:r>
          </w:p>
        </w:tc>
        <w:tc>
          <w:tcPr>
            <w:tcW w:w="1297" w:type="dxa"/>
            <w:tcBorders>
              <w:right w:val="single" w:color="000000" w:sz="10" w:space="0"/>
            </w:tcBorders>
          </w:tcPr>
          <w:p w14:paraId="4E5E9637">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无</w:t>
            </w:r>
            <w:r>
              <w:rPr>
                <w:rFonts w:ascii="宋体" w:hAnsi="宋体" w:cs="宋体"/>
                <w:snapToGrid w:val="0"/>
                <w:color w:val="auto"/>
                <w:spacing w:val="6"/>
                <w:kern w:val="0"/>
                <w:sz w:val="20"/>
                <w:szCs w:val="20"/>
              </w:rPr>
              <w:t>变化</w:t>
            </w:r>
          </w:p>
        </w:tc>
      </w:tr>
      <w:tr w14:paraId="7B1324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6B81DFF6">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40</w:t>
            </w:r>
          </w:p>
        </w:tc>
        <w:tc>
          <w:tcPr>
            <w:tcW w:w="1316" w:type="dxa"/>
            <w:vMerge w:val="continue"/>
            <w:tcBorders>
              <w:left w:val="single" w:color="000000" w:sz="4" w:space="0"/>
              <w:bottom w:val="single" w:color="000000" w:sz="4" w:space="0"/>
              <w:right w:val="single" w:color="000000" w:sz="4" w:space="0"/>
            </w:tcBorders>
          </w:tcPr>
          <w:p w14:paraId="7079DFF8">
            <w:pPr>
              <w:spacing w:before="103" w:line="193" w:lineRule="auto"/>
              <w:ind w:firstLine="0" w:firstLineChars="0"/>
              <w:jc w:val="center"/>
              <w:rPr>
                <w:rFonts w:hint="eastAsia" w:ascii="宋体" w:hAnsi="宋体" w:cs="宋体"/>
                <w:snapToGrid w:val="0"/>
                <w:color w:val="auto"/>
                <w:kern w:val="0"/>
                <w:sz w:val="20"/>
                <w:szCs w:val="20"/>
              </w:rPr>
            </w:pPr>
          </w:p>
        </w:tc>
        <w:tc>
          <w:tcPr>
            <w:tcW w:w="2528" w:type="dxa"/>
            <w:tcBorders>
              <w:left w:val="single" w:color="000000" w:sz="4" w:space="0"/>
            </w:tcBorders>
          </w:tcPr>
          <w:p w14:paraId="0E9213D3">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变压</w:t>
            </w:r>
            <w:r>
              <w:rPr>
                <w:rFonts w:ascii="宋体" w:hAnsi="宋体" w:cs="宋体"/>
                <w:snapToGrid w:val="0"/>
                <w:color w:val="auto"/>
                <w:spacing w:val="6"/>
                <w:kern w:val="0"/>
                <w:sz w:val="20"/>
                <w:szCs w:val="20"/>
              </w:rPr>
              <w:t>器</w:t>
            </w:r>
          </w:p>
        </w:tc>
        <w:tc>
          <w:tcPr>
            <w:tcW w:w="2348" w:type="dxa"/>
          </w:tcPr>
          <w:p w14:paraId="150F3A54">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4"/>
                <w:kern w:val="0"/>
                <w:position w:val="1"/>
                <w:sz w:val="20"/>
                <w:szCs w:val="20"/>
              </w:rPr>
              <w:t>S-9/630K</w:t>
            </w:r>
            <w:r>
              <w:rPr>
                <w:rFonts w:ascii="宋体" w:hAnsi="宋体" w:cs="宋体"/>
                <w:snapToGrid w:val="0"/>
                <w:color w:val="auto"/>
                <w:spacing w:val="3"/>
                <w:kern w:val="0"/>
                <w:position w:val="1"/>
                <w:sz w:val="20"/>
                <w:szCs w:val="20"/>
              </w:rPr>
              <w:t>W</w:t>
            </w:r>
          </w:p>
        </w:tc>
        <w:tc>
          <w:tcPr>
            <w:tcW w:w="763" w:type="dxa"/>
          </w:tcPr>
          <w:p w14:paraId="043D7698">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1</w:t>
            </w:r>
          </w:p>
        </w:tc>
        <w:tc>
          <w:tcPr>
            <w:tcW w:w="1297" w:type="dxa"/>
            <w:tcBorders>
              <w:right w:val="single" w:color="000000" w:sz="10" w:space="0"/>
            </w:tcBorders>
          </w:tcPr>
          <w:p w14:paraId="44FB6309">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无</w:t>
            </w:r>
            <w:r>
              <w:rPr>
                <w:rFonts w:ascii="宋体" w:hAnsi="宋体" w:cs="宋体"/>
                <w:snapToGrid w:val="0"/>
                <w:color w:val="auto"/>
                <w:spacing w:val="6"/>
                <w:kern w:val="0"/>
                <w:sz w:val="20"/>
                <w:szCs w:val="20"/>
              </w:rPr>
              <w:t>变化</w:t>
            </w:r>
          </w:p>
        </w:tc>
      </w:tr>
      <w:tr w14:paraId="4C086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314FDF61">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41</w:t>
            </w:r>
          </w:p>
        </w:tc>
        <w:tc>
          <w:tcPr>
            <w:tcW w:w="1316" w:type="dxa"/>
            <w:tcBorders>
              <w:top w:val="single" w:color="000000" w:sz="4" w:space="0"/>
              <w:left w:val="single" w:color="000000" w:sz="4" w:space="0"/>
              <w:bottom w:val="single" w:color="000000" w:sz="4" w:space="0"/>
              <w:right w:val="single" w:color="000000" w:sz="4" w:space="0"/>
            </w:tcBorders>
          </w:tcPr>
          <w:p w14:paraId="60394D80">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主变电</w:t>
            </w:r>
            <w:r>
              <w:rPr>
                <w:rFonts w:ascii="宋体" w:hAnsi="宋体" w:cs="宋体"/>
                <w:snapToGrid w:val="0"/>
                <w:color w:val="auto"/>
                <w:spacing w:val="6"/>
                <w:kern w:val="0"/>
                <w:sz w:val="20"/>
                <w:szCs w:val="20"/>
              </w:rPr>
              <w:t>所</w:t>
            </w:r>
          </w:p>
        </w:tc>
        <w:tc>
          <w:tcPr>
            <w:tcW w:w="2528" w:type="dxa"/>
            <w:tcBorders>
              <w:left w:val="single" w:color="000000" w:sz="4" w:space="0"/>
            </w:tcBorders>
          </w:tcPr>
          <w:p w14:paraId="115F095C">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主变压</w:t>
            </w:r>
            <w:r>
              <w:rPr>
                <w:rFonts w:ascii="宋体" w:hAnsi="宋体" w:cs="宋体"/>
                <w:snapToGrid w:val="0"/>
                <w:color w:val="auto"/>
                <w:spacing w:val="6"/>
                <w:kern w:val="0"/>
                <w:sz w:val="20"/>
                <w:szCs w:val="20"/>
              </w:rPr>
              <w:t>器</w:t>
            </w:r>
          </w:p>
        </w:tc>
        <w:tc>
          <w:tcPr>
            <w:tcW w:w="2348" w:type="dxa"/>
          </w:tcPr>
          <w:p w14:paraId="05F6CA71">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5"/>
                <w:kern w:val="0"/>
                <w:sz w:val="20"/>
                <w:szCs w:val="20"/>
              </w:rPr>
              <w:t>SZ</w:t>
            </w:r>
            <w:r>
              <w:rPr>
                <w:rFonts w:ascii="宋体" w:hAnsi="宋体" w:cs="宋体"/>
                <w:snapToGrid w:val="0"/>
                <w:color w:val="auto"/>
                <w:spacing w:val="4"/>
                <w:kern w:val="0"/>
                <w:sz w:val="20"/>
                <w:szCs w:val="20"/>
              </w:rPr>
              <w:t>9-4000/35</w:t>
            </w:r>
          </w:p>
        </w:tc>
        <w:tc>
          <w:tcPr>
            <w:tcW w:w="763" w:type="dxa"/>
          </w:tcPr>
          <w:p w14:paraId="67C1177B">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kern w:val="0"/>
                <w:sz w:val="20"/>
                <w:szCs w:val="20"/>
              </w:rPr>
              <w:t>2</w:t>
            </w:r>
          </w:p>
        </w:tc>
        <w:tc>
          <w:tcPr>
            <w:tcW w:w="1297" w:type="dxa"/>
            <w:tcBorders>
              <w:right w:val="single" w:color="000000" w:sz="10" w:space="0"/>
            </w:tcBorders>
          </w:tcPr>
          <w:p w14:paraId="75AEBFFE">
            <w:pPr>
              <w:spacing w:before="103" w:line="193" w:lineRule="auto"/>
              <w:ind w:firstLine="0" w:firstLineChars="0"/>
              <w:jc w:val="center"/>
              <w:rPr>
                <w:rFonts w:hint="eastAsia" w:ascii="宋体" w:hAnsi="宋体" w:cs="宋体"/>
                <w:snapToGrid w:val="0"/>
                <w:color w:val="auto"/>
                <w:kern w:val="0"/>
                <w:sz w:val="20"/>
                <w:szCs w:val="20"/>
              </w:rPr>
            </w:pPr>
            <w:r>
              <w:rPr>
                <w:rFonts w:ascii="宋体" w:hAnsi="宋体" w:cs="宋体"/>
                <w:snapToGrid w:val="0"/>
                <w:color w:val="auto"/>
                <w:spacing w:val="7"/>
                <w:kern w:val="0"/>
                <w:sz w:val="20"/>
                <w:szCs w:val="20"/>
              </w:rPr>
              <w:t>无</w:t>
            </w:r>
            <w:r>
              <w:rPr>
                <w:rFonts w:ascii="宋体" w:hAnsi="宋体" w:cs="宋体"/>
                <w:snapToGrid w:val="0"/>
                <w:color w:val="auto"/>
                <w:spacing w:val="6"/>
                <w:kern w:val="0"/>
                <w:sz w:val="20"/>
                <w:szCs w:val="20"/>
              </w:rPr>
              <w:t>变化</w:t>
            </w:r>
          </w:p>
        </w:tc>
      </w:tr>
      <w:tr w14:paraId="733C09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04B97757">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42</w:t>
            </w:r>
          </w:p>
        </w:tc>
        <w:tc>
          <w:tcPr>
            <w:tcW w:w="1316" w:type="dxa"/>
            <w:vMerge w:val="restart"/>
            <w:tcBorders>
              <w:top w:val="single" w:color="000000" w:sz="4" w:space="0"/>
              <w:left w:val="single" w:color="000000" w:sz="4" w:space="0"/>
              <w:right w:val="single" w:color="000000" w:sz="4" w:space="0"/>
            </w:tcBorders>
            <w:vAlign w:val="center"/>
          </w:tcPr>
          <w:p w14:paraId="5A24038B">
            <w:pPr>
              <w:spacing w:before="103" w:line="193" w:lineRule="auto"/>
              <w:ind w:firstLine="0" w:firstLineChars="0"/>
              <w:jc w:val="center"/>
              <w:rPr>
                <w:rFonts w:hint="eastAsia" w:ascii="宋体" w:hAnsi="宋体" w:cs="宋体"/>
                <w:snapToGrid w:val="0"/>
                <w:color w:val="auto"/>
                <w:spacing w:val="7"/>
                <w:kern w:val="0"/>
                <w:sz w:val="20"/>
                <w:szCs w:val="20"/>
              </w:rPr>
            </w:pPr>
            <w:r>
              <w:rPr>
                <w:rFonts w:hint="eastAsia" w:ascii="宋体" w:hAnsi="宋体" w:cs="宋体"/>
                <w:snapToGrid w:val="0"/>
                <w:color w:val="auto"/>
                <w:spacing w:val="2"/>
                <w:kern w:val="0"/>
                <w:sz w:val="20"/>
                <w:szCs w:val="20"/>
              </w:rPr>
              <w:t>-</w:t>
            </w:r>
            <w:r>
              <w:rPr>
                <w:rFonts w:ascii="宋体" w:hAnsi="宋体" w:cs="宋体"/>
                <w:snapToGrid w:val="0"/>
                <w:color w:val="auto"/>
                <w:spacing w:val="2"/>
                <w:kern w:val="0"/>
                <w:sz w:val="20"/>
                <w:szCs w:val="20"/>
              </w:rPr>
              <w:t>506m</w:t>
            </w:r>
            <w:r>
              <w:rPr>
                <w:rFonts w:hint="eastAsia" w:ascii="宋体" w:hAnsi="宋体" w:cs="宋体"/>
                <w:snapToGrid w:val="0"/>
                <w:color w:val="auto"/>
                <w:spacing w:val="2"/>
                <w:kern w:val="0"/>
                <w:sz w:val="20"/>
                <w:szCs w:val="20"/>
              </w:rPr>
              <w:t>破碎硐室</w:t>
            </w:r>
          </w:p>
        </w:tc>
        <w:tc>
          <w:tcPr>
            <w:tcW w:w="2528" w:type="dxa"/>
            <w:tcBorders>
              <w:left w:val="single" w:color="000000" w:sz="4" w:space="0"/>
            </w:tcBorders>
            <w:vAlign w:val="center"/>
          </w:tcPr>
          <w:p w14:paraId="32A8DB84">
            <w:pPr>
              <w:spacing w:before="103" w:line="193" w:lineRule="auto"/>
              <w:ind w:firstLine="0" w:firstLineChars="0"/>
              <w:jc w:val="center"/>
              <w:rPr>
                <w:rFonts w:hint="eastAsia" w:ascii="宋体" w:hAnsi="宋体" w:cs="宋体"/>
                <w:snapToGrid w:val="0"/>
                <w:color w:val="auto"/>
                <w:spacing w:val="7"/>
                <w:kern w:val="0"/>
                <w:sz w:val="20"/>
                <w:szCs w:val="20"/>
              </w:rPr>
            </w:pPr>
            <w:r>
              <w:rPr>
                <w:rFonts w:hint="eastAsia" w:ascii="宋体" w:hAnsi="宋体" w:cs="宋体"/>
                <w:snapToGrid w:val="0"/>
                <w:color w:val="auto"/>
                <w:spacing w:val="7"/>
                <w:kern w:val="0"/>
                <w:sz w:val="20"/>
                <w:szCs w:val="20"/>
              </w:rPr>
              <w:t>颚式破碎机</w:t>
            </w:r>
          </w:p>
        </w:tc>
        <w:tc>
          <w:tcPr>
            <w:tcW w:w="2348" w:type="dxa"/>
            <w:vAlign w:val="center"/>
          </w:tcPr>
          <w:p w14:paraId="12FA1FA3">
            <w:pPr>
              <w:spacing w:before="103" w:line="193" w:lineRule="auto"/>
              <w:ind w:firstLine="0" w:firstLineChars="0"/>
              <w:jc w:val="center"/>
              <w:rPr>
                <w:rFonts w:hint="eastAsia" w:ascii="宋体" w:hAnsi="宋体" w:cs="宋体"/>
                <w:snapToGrid w:val="0"/>
                <w:color w:val="auto"/>
                <w:spacing w:val="4"/>
                <w:kern w:val="0"/>
                <w:position w:val="1"/>
                <w:sz w:val="20"/>
                <w:szCs w:val="20"/>
              </w:rPr>
            </w:pPr>
            <w:r>
              <w:rPr>
                <w:rFonts w:ascii="宋体" w:hAnsi="宋体" w:cs="宋体"/>
                <w:snapToGrid w:val="0"/>
                <w:color w:val="auto"/>
                <w:spacing w:val="4"/>
                <w:kern w:val="0"/>
                <w:position w:val="1"/>
                <w:sz w:val="20"/>
                <w:szCs w:val="20"/>
              </w:rPr>
              <w:t>C116</w:t>
            </w:r>
            <w:r>
              <w:rPr>
                <w:rFonts w:hint="eastAsia" w:ascii="宋体" w:hAnsi="宋体" w:cs="宋体"/>
                <w:snapToGrid w:val="0"/>
                <w:color w:val="auto"/>
                <w:spacing w:val="4"/>
                <w:kern w:val="0"/>
                <w:position w:val="1"/>
                <w:sz w:val="20"/>
                <w:szCs w:val="20"/>
              </w:rPr>
              <w:t>型</w:t>
            </w:r>
          </w:p>
        </w:tc>
        <w:tc>
          <w:tcPr>
            <w:tcW w:w="763" w:type="dxa"/>
          </w:tcPr>
          <w:p w14:paraId="209C6B09">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1</w:t>
            </w:r>
          </w:p>
        </w:tc>
        <w:tc>
          <w:tcPr>
            <w:tcW w:w="1297" w:type="dxa"/>
            <w:tcBorders>
              <w:right w:val="single" w:color="000000" w:sz="10" w:space="0"/>
            </w:tcBorders>
          </w:tcPr>
          <w:p w14:paraId="2BC3024D">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4"/>
                <w:kern w:val="0"/>
                <w:sz w:val="20"/>
                <w:szCs w:val="20"/>
              </w:rPr>
              <w:t>新增</w:t>
            </w:r>
          </w:p>
        </w:tc>
      </w:tr>
      <w:tr w14:paraId="2E9F8B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36F7E681">
            <w:pPr>
              <w:spacing w:before="103" w:line="193" w:lineRule="auto"/>
              <w:ind w:firstLine="0" w:firstLineChars="0"/>
              <w:jc w:val="center"/>
              <w:rPr>
                <w:rFonts w:hint="eastAsia" w:ascii="宋体" w:hAnsi="宋体" w:cs="宋体"/>
                <w:snapToGrid w:val="0"/>
                <w:color w:val="auto"/>
                <w:spacing w:val="6"/>
                <w:kern w:val="0"/>
                <w:sz w:val="20"/>
                <w:szCs w:val="20"/>
              </w:rPr>
            </w:pPr>
            <w:r>
              <w:rPr>
                <w:rFonts w:hint="eastAsia" w:ascii="宋体" w:hAnsi="宋体" w:cs="宋体"/>
                <w:snapToGrid w:val="0"/>
                <w:color w:val="auto"/>
                <w:spacing w:val="6"/>
                <w:kern w:val="0"/>
                <w:sz w:val="20"/>
                <w:szCs w:val="20"/>
              </w:rPr>
              <w:t>43</w:t>
            </w:r>
          </w:p>
        </w:tc>
        <w:tc>
          <w:tcPr>
            <w:tcW w:w="1316" w:type="dxa"/>
            <w:vMerge w:val="continue"/>
            <w:tcBorders>
              <w:left w:val="single" w:color="000000" w:sz="4" w:space="0"/>
              <w:right w:val="single" w:color="000000" w:sz="4" w:space="0"/>
            </w:tcBorders>
            <w:vAlign w:val="center"/>
          </w:tcPr>
          <w:p w14:paraId="5F52C458">
            <w:pPr>
              <w:spacing w:before="103" w:line="193" w:lineRule="auto"/>
              <w:ind w:firstLine="0" w:firstLineChars="0"/>
              <w:jc w:val="center"/>
              <w:rPr>
                <w:rFonts w:hint="eastAsia" w:ascii="宋体" w:hAnsi="宋体" w:cs="宋体"/>
                <w:snapToGrid w:val="0"/>
                <w:color w:val="auto"/>
                <w:spacing w:val="6"/>
                <w:kern w:val="0"/>
                <w:sz w:val="20"/>
                <w:szCs w:val="20"/>
              </w:rPr>
            </w:pPr>
          </w:p>
        </w:tc>
        <w:tc>
          <w:tcPr>
            <w:tcW w:w="2528" w:type="dxa"/>
            <w:tcBorders>
              <w:left w:val="single" w:color="000000" w:sz="4" w:space="0"/>
            </w:tcBorders>
            <w:vAlign w:val="center"/>
          </w:tcPr>
          <w:p w14:paraId="054349E0">
            <w:pPr>
              <w:spacing w:before="103" w:line="193" w:lineRule="auto"/>
              <w:ind w:firstLine="0" w:firstLineChars="0"/>
              <w:jc w:val="center"/>
              <w:rPr>
                <w:rFonts w:hint="eastAsia" w:ascii="宋体" w:hAnsi="宋体" w:cs="宋体"/>
                <w:snapToGrid w:val="0"/>
                <w:color w:val="auto"/>
                <w:spacing w:val="7"/>
                <w:kern w:val="0"/>
                <w:sz w:val="20"/>
                <w:szCs w:val="20"/>
              </w:rPr>
            </w:pPr>
            <w:r>
              <w:rPr>
                <w:rFonts w:hint="eastAsia" w:ascii="宋体" w:hAnsi="宋体" w:cs="宋体"/>
                <w:snapToGrid w:val="0"/>
                <w:color w:val="auto"/>
                <w:spacing w:val="7"/>
                <w:kern w:val="0"/>
                <w:sz w:val="20"/>
                <w:szCs w:val="20"/>
              </w:rPr>
              <w:t>重型板式给矿机</w:t>
            </w:r>
          </w:p>
        </w:tc>
        <w:tc>
          <w:tcPr>
            <w:tcW w:w="2348" w:type="dxa"/>
            <w:vAlign w:val="center"/>
          </w:tcPr>
          <w:p w14:paraId="0175CB0E">
            <w:pPr>
              <w:spacing w:before="103" w:line="193" w:lineRule="auto"/>
              <w:ind w:firstLine="0" w:firstLineChars="0"/>
              <w:jc w:val="center"/>
              <w:rPr>
                <w:rFonts w:hint="eastAsia" w:ascii="宋体" w:hAnsi="宋体" w:cs="宋体"/>
                <w:snapToGrid w:val="0"/>
                <w:color w:val="auto"/>
                <w:spacing w:val="4"/>
                <w:kern w:val="0"/>
                <w:position w:val="1"/>
                <w:sz w:val="20"/>
                <w:szCs w:val="20"/>
              </w:rPr>
            </w:pPr>
            <w:r>
              <w:rPr>
                <w:rFonts w:hint="eastAsia" w:ascii="宋体" w:hAnsi="宋体" w:cs="宋体"/>
                <w:snapToGrid w:val="0"/>
                <w:color w:val="auto"/>
                <w:spacing w:val="4"/>
                <w:kern w:val="0"/>
                <w:position w:val="1"/>
                <w:sz w:val="20"/>
                <w:szCs w:val="20"/>
              </w:rPr>
              <w:t>8</w:t>
            </w:r>
            <w:r>
              <w:rPr>
                <w:rFonts w:ascii="宋体" w:hAnsi="宋体" w:cs="宋体"/>
                <w:snapToGrid w:val="0"/>
                <w:color w:val="auto"/>
                <w:spacing w:val="4"/>
                <w:kern w:val="0"/>
                <w:position w:val="1"/>
                <w:sz w:val="20"/>
                <w:szCs w:val="20"/>
              </w:rPr>
              <w:t>000</w:t>
            </w:r>
            <w:r>
              <w:rPr>
                <w:rFonts w:hint="eastAsia" w:ascii="宋体" w:hAnsi="宋体" w:cs="宋体"/>
                <w:snapToGrid w:val="0"/>
                <w:color w:val="auto"/>
                <w:spacing w:val="4"/>
                <w:kern w:val="0"/>
                <w:position w:val="1"/>
                <w:sz w:val="20"/>
                <w:szCs w:val="20"/>
              </w:rPr>
              <w:t>mm×宽</w:t>
            </w:r>
            <w:r>
              <w:rPr>
                <w:rFonts w:ascii="宋体" w:hAnsi="宋体" w:cs="宋体"/>
                <w:snapToGrid w:val="0"/>
                <w:color w:val="auto"/>
                <w:spacing w:val="4"/>
                <w:kern w:val="0"/>
                <w:position w:val="1"/>
                <w:sz w:val="20"/>
                <w:szCs w:val="20"/>
              </w:rPr>
              <w:t>1500</w:t>
            </w:r>
            <w:r>
              <w:rPr>
                <w:rFonts w:hint="eastAsia" w:ascii="宋体" w:hAnsi="宋体" w:cs="宋体"/>
                <w:snapToGrid w:val="0"/>
                <w:color w:val="auto"/>
                <w:spacing w:val="4"/>
                <w:kern w:val="0"/>
                <w:position w:val="1"/>
                <w:sz w:val="20"/>
                <w:szCs w:val="20"/>
              </w:rPr>
              <w:t>mm</w:t>
            </w:r>
          </w:p>
        </w:tc>
        <w:tc>
          <w:tcPr>
            <w:tcW w:w="763" w:type="dxa"/>
          </w:tcPr>
          <w:p w14:paraId="1EFB7FCD">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1</w:t>
            </w:r>
          </w:p>
        </w:tc>
        <w:tc>
          <w:tcPr>
            <w:tcW w:w="1297" w:type="dxa"/>
            <w:tcBorders>
              <w:right w:val="single" w:color="000000" w:sz="10" w:space="0"/>
            </w:tcBorders>
          </w:tcPr>
          <w:p w14:paraId="3162994A">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4"/>
                <w:kern w:val="0"/>
                <w:sz w:val="20"/>
                <w:szCs w:val="20"/>
              </w:rPr>
              <w:t>新增</w:t>
            </w:r>
          </w:p>
        </w:tc>
      </w:tr>
      <w:tr w14:paraId="7002CC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25C8575D">
            <w:pPr>
              <w:spacing w:before="103" w:line="193" w:lineRule="auto"/>
              <w:ind w:firstLine="0" w:firstLineChars="0"/>
              <w:jc w:val="center"/>
              <w:rPr>
                <w:rFonts w:hint="eastAsia" w:ascii="宋体" w:hAnsi="宋体" w:cs="宋体"/>
                <w:snapToGrid w:val="0"/>
                <w:color w:val="auto"/>
                <w:spacing w:val="6"/>
                <w:kern w:val="0"/>
                <w:sz w:val="20"/>
                <w:szCs w:val="20"/>
              </w:rPr>
            </w:pPr>
            <w:r>
              <w:rPr>
                <w:rFonts w:hint="eastAsia" w:ascii="宋体" w:hAnsi="宋体" w:cs="宋体"/>
                <w:snapToGrid w:val="0"/>
                <w:color w:val="auto"/>
                <w:spacing w:val="6"/>
                <w:kern w:val="0"/>
                <w:sz w:val="20"/>
                <w:szCs w:val="20"/>
              </w:rPr>
              <w:t>44</w:t>
            </w:r>
          </w:p>
        </w:tc>
        <w:tc>
          <w:tcPr>
            <w:tcW w:w="1316" w:type="dxa"/>
            <w:vMerge w:val="continue"/>
            <w:tcBorders>
              <w:left w:val="single" w:color="000000" w:sz="4" w:space="0"/>
              <w:right w:val="single" w:color="000000" w:sz="4" w:space="0"/>
            </w:tcBorders>
            <w:vAlign w:val="center"/>
          </w:tcPr>
          <w:p w14:paraId="11CC4B74">
            <w:pPr>
              <w:spacing w:before="103" w:line="193" w:lineRule="auto"/>
              <w:ind w:firstLine="0" w:firstLineChars="0"/>
              <w:jc w:val="center"/>
              <w:rPr>
                <w:rFonts w:hint="eastAsia" w:ascii="宋体" w:hAnsi="宋体" w:cs="宋体"/>
                <w:snapToGrid w:val="0"/>
                <w:color w:val="auto"/>
                <w:spacing w:val="6"/>
                <w:kern w:val="0"/>
                <w:sz w:val="20"/>
                <w:szCs w:val="20"/>
              </w:rPr>
            </w:pPr>
          </w:p>
        </w:tc>
        <w:tc>
          <w:tcPr>
            <w:tcW w:w="2528" w:type="dxa"/>
            <w:tcBorders>
              <w:left w:val="single" w:color="000000" w:sz="4" w:space="0"/>
            </w:tcBorders>
            <w:vAlign w:val="center"/>
          </w:tcPr>
          <w:p w14:paraId="65774B40">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WSCII-2.5</w:t>
            </w:r>
            <w:r>
              <w:rPr>
                <w:rFonts w:hint="eastAsia" w:ascii="宋体" w:hAnsi="宋体" w:cs="宋体"/>
                <w:snapToGrid w:val="0"/>
                <w:color w:val="auto"/>
                <w:spacing w:val="7"/>
                <w:kern w:val="0"/>
                <w:sz w:val="20"/>
                <w:szCs w:val="20"/>
              </w:rPr>
              <w:t>振弦水雾洗涤除尘器</w:t>
            </w:r>
          </w:p>
        </w:tc>
        <w:tc>
          <w:tcPr>
            <w:tcW w:w="2348" w:type="dxa"/>
            <w:vAlign w:val="center"/>
          </w:tcPr>
          <w:p w14:paraId="2C8EB33D">
            <w:pPr>
              <w:spacing w:before="103" w:line="193" w:lineRule="auto"/>
              <w:ind w:firstLine="0" w:firstLineChars="0"/>
              <w:jc w:val="center"/>
              <w:rPr>
                <w:rFonts w:hint="eastAsia" w:ascii="宋体" w:hAnsi="宋体" w:cs="宋体"/>
                <w:snapToGrid w:val="0"/>
                <w:color w:val="auto"/>
                <w:spacing w:val="4"/>
                <w:kern w:val="0"/>
                <w:position w:val="1"/>
                <w:sz w:val="20"/>
                <w:szCs w:val="20"/>
              </w:rPr>
            </w:pPr>
            <w:r>
              <w:rPr>
                <w:rFonts w:hint="eastAsia" w:ascii="宋体" w:hAnsi="宋体" w:cs="宋体"/>
                <w:snapToGrid w:val="0"/>
                <w:color w:val="auto"/>
                <w:spacing w:val="4"/>
                <w:kern w:val="0"/>
                <w:position w:val="1"/>
                <w:sz w:val="20"/>
                <w:szCs w:val="20"/>
              </w:rPr>
              <w:t>处理风量</w:t>
            </w:r>
            <w:r>
              <w:rPr>
                <w:rFonts w:ascii="宋体" w:hAnsi="宋体" w:cs="宋体"/>
                <w:snapToGrid w:val="0"/>
                <w:color w:val="auto"/>
                <w:spacing w:val="4"/>
                <w:kern w:val="0"/>
                <w:position w:val="1"/>
                <w:sz w:val="20"/>
                <w:szCs w:val="20"/>
              </w:rPr>
              <w:t>234</w:t>
            </w:r>
            <w:r>
              <w:rPr>
                <w:rFonts w:hint="eastAsia" w:ascii="宋体" w:hAnsi="宋体" w:cs="宋体"/>
                <w:snapToGrid w:val="0"/>
                <w:color w:val="auto"/>
                <w:spacing w:val="4"/>
                <w:kern w:val="0"/>
                <w:position w:val="1"/>
                <w:sz w:val="20"/>
                <w:szCs w:val="20"/>
              </w:rPr>
              <w:t>00m</w:t>
            </w:r>
            <w:r>
              <w:rPr>
                <w:rFonts w:hint="eastAsia" w:ascii="宋体" w:hAnsi="宋体" w:cs="宋体"/>
                <w:snapToGrid w:val="0"/>
                <w:color w:val="auto"/>
                <w:spacing w:val="4"/>
                <w:kern w:val="0"/>
                <w:position w:val="1"/>
                <w:sz w:val="20"/>
                <w:szCs w:val="20"/>
                <w:vertAlign w:val="superscript"/>
              </w:rPr>
              <w:t>3</w:t>
            </w:r>
            <w:r>
              <w:rPr>
                <w:rFonts w:hint="eastAsia" w:ascii="宋体" w:hAnsi="宋体" w:cs="宋体"/>
                <w:snapToGrid w:val="0"/>
                <w:color w:val="auto"/>
                <w:spacing w:val="4"/>
                <w:kern w:val="0"/>
                <w:position w:val="1"/>
                <w:sz w:val="20"/>
                <w:szCs w:val="20"/>
              </w:rPr>
              <w:t>/h</w:t>
            </w:r>
          </w:p>
        </w:tc>
        <w:tc>
          <w:tcPr>
            <w:tcW w:w="763" w:type="dxa"/>
          </w:tcPr>
          <w:p w14:paraId="797EEE98">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1</w:t>
            </w:r>
          </w:p>
        </w:tc>
        <w:tc>
          <w:tcPr>
            <w:tcW w:w="1297" w:type="dxa"/>
            <w:tcBorders>
              <w:right w:val="single" w:color="000000" w:sz="10" w:space="0"/>
            </w:tcBorders>
          </w:tcPr>
          <w:p w14:paraId="15942958">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4"/>
                <w:kern w:val="0"/>
                <w:sz w:val="20"/>
                <w:szCs w:val="20"/>
              </w:rPr>
              <w:t>新增</w:t>
            </w:r>
          </w:p>
        </w:tc>
      </w:tr>
      <w:tr w14:paraId="72C7DE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4B897006">
            <w:pPr>
              <w:spacing w:before="103" w:line="193" w:lineRule="auto"/>
              <w:ind w:firstLine="0" w:firstLineChars="0"/>
              <w:jc w:val="center"/>
              <w:rPr>
                <w:rFonts w:hint="eastAsia" w:ascii="宋体" w:hAnsi="宋体" w:cs="宋体"/>
                <w:snapToGrid w:val="0"/>
                <w:color w:val="auto"/>
                <w:spacing w:val="6"/>
                <w:kern w:val="0"/>
                <w:sz w:val="20"/>
                <w:szCs w:val="20"/>
              </w:rPr>
            </w:pPr>
            <w:r>
              <w:rPr>
                <w:rFonts w:hint="eastAsia" w:ascii="宋体" w:hAnsi="宋体" w:cs="宋体"/>
                <w:snapToGrid w:val="0"/>
                <w:color w:val="auto"/>
                <w:spacing w:val="6"/>
                <w:kern w:val="0"/>
                <w:sz w:val="20"/>
                <w:szCs w:val="20"/>
              </w:rPr>
              <w:t>45</w:t>
            </w:r>
          </w:p>
        </w:tc>
        <w:tc>
          <w:tcPr>
            <w:tcW w:w="1316" w:type="dxa"/>
            <w:vMerge w:val="continue"/>
            <w:tcBorders>
              <w:left w:val="single" w:color="000000" w:sz="4" w:space="0"/>
              <w:right w:val="single" w:color="000000" w:sz="4" w:space="0"/>
            </w:tcBorders>
            <w:vAlign w:val="center"/>
          </w:tcPr>
          <w:p w14:paraId="729B8333">
            <w:pPr>
              <w:spacing w:before="103" w:line="193" w:lineRule="auto"/>
              <w:ind w:firstLine="0" w:firstLineChars="0"/>
              <w:jc w:val="center"/>
              <w:rPr>
                <w:rFonts w:hint="eastAsia" w:ascii="宋体" w:hAnsi="宋体" w:cs="宋体"/>
                <w:snapToGrid w:val="0"/>
                <w:color w:val="auto"/>
                <w:spacing w:val="6"/>
                <w:kern w:val="0"/>
                <w:sz w:val="20"/>
                <w:szCs w:val="20"/>
              </w:rPr>
            </w:pPr>
          </w:p>
        </w:tc>
        <w:tc>
          <w:tcPr>
            <w:tcW w:w="2528" w:type="dxa"/>
            <w:vMerge w:val="restart"/>
            <w:tcBorders>
              <w:left w:val="single" w:color="000000" w:sz="4" w:space="0"/>
            </w:tcBorders>
            <w:vAlign w:val="center"/>
          </w:tcPr>
          <w:p w14:paraId="310B46B3">
            <w:pPr>
              <w:spacing w:before="103" w:line="193" w:lineRule="auto"/>
              <w:ind w:firstLine="0" w:firstLineChars="0"/>
              <w:jc w:val="center"/>
              <w:rPr>
                <w:rFonts w:hint="eastAsia" w:ascii="宋体" w:hAnsi="宋体" w:cs="宋体"/>
                <w:snapToGrid w:val="0"/>
                <w:color w:val="auto"/>
                <w:spacing w:val="7"/>
                <w:kern w:val="0"/>
                <w:sz w:val="20"/>
                <w:szCs w:val="20"/>
              </w:rPr>
            </w:pPr>
            <w:r>
              <w:rPr>
                <w:rFonts w:hint="eastAsia" w:ascii="宋体" w:hAnsi="宋体" w:cs="宋体"/>
                <w:snapToGrid w:val="0"/>
                <w:color w:val="auto"/>
                <w:spacing w:val="7"/>
                <w:kern w:val="0"/>
                <w:sz w:val="20"/>
                <w:szCs w:val="20"/>
              </w:rPr>
              <w:t>4-</w:t>
            </w:r>
            <w:r>
              <w:rPr>
                <w:rFonts w:ascii="宋体" w:hAnsi="宋体" w:cs="宋体"/>
                <w:snapToGrid w:val="0"/>
                <w:color w:val="auto"/>
                <w:spacing w:val="7"/>
                <w:kern w:val="0"/>
                <w:sz w:val="20"/>
                <w:szCs w:val="20"/>
              </w:rPr>
              <w:t>72</w:t>
            </w:r>
            <w:r>
              <w:rPr>
                <w:rFonts w:hint="eastAsia" w:ascii="宋体" w:hAnsi="宋体" w:cs="宋体"/>
                <w:snapToGrid w:val="0"/>
                <w:color w:val="auto"/>
                <w:spacing w:val="7"/>
                <w:kern w:val="0"/>
                <w:sz w:val="20"/>
                <w:szCs w:val="20"/>
              </w:rPr>
              <w:t>№.</w:t>
            </w:r>
            <w:r>
              <w:rPr>
                <w:rFonts w:ascii="宋体" w:hAnsi="宋体" w:cs="宋体"/>
                <w:snapToGrid w:val="0"/>
                <w:color w:val="auto"/>
                <w:spacing w:val="7"/>
                <w:kern w:val="0"/>
                <w:sz w:val="20"/>
                <w:szCs w:val="20"/>
              </w:rPr>
              <w:t>8</w:t>
            </w:r>
            <w:r>
              <w:rPr>
                <w:rFonts w:hint="eastAsia" w:ascii="宋体" w:hAnsi="宋体" w:cs="宋体"/>
                <w:snapToGrid w:val="0"/>
                <w:color w:val="auto"/>
                <w:spacing w:val="7"/>
                <w:kern w:val="0"/>
                <w:sz w:val="20"/>
                <w:szCs w:val="20"/>
              </w:rPr>
              <w:t>C</w:t>
            </w:r>
          </w:p>
          <w:p w14:paraId="53052061">
            <w:pPr>
              <w:spacing w:before="103" w:line="193" w:lineRule="auto"/>
              <w:ind w:firstLine="0" w:firstLineChars="0"/>
              <w:jc w:val="center"/>
              <w:rPr>
                <w:rFonts w:hint="eastAsia" w:ascii="宋体" w:hAnsi="宋体" w:cs="宋体"/>
                <w:snapToGrid w:val="0"/>
                <w:color w:val="auto"/>
                <w:spacing w:val="7"/>
                <w:kern w:val="0"/>
                <w:sz w:val="20"/>
                <w:szCs w:val="20"/>
              </w:rPr>
            </w:pPr>
            <w:r>
              <w:rPr>
                <w:rFonts w:hint="eastAsia" w:ascii="宋体" w:hAnsi="宋体" w:cs="宋体"/>
                <w:snapToGrid w:val="0"/>
                <w:color w:val="auto"/>
                <w:spacing w:val="7"/>
                <w:kern w:val="0"/>
                <w:sz w:val="20"/>
                <w:szCs w:val="20"/>
              </w:rPr>
              <w:t>离心通风机</w:t>
            </w:r>
          </w:p>
        </w:tc>
        <w:tc>
          <w:tcPr>
            <w:tcW w:w="2348" w:type="dxa"/>
            <w:vAlign w:val="center"/>
          </w:tcPr>
          <w:p w14:paraId="06B815F7">
            <w:pPr>
              <w:spacing w:before="103" w:line="193" w:lineRule="auto"/>
              <w:ind w:firstLine="0" w:firstLineChars="0"/>
              <w:jc w:val="center"/>
              <w:rPr>
                <w:rFonts w:hint="eastAsia" w:ascii="宋体" w:hAnsi="宋体" w:cs="宋体"/>
                <w:snapToGrid w:val="0"/>
                <w:color w:val="auto"/>
                <w:spacing w:val="4"/>
                <w:kern w:val="0"/>
                <w:position w:val="1"/>
                <w:sz w:val="20"/>
                <w:szCs w:val="20"/>
              </w:rPr>
            </w:pPr>
            <w:r>
              <w:rPr>
                <w:rFonts w:hint="eastAsia" w:ascii="宋体" w:hAnsi="宋体" w:cs="宋体"/>
                <w:snapToGrid w:val="0"/>
                <w:color w:val="auto"/>
                <w:spacing w:val="4"/>
                <w:kern w:val="0"/>
                <w:position w:val="1"/>
                <w:sz w:val="20"/>
                <w:szCs w:val="20"/>
              </w:rPr>
              <w:t>流量</w:t>
            </w:r>
            <w:r>
              <w:rPr>
                <w:rFonts w:ascii="宋体" w:hAnsi="宋体" w:cs="宋体"/>
                <w:snapToGrid w:val="0"/>
                <w:color w:val="auto"/>
                <w:spacing w:val="4"/>
                <w:kern w:val="0"/>
                <w:position w:val="1"/>
                <w:sz w:val="20"/>
                <w:szCs w:val="20"/>
              </w:rPr>
              <w:t>22511</w:t>
            </w:r>
            <w:r>
              <w:rPr>
                <w:rFonts w:hint="eastAsia" w:ascii="宋体" w:hAnsi="宋体" w:cs="宋体"/>
                <w:snapToGrid w:val="0"/>
                <w:color w:val="auto"/>
                <w:spacing w:val="4"/>
                <w:kern w:val="0"/>
                <w:position w:val="1"/>
                <w:sz w:val="20"/>
                <w:szCs w:val="20"/>
              </w:rPr>
              <w:t>m3/h</w:t>
            </w:r>
          </w:p>
        </w:tc>
        <w:tc>
          <w:tcPr>
            <w:tcW w:w="763" w:type="dxa"/>
          </w:tcPr>
          <w:p w14:paraId="5F2F4759">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1</w:t>
            </w:r>
          </w:p>
        </w:tc>
        <w:tc>
          <w:tcPr>
            <w:tcW w:w="1297" w:type="dxa"/>
            <w:tcBorders>
              <w:right w:val="single" w:color="000000" w:sz="10" w:space="0"/>
            </w:tcBorders>
          </w:tcPr>
          <w:p w14:paraId="33D0F806">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4"/>
                <w:kern w:val="0"/>
                <w:sz w:val="20"/>
                <w:szCs w:val="20"/>
              </w:rPr>
              <w:t>新增</w:t>
            </w:r>
          </w:p>
        </w:tc>
      </w:tr>
      <w:tr w14:paraId="092AC9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4E7B41DD">
            <w:pPr>
              <w:spacing w:before="103" w:line="193" w:lineRule="auto"/>
              <w:ind w:firstLine="0" w:firstLineChars="0"/>
              <w:jc w:val="center"/>
              <w:rPr>
                <w:rFonts w:hint="eastAsia" w:ascii="宋体" w:hAnsi="宋体" w:cs="宋体"/>
                <w:snapToGrid w:val="0"/>
                <w:color w:val="auto"/>
                <w:spacing w:val="6"/>
                <w:kern w:val="0"/>
                <w:sz w:val="20"/>
                <w:szCs w:val="20"/>
              </w:rPr>
            </w:pPr>
            <w:r>
              <w:rPr>
                <w:rFonts w:hint="eastAsia" w:ascii="宋体" w:hAnsi="宋体" w:cs="宋体"/>
                <w:snapToGrid w:val="0"/>
                <w:color w:val="auto"/>
                <w:spacing w:val="6"/>
                <w:kern w:val="0"/>
                <w:sz w:val="20"/>
                <w:szCs w:val="20"/>
              </w:rPr>
              <w:t>46</w:t>
            </w:r>
          </w:p>
        </w:tc>
        <w:tc>
          <w:tcPr>
            <w:tcW w:w="1316" w:type="dxa"/>
            <w:vMerge w:val="continue"/>
            <w:tcBorders>
              <w:left w:val="single" w:color="000000" w:sz="4" w:space="0"/>
              <w:bottom w:val="single" w:color="000000" w:sz="4" w:space="0"/>
              <w:right w:val="single" w:color="000000" w:sz="4" w:space="0"/>
            </w:tcBorders>
            <w:vAlign w:val="center"/>
          </w:tcPr>
          <w:p w14:paraId="699A9054">
            <w:pPr>
              <w:spacing w:before="103" w:line="193" w:lineRule="auto"/>
              <w:ind w:firstLine="0" w:firstLineChars="0"/>
              <w:jc w:val="center"/>
              <w:rPr>
                <w:rFonts w:hint="eastAsia" w:ascii="宋体" w:hAnsi="宋体" w:cs="宋体"/>
                <w:snapToGrid w:val="0"/>
                <w:color w:val="auto"/>
                <w:spacing w:val="6"/>
                <w:kern w:val="0"/>
                <w:sz w:val="20"/>
                <w:szCs w:val="20"/>
              </w:rPr>
            </w:pPr>
          </w:p>
        </w:tc>
        <w:tc>
          <w:tcPr>
            <w:tcW w:w="2528" w:type="dxa"/>
            <w:vMerge w:val="continue"/>
            <w:tcBorders>
              <w:left w:val="single" w:color="000000" w:sz="4" w:space="0"/>
            </w:tcBorders>
          </w:tcPr>
          <w:p w14:paraId="699FC692">
            <w:pPr>
              <w:spacing w:before="103" w:line="193" w:lineRule="auto"/>
              <w:ind w:firstLine="0" w:firstLineChars="0"/>
              <w:jc w:val="center"/>
              <w:rPr>
                <w:rFonts w:hint="eastAsia" w:ascii="宋体" w:hAnsi="宋体" w:cs="宋体"/>
                <w:snapToGrid w:val="0"/>
                <w:color w:val="auto"/>
                <w:spacing w:val="7"/>
                <w:kern w:val="0"/>
                <w:sz w:val="20"/>
                <w:szCs w:val="20"/>
              </w:rPr>
            </w:pPr>
          </w:p>
        </w:tc>
        <w:tc>
          <w:tcPr>
            <w:tcW w:w="2348" w:type="dxa"/>
            <w:vAlign w:val="center"/>
          </w:tcPr>
          <w:p w14:paraId="3191C9FF">
            <w:pPr>
              <w:spacing w:before="103" w:line="193" w:lineRule="auto"/>
              <w:ind w:firstLine="0" w:firstLineChars="0"/>
              <w:jc w:val="center"/>
              <w:rPr>
                <w:rFonts w:hint="eastAsia" w:ascii="宋体" w:hAnsi="宋体" w:cs="宋体"/>
                <w:snapToGrid w:val="0"/>
                <w:color w:val="auto"/>
                <w:spacing w:val="4"/>
                <w:kern w:val="0"/>
                <w:position w:val="1"/>
                <w:sz w:val="20"/>
                <w:szCs w:val="20"/>
              </w:rPr>
            </w:pPr>
            <w:r>
              <w:rPr>
                <w:rFonts w:hint="eastAsia" w:ascii="宋体" w:hAnsi="宋体" w:cs="宋体"/>
                <w:snapToGrid w:val="0"/>
                <w:color w:val="auto"/>
                <w:spacing w:val="4"/>
                <w:kern w:val="0"/>
                <w:position w:val="1"/>
                <w:sz w:val="20"/>
                <w:szCs w:val="20"/>
              </w:rPr>
              <w:t>全压</w:t>
            </w:r>
            <w:r>
              <w:rPr>
                <w:rFonts w:ascii="宋体" w:hAnsi="宋体" w:cs="宋体"/>
                <w:snapToGrid w:val="0"/>
                <w:color w:val="auto"/>
                <w:spacing w:val="4"/>
                <w:kern w:val="0"/>
                <w:position w:val="1"/>
                <w:sz w:val="20"/>
                <w:szCs w:val="20"/>
              </w:rPr>
              <w:t>3101</w:t>
            </w:r>
            <w:r>
              <w:rPr>
                <w:rFonts w:hint="eastAsia" w:ascii="宋体" w:hAnsi="宋体" w:cs="宋体"/>
                <w:snapToGrid w:val="0"/>
                <w:color w:val="auto"/>
                <w:spacing w:val="4"/>
                <w:kern w:val="0"/>
                <w:position w:val="1"/>
                <w:sz w:val="20"/>
                <w:szCs w:val="20"/>
              </w:rPr>
              <w:t>Pa</w:t>
            </w:r>
          </w:p>
        </w:tc>
        <w:tc>
          <w:tcPr>
            <w:tcW w:w="763" w:type="dxa"/>
          </w:tcPr>
          <w:p w14:paraId="40FF1840">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1</w:t>
            </w:r>
          </w:p>
        </w:tc>
        <w:tc>
          <w:tcPr>
            <w:tcW w:w="1297" w:type="dxa"/>
            <w:tcBorders>
              <w:right w:val="single" w:color="000000" w:sz="10" w:space="0"/>
            </w:tcBorders>
          </w:tcPr>
          <w:p w14:paraId="15521636">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4"/>
                <w:kern w:val="0"/>
                <w:sz w:val="20"/>
                <w:szCs w:val="20"/>
              </w:rPr>
              <w:t>新增</w:t>
            </w:r>
          </w:p>
        </w:tc>
      </w:tr>
      <w:tr w14:paraId="58C18D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3FF1AEB5">
            <w:pPr>
              <w:spacing w:before="103" w:line="193" w:lineRule="auto"/>
              <w:ind w:firstLine="0" w:firstLineChars="0"/>
              <w:jc w:val="center"/>
              <w:rPr>
                <w:rFonts w:hint="eastAsia" w:ascii="宋体" w:hAnsi="宋体" w:cs="宋体"/>
                <w:snapToGrid w:val="0"/>
                <w:color w:val="auto"/>
                <w:spacing w:val="6"/>
                <w:kern w:val="0"/>
                <w:sz w:val="20"/>
                <w:szCs w:val="20"/>
              </w:rPr>
            </w:pPr>
            <w:r>
              <w:rPr>
                <w:rFonts w:hint="eastAsia" w:ascii="宋体" w:hAnsi="宋体" w:cs="宋体"/>
                <w:snapToGrid w:val="0"/>
                <w:color w:val="auto"/>
                <w:spacing w:val="6"/>
                <w:kern w:val="0"/>
                <w:sz w:val="20"/>
                <w:szCs w:val="20"/>
              </w:rPr>
              <w:t>47</w:t>
            </w:r>
          </w:p>
        </w:tc>
        <w:tc>
          <w:tcPr>
            <w:tcW w:w="1316" w:type="dxa"/>
            <w:vMerge w:val="restart"/>
            <w:tcBorders>
              <w:top w:val="single" w:color="000000" w:sz="4" w:space="0"/>
              <w:left w:val="single" w:color="000000" w:sz="4" w:space="0"/>
              <w:right w:val="single" w:color="000000" w:sz="4" w:space="0"/>
            </w:tcBorders>
            <w:vAlign w:val="center"/>
          </w:tcPr>
          <w:p w14:paraId="35C82EFF">
            <w:pPr>
              <w:spacing w:before="72" w:line="190" w:lineRule="auto"/>
              <w:ind w:firstLine="0" w:firstLineChars="0"/>
              <w:jc w:val="center"/>
              <w:rPr>
                <w:rFonts w:hint="eastAsia" w:ascii="宋体" w:hAnsi="宋体" w:cs="宋体"/>
                <w:snapToGrid w:val="0"/>
                <w:color w:val="auto"/>
                <w:spacing w:val="6"/>
                <w:kern w:val="0"/>
                <w:sz w:val="20"/>
                <w:szCs w:val="20"/>
              </w:rPr>
            </w:pPr>
            <w:r>
              <w:rPr>
                <w:rFonts w:hint="eastAsia" w:ascii="宋体" w:hAnsi="宋体" w:cs="宋体"/>
                <w:snapToGrid w:val="0"/>
                <w:color w:val="auto"/>
                <w:spacing w:val="6"/>
                <w:kern w:val="0"/>
                <w:sz w:val="20"/>
                <w:szCs w:val="20"/>
              </w:rPr>
              <w:t>-</w:t>
            </w:r>
            <w:r>
              <w:rPr>
                <w:rFonts w:ascii="宋体" w:hAnsi="宋体" w:cs="宋体"/>
                <w:snapToGrid w:val="0"/>
                <w:color w:val="auto"/>
                <w:spacing w:val="6"/>
                <w:kern w:val="0"/>
                <w:sz w:val="20"/>
                <w:szCs w:val="20"/>
              </w:rPr>
              <w:t>450m</w:t>
            </w:r>
            <w:r>
              <w:rPr>
                <w:rFonts w:hint="eastAsia" w:ascii="宋体" w:hAnsi="宋体" w:cs="宋体"/>
                <w:snapToGrid w:val="0"/>
                <w:color w:val="auto"/>
                <w:spacing w:val="6"/>
                <w:kern w:val="0"/>
                <w:sz w:val="20"/>
                <w:szCs w:val="20"/>
              </w:rPr>
              <w:t>头轮除尘硐室</w:t>
            </w:r>
          </w:p>
        </w:tc>
        <w:tc>
          <w:tcPr>
            <w:tcW w:w="2528" w:type="dxa"/>
            <w:tcBorders>
              <w:left w:val="single" w:color="000000" w:sz="4" w:space="0"/>
            </w:tcBorders>
            <w:vAlign w:val="center"/>
          </w:tcPr>
          <w:p w14:paraId="5BBFACED">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WSCII-1.0</w:t>
            </w:r>
            <w:r>
              <w:rPr>
                <w:rFonts w:hint="eastAsia" w:ascii="宋体" w:hAnsi="宋体" w:cs="宋体"/>
                <w:snapToGrid w:val="0"/>
                <w:color w:val="auto"/>
                <w:spacing w:val="7"/>
                <w:kern w:val="0"/>
                <w:sz w:val="20"/>
                <w:szCs w:val="20"/>
              </w:rPr>
              <w:t>振弦水雾洗涤除尘器</w:t>
            </w:r>
          </w:p>
        </w:tc>
        <w:tc>
          <w:tcPr>
            <w:tcW w:w="2348" w:type="dxa"/>
            <w:vAlign w:val="center"/>
          </w:tcPr>
          <w:p w14:paraId="6359D417">
            <w:pPr>
              <w:spacing w:before="103" w:line="193" w:lineRule="auto"/>
              <w:ind w:firstLine="0" w:firstLineChars="0"/>
              <w:jc w:val="center"/>
              <w:rPr>
                <w:rFonts w:hint="eastAsia" w:ascii="宋体" w:hAnsi="宋体" w:cs="宋体"/>
                <w:snapToGrid w:val="0"/>
                <w:color w:val="auto"/>
                <w:spacing w:val="4"/>
                <w:kern w:val="0"/>
                <w:position w:val="1"/>
                <w:sz w:val="20"/>
                <w:szCs w:val="20"/>
              </w:rPr>
            </w:pPr>
            <w:r>
              <w:rPr>
                <w:rFonts w:hint="eastAsia" w:ascii="宋体" w:hAnsi="宋体" w:cs="宋体"/>
                <w:snapToGrid w:val="0"/>
                <w:color w:val="auto"/>
                <w:spacing w:val="4"/>
                <w:kern w:val="0"/>
                <w:position w:val="1"/>
                <w:sz w:val="20"/>
                <w:szCs w:val="20"/>
              </w:rPr>
              <w:t>处理风量</w:t>
            </w:r>
            <w:r>
              <w:rPr>
                <w:rFonts w:ascii="宋体" w:hAnsi="宋体" w:cs="宋体"/>
                <w:snapToGrid w:val="0"/>
                <w:color w:val="auto"/>
                <w:spacing w:val="4"/>
                <w:kern w:val="0"/>
                <w:position w:val="1"/>
                <w:sz w:val="20"/>
                <w:szCs w:val="20"/>
              </w:rPr>
              <w:t>1000</w:t>
            </w:r>
            <w:r>
              <w:rPr>
                <w:rFonts w:hint="eastAsia" w:ascii="宋体" w:hAnsi="宋体" w:cs="宋体"/>
                <w:snapToGrid w:val="0"/>
                <w:color w:val="auto"/>
                <w:spacing w:val="4"/>
                <w:kern w:val="0"/>
                <w:position w:val="1"/>
                <w:sz w:val="20"/>
                <w:szCs w:val="20"/>
              </w:rPr>
              <w:t>0m</w:t>
            </w:r>
            <w:r>
              <w:rPr>
                <w:rFonts w:hint="eastAsia" w:ascii="宋体" w:hAnsi="宋体" w:cs="宋体"/>
                <w:snapToGrid w:val="0"/>
                <w:color w:val="auto"/>
                <w:spacing w:val="4"/>
                <w:kern w:val="0"/>
                <w:position w:val="1"/>
                <w:sz w:val="20"/>
                <w:szCs w:val="20"/>
                <w:vertAlign w:val="superscript"/>
              </w:rPr>
              <w:t>3</w:t>
            </w:r>
            <w:r>
              <w:rPr>
                <w:rFonts w:hint="eastAsia" w:ascii="宋体" w:hAnsi="宋体" w:cs="宋体"/>
                <w:snapToGrid w:val="0"/>
                <w:color w:val="auto"/>
                <w:spacing w:val="4"/>
                <w:kern w:val="0"/>
                <w:position w:val="1"/>
                <w:sz w:val="20"/>
                <w:szCs w:val="20"/>
              </w:rPr>
              <w:t>/h</w:t>
            </w:r>
          </w:p>
        </w:tc>
        <w:tc>
          <w:tcPr>
            <w:tcW w:w="763" w:type="dxa"/>
          </w:tcPr>
          <w:p w14:paraId="082A67F3">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1</w:t>
            </w:r>
          </w:p>
        </w:tc>
        <w:tc>
          <w:tcPr>
            <w:tcW w:w="1297" w:type="dxa"/>
            <w:tcBorders>
              <w:right w:val="single" w:color="000000" w:sz="10" w:space="0"/>
            </w:tcBorders>
          </w:tcPr>
          <w:p w14:paraId="5DE296D7">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4"/>
                <w:kern w:val="0"/>
                <w:sz w:val="20"/>
                <w:szCs w:val="20"/>
              </w:rPr>
              <w:t>新增</w:t>
            </w:r>
          </w:p>
        </w:tc>
      </w:tr>
      <w:tr w14:paraId="6C623B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6B375FCB">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48</w:t>
            </w:r>
          </w:p>
        </w:tc>
        <w:tc>
          <w:tcPr>
            <w:tcW w:w="1316" w:type="dxa"/>
            <w:vMerge w:val="continue"/>
            <w:tcBorders>
              <w:left w:val="single" w:color="000000" w:sz="4" w:space="0"/>
              <w:right w:val="single" w:color="000000" w:sz="4" w:space="0"/>
            </w:tcBorders>
          </w:tcPr>
          <w:p w14:paraId="4662DC4B">
            <w:pPr>
              <w:spacing w:before="103" w:line="193" w:lineRule="auto"/>
              <w:ind w:firstLine="0" w:firstLineChars="0"/>
              <w:jc w:val="center"/>
              <w:rPr>
                <w:rFonts w:hint="eastAsia" w:ascii="宋体" w:hAnsi="宋体" w:cs="宋体"/>
                <w:snapToGrid w:val="0"/>
                <w:color w:val="auto"/>
                <w:spacing w:val="7"/>
                <w:kern w:val="0"/>
                <w:sz w:val="20"/>
                <w:szCs w:val="20"/>
              </w:rPr>
            </w:pPr>
          </w:p>
        </w:tc>
        <w:tc>
          <w:tcPr>
            <w:tcW w:w="2528" w:type="dxa"/>
            <w:vMerge w:val="restart"/>
            <w:tcBorders>
              <w:left w:val="single" w:color="000000" w:sz="4" w:space="0"/>
            </w:tcBorders>
            <w:vAlign w:val="center"/>
          </w:tcPr>
          <w:p w14:paraId="3CCB78E2">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7"/>
                <w:kern w:val="0"/>
                <w:sz w:val="20"/>
                <w:szCs w:val="20"/>
              </w:rPr>
              <w:t>4-72№.6C</w:t>
            </w:r>
          </w:p>
          <w:p w14:paraId="59A9F24D">
            <w:pPr>
              <w:spacing w:before="103" w:line="193" w:lineRule="auto"/>
              <w:ind w:firstLine="0" w:firstLineChars="0"/>
              <w:jc w:val="center"/>
              <w:rPr>
                <w:rFonts w:hint="eastAsia" w:ascii="宋体" w:hAnsi="宋体" w:cs="宋体"/>
                <w:snapToGrid w:val="0"/>
                <w:color w:val="auto"/>
                <w:spacing w:val="7"/>
                <w:kern w:val="0"/>
                <w:sz w:val="20"/>
                <w:szCs w:val="20"/>
              </w:rPr>
            </w:pPr>
            <w:r>
              <w:rPr>
                <w:rFonts w:hint="eastAsia" w:ascii="宋体" w:hAnsi="宋体" w:cs="宋体"/>
                <w:snapToGrid w:val="0"/>
                <w:color w:val="auto"/>
                <w:spacing w:val="7"/>
                <w:kern w:val="0"/>
                <w:sz w:val="20"/>
                <w:szCs w:val="20"/>
              </w:rPr>
              <w:t>离心通风机</w:t>
            </w:r>
          </w:p>
        </w:tc>
        <w:tc>
          <w:tcPr>
            <w:tcW w:w="2348" w:type="dxa"/>
            <w:vAlign w:val="center"/>
          </w:tcPr>
          <w:p w14:paraId="67C151A2">
            <w:pPr>
              <w:spacing w:before="103" w:line="193" w:lineRule="auto"/>
              <w:ind w:firstLine="0" w:firstLineChars="0"/>
              <w:jc w:val="center"/>
              <w:rPr>
                <w:rFonts w:hint="eastAsia" w:ascii="宋体" w:hAnsi="宋体" w:cs="宋体"/>
                <w:snapToGrid w:val="0"/>
                <w:color w:val="auto"/>
                <w:spacing w:val="4"/>
                <w:kern w:val="0"/>
                <w:position w:val="1"/>
                <w:sz w:val="20"/>
                <w:szCs w:val="20"/>
              </w:rPr>
            </w:pPr>
            <w:r>
              <w:rPr>
                <w:rFonts w:hint="eastAsia" w:ascii="宋体" w:hAnsi="宋体" w:cs="宋体"/>
                <w:snapToGrid w:val="0"/>
                <w:color w:val="auto"/>
                <w:spacing w:val="4"/>
                <w:kern w:val="0"/>
                <w:position w:val="1"/>
                <w:sz w:val="20"/>
                <w:szCs w:val="20"/>
              </w:rPr>
              <w:t>流量</w:t>
            </w:r>
            <w:r>
              <w:rPr>
                <w:rFonts w:ascii="宋体" w:hAnsi="宋体" w:cs="宋体"/>
                <w:snapToGrid w:val="0"/>
                <w:color w:val="auto"/>
                <w:spacing w:val="4"/>
                <w:kern w:val="0"/>
                <w:position w:val="1"/>
                <w:sz w:val="20"/>
                <w:szCs w:val="20"/>
              </w:rPr>
              <w:t>10314</w:t>
            </w:r>
            <w:r>
              <w:rPr>
                <w:rFonts w:hint="eastAsia" w:ascii="宋体" w:hAnsi="宋体" w:cs="宋体"/>
                <w:snapToGrid w:val="0"/>
                <w:color w:val="auto"/>
                <w:spacing w:val="4"/>
                <w:kern w:val="0"/>
                <w:position w:val="1"/>
                <w:sz w:val="20"/>
                <w:szCs w:val="20"/>
              </w:rPr>
              <w:t>m</w:t>
            </w:r>
            <w:r>
              <w:rPr>
                <w:rFonts w:hint="eastAsia" w:ascii="宋体" w:hAnsi="宋体" w:cs="宋体"/>
                <w:snapToGrid w:val="0"/>
                <w:color w:val="auto"/>
                <w:spacing w:val="4"/>
                <w:kern w:val="0"/>
                <w:position w:val="1"/>
                <w:sz w:val="20"/>
                <w:szCs w:val="20"/>
                <w:vertAlign w:val="superscript"/>
              </w:rPr>
              <w:t>3</w:t>
            </w:r>
            <w:r>
              <w:rPr>
                <w:rFonts w:hint="eastAsia" w:ascii="宋体" w:hAnsi="宋体" w:cs="宋体"/>
                <w:snapToGrid w:val="0"/>
                <w:color w:val="auto"/>
                <w:spacing w:val="4"/>
                <w:kern w:val="0"/>
                <w:position w:val="1"/>
                <w:sz w:val="20"/>
                <w:szCs w:val="20"/>
              </w:rPr>
              <w:t>/h</w:t>
            </w:r>
          </w:p>
        </w:tc>
        <w:tc>
          <w:tcPr>
            <w:tcW w:w="763" w:type="dxa"/>
          </w:tcPr>
          <w:p w14:paraId="7E658FA3">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1</w:t>
            </w:r>
          </w:p>
        </w:tc>
        <w:tc>
          <w:tcPr>
            <w:tcW w:w="1297" w:type="dxa"/>
            <w:tcBorders>
              <w:right w:val="single" w:color="000000" w:sz="10" w:space="0"/>
            </w:tcBorders>
          </w:tcPr>
          <w:p w14:paraId="19444D9D">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4"/>
                <w:kern w:val="0"/>
                <w:sz w:val="20"/>
                <w:szCs w:val="20"/>
              </w:rPr>
              <w:t>新增</w:t>
            </w:r>
          </w:p>
        </w:tc>
      </w:tr>
      <w:tr w14:paraId="76AA36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698" w:type="dxa"/>
            <w:tcBorders>
              <w:left w:val="single" w:color="000000" w:sz="10" w:space="0"/>
              <w:right w:val="single" w:color="000000" w:sz="4" w:space="0"/>
            </w:tcBorders>
          </w:tcPr>
          <w:p w14:paraId="448DB6D4">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49</w:t>
            </w:r>
          </w:p>
        </w:tc>
        <w:tc>
          <w:tcPr>
            <w:tcW w:w="1316" w:type="dxa"/>
            <w:vMerge w:val="continue"/>
            <w:tcBorders>
              <w:left w:val="single" w:color="000000" w:sz="4" w:space="0"/>
              <w:bottom w:val="single" w:color="000000" w:sz="4" w:space="0"/>
              <w:right w:val="single" w:color="000000" w:sz="4" w:space="0"/>
            </w:tcBorders>
          </w:tcPr>
          <w:p w14:paraId="0BABC0C1">
            <w:pPr>
              <w:spacing w:before="103" w:line="193" w:lineRule="auto"/>
              <w:ind w:firstLine="0" w:firstLineChars="0"/>
              <w:jc w:val="center"/>
              <w:rPr>
                <w:rFonts w:hint="eastAsia" w:ascii="宋体" w:hAnsi="宋体" w:cs="宋体"/>
                <w:snapToGrid w:val="0"/>
                <w:color w:val="auto"/>
                <w:spacing w:val="7"/>
                <w:kern w:val="0"/>
                <w:sz w:val="20"/>
                <w:szCs w:val="20"/>
              </w:rPr>
            </w:pPr>
          </w:p>
        </w:tc>
        <w:tc>
          <w:tcPr>
            <w:tcW w:w="2528" w:type="dxa"/>
            <w:vMerge w:val="continue"/>
            <w:tcBorders>
              <w:left w:val="single" w:color="000000" w:sz="4" w:space="0"/>
            </w:tcBorders>
          </w:tcPr>
          <w:p w14:paraId="570E6881">
            <w:pPr>
              <w:spacing w:before="103" w:line="193" w:lineRule="auto"/>
              <w:ind w:firstLine="0" w:firstLineChars="0"/>
              <w:jc w:val="center"/>
              <w:rPr>
                <w:rFonts w:hint="eastAsia" w:ascii="宋体" w:hAnsi="宋体" w:cs="宋体"/>
                <w:snapToGrid w:val="0"/>
                <w:color w:val="auto"/>
                <w:spacing w:val="7"/>
                <w:kern w:val="0"/>
                <w:sz w:val="20"/>
                <w:szCs w:val="20"/>
              </w:rPr>
            </w:pPr>
          </w:p>
        </w:tc>
        <w:tc>
          <w:tcPr>
            <w:tcW w:w="2348" w:type="dxa"/>
            <w:vAlign w:val="center"/>
          </w:tcPr>
          <w:p w14:paraId="5ECC0623">
            <w:pPr>
              <w:spacing w:before="103" w:line="193" w:lineRule="auto"/>
              <w:ind w:firstLine="0" w:firstLineChars="0"/>
              <w:jc w:val="center"/>
              <w:rPr>
                <w:rFonts w:hint="eastAsia" w:ascii="宋体" w:hAnsi="宋体" w:cs="宋体"/>
                <w:snapToGrid w:val="0"/>
                <w:color w:val="auto"/>
                <w:spacing w:val="4"/>
                <w:kern w:val="0"/>
                <w:position w:val="1"/>
                <w:sz w:val="20"/>
                <w:szCs w:val="20"/>
              </w:rPr>
            </w:pPr>
            <w:r>
              <w:rPr>
                <w:rFonts w:hint="eastAsia" w:ascii="宋体" w:hAnsi="宋体" w:cs="宋体"/>
                <w:snapToGrid w:val="0"/>
                <w:color w:val="auto"/>
                <w:spacing w:val="4"/>
                <w:kern w:val="0"/>
                <w:position w:val="1"/>
                <w:sz w:val="20"/>
                <w:szCs w:val="20"/>
              </w:rPr>
              <w:t>全压</w:t>
            </w:r>
            <w:r>
              <w:rPr>
                <w:rFonts w:ascii="宋体" w:hAnsi="宋体" w:cs="宋体"/>
                <w:snapToGrid w:val="0"/>
                <w:color w:val="auto"/>
                <w:spacing w:val="4"/>
                <w:kern w:val="0"/>
                <w:position w:val="1"/>
                <w:sz w:val="20"/>
                <w:szCs w:val="20"/>
              </w:rPr>
              <w:t>2734</w:t>
            </w:r>
            <w:r>
              <w:rPr>
                <w:rFonts w:hint="eastAsia" w:ascii="宋体" w:hAnsi="宋体" w:cs="宋体"/>
                <w:snapToGrid w:val="0"/>
                <w:color w:val="auto"/>
                <w:spacing w:val="4"/>
                <w:kern w:val="0"/>
                <w:position w:val="1"/>
                <w:sz w:val="20"/>
                <w:szCs w:val="20"/>
              </w:rPr>
              <w:t>Pa</w:t>
            </w:r>
          </w:p>
        </w:tc>
        <w:tc>
          <w:tcPr>
            <w:tcW w:w="763" w:type="dxa"/>
          </w:tcPr>
          <w:p w14:paraId="54144E6C">
            <w:pPr>
              <w:spacing w:before="103" w:line="193" w:lineRule="auto"/>
              <w:ind w:firstLine="0" w:firstLineChars="0"/>
              <w:jc w:val="center"/>
              <w:rPr>
                <w:rFonts w:hint="eastAsia" w:ascii="宋体" w:hAnsi="宋体" w:cs="宋体"/>
                <w:snapToGrid w:val="0"/>
                <w:color w:val="auto"/>
                <w:kern w:val="0"/>
                <w:sz w:val="20"/>
                <w:szCs w:val="20"/>
              </w:rPr>
            </w:pPr>
            <w:r>
              <w:rPr>
                <w:rFonts w:hint="eastAsia" w:ascii="宋体" w:hAnsi="宋体" w:cs="宋体"/>
                <w:snapToGrid w:val="0"/>
                <w:color w:val="auto"/>
                <w:kern w:val="0"/>
                <w:sz w:val="20"/>
                <w:szCs w:val="20"/>
              </w:rPr>
              <w:t>1</w:t>
            </w:r>
          </w:p>
        </w:tc>
        <w:tc>
          <w:tcPr>
            <w:tcW w:w="1297" w:type="dxa"/>
            <w:tcBorders>
              <w:right w:val="single" w:color="000000" w:sz="10" w:space="0"/>
            </w:tcBorders>
          </w:tcPr>
          <w:p w14:paraId="2A1159AE">
            <w:pPr>
              <w:spacing w:before="103" w:line="193" w:lineRule="auto"/>
              <w:ind w:firstLine="0" w:firstLineChars="0"/>
              <w:jc w:val="center"/>
              <w:rPr>
                <w:rFonts w:hint="eastAsia" w:ascii="宋体" w:hAnsi="宋体" w:cs="宋体"/>
                <w:snapToGrid w:val="0"/>
                <w:color w:val="auto"/>
                <w:spacing w:val="7"/>
                <w:kern w:val="0"/>
                <w:sz w:val="20"/>
                <w:szCs w:val="20"/>
              </w:rPr>
            </w:pPr>
            <w:r>
              <w:rPr>
                <w:rFonts w:ascii="宋体" w:hAnsi="宋体" w:cs="宋体"/>
                <w:snapToGrid w:val="0"/>
                <w:color w:val="auto"/>
                <w:spacing w:val="4"/>
                <w:kern w:val="0"/>
                <w:sz w:val="20"/>
                <w:szCs w:val="20"/>
              </w:rPr>
              <w:t>新增</w:t>
            </w:r>
          </w:p>
        </w:tc>
      </w:tr>
    </w:tbl>
    <w:p w14:paraId="0495BEB9">
      <w:pPr>
        <w:ind w:firstLine="480"/>
      </w:pPr>
      <w:r>
        <w:drawing>
          <wp:inline distT="0" distB="0" distL="0" distR="0">
            <wp:extent cx="4610100" cy="2743200"/>
            <wp:effectExtent l="0" t="0" r="0" b="0"/>
            <wp:docPr id="1455638894" name="IM 44"/>
            <wp:cNvGraphicFramePr/>
            <a:graphic xmlns:a="http://schemas.openxmlformats.org/drawingml/2006/main">
              <a:graphicData uri="http://schemas.openxmlformats.org/drawingml/2006/picture">
                <pic:pic xmlns:pic="http://schemas.openxmlformats.org/drawingml/2006/picture">
                  <pic:nvPicPr>
                    <pic:cNvPr id="1455638894" name="IM 44"/>
                    <pic:cNvPicPr/>
                  </pic:nvPicPr>
                  <pic:blipFill>
                    <a:blip r:embed="rId32"/>
                    <a:stretch>
                      <a:fillRect/>
                    </a:stretch>
                  </pic:blipFill>
                  <pic:spPr>
                    <a:xfrm>
                      <a:off x="0" y="0"/>
                      <a:ext cx="4610974" cy="2743720"/>
                    </a:xfrm>
                    <a:prstGeom prst="rect">
                      <a:avLst/>
                    </a:prstGeom>
                  </pic:spPr>
                </pic:pic>
              </a:graphicData>
            </a:graphic>
          </wp:inline>
        </w:drawing>
      </w:r>
    </w:p>
    <w:p w14:paraId="61DEB36F">
      <w:pPr>
        <w:ind w:firstLine="482"/>
        <w:jc w:val="center"/>
      </w:pPr>
      <w:r>
        <w:rPr>
          <w:b/>
          <w:bCs/>
          <w:szCs w:val="24"/>
        </w:rPr>
        <w:t>图 3.3-</w:t>
      </w:r>
      <w:r>
        <w:rPr>
          <w:rFonts w:hint="eastAsia"/>
          <w:b/>
          <w:bCs/>
          <w:szCs w:val="24"/>
        </w:rPr>
        <w:t>6</w:t>
      </w:r>
      <w:r>
        <w:rPr>
          <w:b/>
          <w:bCs/>
          <w:szCs w:val="24"/>
        </w:rPr>
        <w:t xml:space="preserve">  </w:t>
      </w:r>
      <w:r>
        <w:rPr>
          <w:rFonts w:hint="eastAsia"/>
          <w:b/>
          <w:bCs/>
          <w:szCs w:val="24"/>
        </w:rPr>
        <w:t>磨选车间</w:t>
      </w:r>
    </w:p>
    <w:p w14:paraId="26FB93DC">
      <w:pPr>
        <w:ind w:firstLine="480"/>
      </w:pPr>
    </w:p>
    <w:p w14:paraId="48224DB5">
      <w:pPr>
        <w:ind w:firstLine="480"/>
      </w:pPr>
      <w:r>
        <w:drawing>
          <wp:inline distT="0" distB="0" distL="0" distR="0">
            <wp:extent cx="5278120" cy="2473960"/>
            <wp:effectExtent l="0" t="0" r="0" b="2540"/>
            <wp:docPr id="668155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55733" name="图片 1"/>
                    <pic:cNvPicPr>
                      <a:picLocks noChangeAspect="1"/>
                    </pic:cNvPicPr>
                  </pic:nvPicPr>
                  <pic:blipFill>
                    <a:blip r:embed="rId33"/>
                    <a:stretch>
                      <a:fillRect/>
                    </a:stretch>
                  </pic:blipFill>
                  <pic:spPr>
                    <a:xfrm>
                      <a:off x="0" y="0"/>
                      <a:ext cx="5278120" cy="2473960"/>
                    </a:xfrm>
                    <a:prstGeom prst="rect">
                      <a:avLst/>
                    </a:prstGeom>
                  </pic:spPr>
                </pic:pic>
              </a:graphicData>
            </a:graphic>
          </wp:inline>
        </w:drawing>
      </w:r>
    </w:p>
    <w:p w14:paraId="4FA30BAF">
      <w:pPr>
        <w:ind w:firstLine="482"/>
        <w:jc w:val="center"/>
      </w:pPr>
      <w:r>
        <w:rPr>
          <w:b/>
          <w:bCs/>
          <w:szCs w:val="24"/>
        </w:rPr>
        <w:t>图 3.3-</w:t>
      </w:r>
      <w:r>
        <w:rPr>
          <w:rFonts w:hint="eastAsia"/>
          <w:b/>
          <w:bCs/>
          <w:szCs w:val="24"/>
        </w:rPr>
        <w:t>7</w:t>
      </w:r>
      <w:r>
        <w:rPr>
          <w:b/>
          <w:bCs/>
          <w:szCs w:val="24"/>
        </w:rPr>
        <w:t xml:space="preserve">  </w:t>
      </w:r>
      <w:r>
        <w:rPr>
          <w:rFonts w:hint="eastAsia"/>
          <w:b/>
          <w:bCs/>
          <w:szCs w:val="24"/>
        </w:rPr>
        <w:t>碎矿车间</w:t>
      </w:r>
    </w:p>
    <w:p w14:paraId="61F26AC7">
      <w:pPr>
        <w:ind w:firstLine="480"/>
      </w:pPr>
      <w:r>
        <w:drawing>
          <wp:inline distT="0" distB="0" distL="0" distR="0">
            <wp:extent cx="5257800" cy="2543175"/>
            <wp:effectExtent l="0" t="0" r="0" b="9525"/>
            <wp:docPr id="8405993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99336" name="图片 1"/>
                    <pic:cNvPicPr>
                      <a:picLocks noChangeAspect="1"/>
                    </pic:cNvPicPr>
                  </pic:nvPicPr>
                  <pic:blipFill>
                    <a:blip r:embed="rId34"/>
                    <a:stretch>
                      <a:fillRect/>
                    </a:stretch>
                  </pic:blipFill>
                  <pic:spPr>
                    <a:xfrm>
                      <a:off x="0" y="0"/>
                      <a:ext cx="5257800" cy="2543175"/>
                    </a:xfrm>
                    <a:prstGeom prst="rect">
                      <a:avLst/>
                    </a:prstGeom>
                  </pic:spPr>
                </pic:pic>
              </a:graphicData>
            </a:graphic>
          </wp:inline>
        </w:drawing>
      </w:r>
    </w:p>
    <w:p w14:paraId="49B96616">
      <w:pPr>
        <w:ind w:firstLine="482"/>
        <w:jc w:val="center"/>
      </w:pPr>
      <w:r>
        <w:rPr>
          <w:b/>
          <w:bCs/>
          <w:szCs w:val="24"/>
        </w:rPr>
        <w:t>图 3.3-</w:t>
      </w:r>
      <w:r>
        <w:rPr>
          <w:rFonts w:hint="eastAsia"/>
          <w:b/>
          <w:bCs/>
          <w:szCs w:val="24"/>
        </w:rPr>
        <w:t>8</w:t>
      </w:r>
      <w:r>
        <w:rPr>
          <w:b/>
          <w:bCs/>
          <w:szCs w:val="24"/>
        </w:rPr>
        <w:t xml:space="preserve">  </w:t>
      </w:r>
      <w:r>
        <w:rPr>
          <w:rFonts w:hint="eastAsia"/>
          <w:b/>
          <w:bCs/>
          <w:szCs w:val="24"/>
        </w:rPr>
        <w:t>筛分车间</w:t>
      </w:r>
    </w:p>
    <w:p w14:paraId="7DADFC97">
      <w:pPr>
        <w:ind w:firstLine="480"/>
      </w:pPr>
      <w:r>
        <w:drawing>
          <wp:inline distT="0" distB="0" distL="0" distR="0">
            <wp:extent cx="4959350" cy="2749550"/>
            <wp:effectExtent l="0" t="0" r="0" b="0"/>
            <wp:docPr id="808426469" name="IM 49"/>
            <wp:cNvGraphicFramePr/>
            <a:graphic xmlns:a="http://schemas.openxmlformats.org/drawingml/2006/main">
              <a:graphicData uri="http://schemas.openxmlformats.org/drawingml/2006/picture">
                <pic:pic xmlns:pic="http://schemas.openxmlformats.org/drawingml/2006/picture">
                  <pic:nvPicPr>
                    <pic:cNvPr id="808426469" name="IM 49"/>
                    <pic:cNvPicPr/>
                  </pic:nvPicPr>
                  <pic:blipFill>
                    <a:blip r:embed="rId35"/>
                    <a:stretch>
                      <a:fillRect/>
                    </a:stretch>
                  </pic:blipFill>
                  <pic:spPr>
                    <a:xfrm>
                      <a:off x="0" y="0"/>
                      <a:ext cx="4959922" cy="2749867"/>
                    </a:xfrm>
                    <a:prstGeom prst="rect">
                      <a:avLst/>
                    </a:prstGeom>
                  </pic:spPr>
                </pic:pic>
              </a:graphicData>
            </a:graphic>
          </wp:inline>
        </w:drawing>
      </w:r>
    </w:p>
    <w:p w14:paraId="6B62E929">
      <w:pPr>
        <w:ind w:firstLine="482"/>
        <w:jc w:val="center"/>
      </w:pPr>
      <w:r>
        <w:rPr>
          <w:b/>
          <w:bCs/>
          <w:szCs w:val="24"/>
        </w:rPr>
        <w:t>图 3.3-</w:t>
      </w:r>
      <w:r>
        <w:rPr>
          <w:rFonts w:hint="eastAsia"/>
          <w:b/>
          <w:bCs/>
          <w:szCs w:val="24"/>
        </w:rPr>
        <w:t>9</w:t>
      </w:r>
      <w:r>
        <w:rPr>
          <w:b/>
          <w:bCs/>
          <w:szCs w:val="24"/>
        </w:rPr>
        <w:t xml:space="preserve">  </w:t>
      </w:r>
      <w:r>
        <w:rPr>
          <w:rFonts w:hint="eastAsia"/>
          <w:b/>
          <w:bCs/>
          <w:szCs w:val="24"/>
        </w:rPr>
        <w:t>回水泵房</w:t>
      </w:r>
    </w:p>
    <w:p w14:paraId="0091709E">
      <w:pPr>
        <w:pStyle w:val="5"/>
      </w:pPr>
      <w:r>
        <w:t>3.3.2.3 尾矿库</w:t>
      </w:r>
    </w:p>
    <w:p w14:paraId="03CA276E">
      <w:pPr>
        <w:ind w:firstLine="480"/>
      </w:pPr>
      <w:r>
        <w:t>目前正使用的尾矿库为前楼尾矿库，</w:t>
      </w:r>
      <w:r>
        <w:rPr>
          <w:rFonts w:hint="eastAsia"/>
        </w:rPr>
        <w:t>具体的尾矿库参数情况如下：</w:t>
      </w:r>
    </w:p>
    <w:p w14:paraId="7D576154">
      <w:pPr>
        <w:ind w:firstLine="482"/>
        <w:jc w:val="center"/>
        <w:rPr>
          <w:b/>
          <w:bCs/>
          <w:szCs w:val="24"/>
        </w:rPr>
      </w:pPr>
      <w:r>
        <w:rPr>
          <w:b/>
          <w:bCs/>
          <w:szCs w:val="24"/>
        </w:rPr>
        <w:t>表 3.</w:t>
      </w:r>
      <w:r>
        <w:rPr>
          <w:rFonts w:hint="eastAsia"/>
          <w:b/>
          <w:bCs/>
          <w:szCs w:val="24"/>
        </w:rPr>
        <w:t>3</w:t>
      </w:r>
      <w:r>
        <w:rPr>
          <w:b/>
          <w:bCs/>
          <w:szCs w:val="24"/>
        </w:rPr>
        <w:t>-</w:t>
      </w:r>
      <w:r>
        <w:rPr>
          <w:rFonts w:hint="eastAsia"/>
          <w:b/>
          <w:bCs/>
          <w:szCs w:val="24"/>
        </w:rPr>
        <w:t>4</w:t>
      </w:r>
      <w:r>
        <w:rPr>
          <w:b/>
          <w:bCs/>
          <w:szCs w:val="24"/>
        </w:rPr>
        <w:t xml:space="preserve">  尾矿库设计、现状参数一览表</w:t>
      </w:r>
    </w:p>
    <w:tbl>
      <w:tblPr>
        <w:tblStyle w:val="139"/>
        <w:tblW w:w="895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15"/>
        <w:gridCol w:w="2580"/>
        <w:gridCol w:w="2673"/>
        <w:gridCol w:w="2682"/>
      </w:tblGrid>
      <w:tr w14:paraId="5E626D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2" w:hRule="atLeast"/>
          <w:jc w:val="center"/>
        </w:trPr>
        <w:tc>
          <w:tcPr>
            <w:tcW w:w="3595" w:type="dxa"/>
            <w:gridSpan w:val="2"/>
            <w:vAlign w:val="center"/>
          </w:tcPr>
          <w:p w14:paraId="1C3DC077">
            <w:pPr>
              <w:spacing w:before="54" w:line="228" w:lineRule="auto"/>
              <w:ind w:firstLine="0" w:firstLineChars="0"/>
              <w:jc w:val="center"/>
              <w:rPr>
                <w:rFonts w:cs="Times New Roman"/>
                <w:snapToGrid w:val="0"/>
                <w:color w:val="auto"/>
                <w:kern w:val="0"/>
                <w:sz w:val="20"/>
                <w:szCs w:val="20"/>
              </w:rPr>
            </w:pPr>
            <w:r>
              <w:rPr>
                <w:rFonts w:cs="Times New Roman"/>
                <w:snapToGrid w:val="0"/>
                <w:color w:val="auto"/>
                <w:spacing w:val="9"/>
                <w:kern w:val="0"/>
                <w:sz w:val="20"/>
                <w:szCs w:val="20"/>
                <w14:textOutline w14:w="3797" w14:cap="sq" w14:cmpd="sng" w14:algn="ctr">
                  <w14:solidFill>
                    <w14:srgbClr w14:val="000000"/>
                  </w14:solidFill>
                  <w14:prstDash w14:val="solid"/>
                  <w14:bevel/>
                </w14:textOutline>
              </w:rPr>
              <w:t>技</w:t>
            </w:r>
            <w:r>
              <w:rPr>
                <w:rFonts w:cs="Times New Roman"/>
                <w:snapToGrid w:val="0"/>
                <w:color w:val="auto"/>
                <w:spacing w:val="8"/>
                <w:kern w:val="0"/>
                <w:sz w:val="20"/>
                <w:szCs w:val="20"/>
                <w14:textOutline w14:w="3797" w14:cap="sq" w14:cmpd="sng" w14:algn="ctr">
                  <w14:solidFill>
                    <w14:srgbClr w14:val="000000"/>
                  </w14:solidFill>
                  <w14:prstDash w14:val="solid"/>
                  <w14:bevel/>
                </w14:textOutline>
              </w:rPr>
              <w:t>术指标</w:t>
            </w:r>
          </w:p>
        </w:tc>
        <w:tc>
          <w:tcPr>
            <w:tcW w:w="2673" w:type="dxa"/>
            <w:vAlign w:val="center"/>
          </w:tcPr>
          <w:p w14:paraId="080D4CE8">
            <w:pPr>
              <w:spacing w:before="54" w:line="228" w:lineRule="auto"/>
              <w:ind w:firstLine="0" w:firstLineChars="0"/>
              <w:jc w:val="center"/>
              <w:rPr>
                <w:rFonts w:cs="Times New Roman"/>
                <w:snapToGrid w:val="0"/>
                <w:color w:val="auto"/>
                <w:spacing w:val="9"/>
                <w:kern w:val="0"/>
                <w:sz w:val="20"/>
                <w:szCs w:val="20"/>
                <w14:textOutline w14:w="3797" w14:cap="sq" w14:cmpd="sng" w14:algn="ctr">
                  <w14:solidFill>
                    <w14:srgbClr w14:val="000000"/>
                  </w14:solidFill>
                  <w14:prstDash w14:val="solid"/>
                  <w14:bevel/>
                </w14:textOutline>
              </w:rPr>
            </w:pPr>
            <w:r>
              <w:rPr>
                <w:rFonts w:cs="Times New Roman"/>
                <w:snapToGrid w:val="0"/>
                <w:color w:val="auto"/>
                <w:spacing w:val="9"/>
                <w:kern w:val="0"/>
                <w:sz w:val="20"/>
                <w:szCs w:val="20"/>
                <w14:textOutline w14:w="3797" w14:cap="sq" w14:cmpd="sng" w14:algn="ctr">
                  <w14:solidFill>
                    <w14:srgbClr w14:val="000000"/>
                  </w14:solidFill>
                  <w14:prstDash w14:val="solid"/>
                  <w14:bevel/>
                </w14:textOutline>
              </w:rPr>
              <w:t>设计</w:t>
            </w:r>
          </w:p>
        </w:tc>
        <w:tc>
          <w:tcPr>
            <w:tcW w:w="2682" w:type="dxa"/>
            <w:vAlign w:val="center"/>
          </w:tcPr>
          <w:p w14:paraId="014C1230">
            <w:pPr>
              <w:spacing w:before="54" w:line="228" w:lineRule="auto"/>
              <w:ind w:firstLine="0" w:firstLineChars="0"/>
              <w:jc w:val="center"/>
              <w:rPr>
                <w:rFonts w:cs="Times New Roman"/>
                <w:snapToGrid w:val="0"/>
                <w:color w:val="auto"/>
                <w:spacing w:val="9"/>
                <w:kern w:val="0"/>
                <w:sz w:val="20"/>
                <w:szCs w:val="20"/>
                <w14:textOutline w14:w="3797" w14:cap="sq" w14:cmpd="sng" w14:algn="ctr">
                  <w14:solidFill>
                    <w14:srgbClr w14:val="000000"/>
                  </w14:solidFill>
                  <w14:prstDash w14:val="solid"/>
                  <w14:bevel/>
                </w14:textOutline>
              </w:rPr>
            </w:pPr>
            <w:r>
              <w:rPr>
                <w:rFonts w:cs="Times New Roman"/>
                <w:snapToGrid w:val="0"/>
                <w:color w:val="auto"/>
                <w:spacing w:val="9"/>
                <w:kern w:val="0"/>
                <w:sz w:val="20"/>
                <w:szCs w:val="20"/>
                <w14:textOutline w14:w="3797" w14:cap="sq" w14:cmpd="sng" w14:algn="ctr">
                  <w14:solidFill>
                    <w14:srgbClr w14:val="000000"/>
                  </w14:solidFill>
                  <w14:prstDash w14:val="solid"/>
                  <w14:bevel/>
                </w14:textOutline>
              </w:rPr>
              <w:t>现状</w:t>
            </w:r>
          </w:p>
        </w:tc>
      </w:tr>
      <w:tr w14:paraId="16DA8F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3595" w:type="dxa"/>
            <w:gridSpan w:val="2"/>
            <w:vAlign w:val="center"/>
          </w:tcPr>
          <w:p w14:paraId="011D9A7F">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不透水坝段坝顶标高（m）</w:t>
            </w:r>
          </w:p>
        </w:tc>
        <w:tc>
          <w:tcPr>
            <w:tcW w:w="2673" w:type="dxa"/>
            <w:vAlign w:val="center"/>
          </w:tcPr>
          <w:p w14:paraId="67BCA598">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50</w:t>
            </w:r>
          </w:p>
        </w:tc>
        <w:tc>
          <w:tcPr>
            <w:tcW w:w="2682" w:type="dxa"/>
            <w:vAlign w:val="center"/>
          </w:tcPr>
          <w:p w14:paraId="4B299F8C">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50</w:t>
            </w:r>
          </w:p>
        </w:tc>
      </w:tr>
      <w:tr w14:paraId="6D54F3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3595" w:type="dxa"/>
            <w:gridSpan w:val="2"/>
            <w:vAlign w:val="center"/>
          </w:tcPr>
          <w:p w14:paraId="59B88E2F">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不透水坝段外坡比</w:t>
            </w:r>
          </w:p>
        </w:tc>
        <w:tc>
          <w:tcPr>
            <w:tcW w:w="2673" w:type="dxa"/>
            <w:vAlign w:val="center"/>
          </w:tcPr>
          <w:p w14:paraId="18337BAA">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1 :2.75</w:t>
            </w:r>
          </w:p>
        </w:tc>
        <w:tc>
          <w:tcPr>
            <w:tcW w:w="2682" w:type="dxa"/>
            <w:vAlign w:val="center"/>
          </w:tcPr>
          <w:p w14:paraId="0A1BF364">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1 :2.75</w:t>
            </w:r>
          </w:p>
        </w:tc>
      </w:tr>
      <w:tr w14:paraId="5BA95E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3595" w:type="dxa"/>
            <w:gridSpan w:val="2"/>
            <w:vAlign w:val="center"/>
          </w:tcPr>
          <w:p w14:paraId="6F0E9432">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北、西、东三面初期坝坝顶标高</w:t>
            </w:r>
          </w:p>
        </w:tc>
        <w:tc>
          <w:tcPr>
            <w:tcW w:w="2673" w:type="dxa"/>
            <w:vAlign w:val="center"/>
          </w:tcPr>
          <w:p w14:paraId="1D583794">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35～38</w:t>
            </w:r>
          </w:p>
        </w:tc>
        <w:tc>
          <w:tcPr>
            <w:tcW w:w="2682" w:type="dxa"/>
            <w:vAlign w:val="center"/>
          </w:tcPr>
          <w:p w14:paraId="5C58F484">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35～38</w:t>
            </w:r>
          </w:p>
        </w:tc>
      </w:tr>
      <w:tr w14:paraId="2EEE10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3595" w:type="dxa"/>
            <w:gridSpan w:val="2"/>
            <w:vAlign w:val="center"/>
          </w:tcPr>
          <w:p w14:paraId="0B934422">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北、西、东三面初期坝外坡比</w:t>
            </w:r>
          </w:p>
        </w:tc>
        <w:tc>
          <w:tcPr>
            <w:tcW w:w="2673" w:type="dxa"/>
            <w:vAlign w:val="center"/>
          </w:tcPr>
          <w:p w14:paraId="2BA97A82">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1 :2.0</w:t>
            </w:r>
          </w:p>
        </w:tc>
        <w:tc>
          <w:tcPr>
            <w:tcW w:w="2682" w:type="dxa"/>
            <w:vAlign w:val="center"/>
          </w:tcPr>
          <w:p w14:paraId="1FCDA2DF">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1 :2.0</w:t>
            </w:r>
          </w:p>
        </w:tc>
      </w:tr>
      <w:tr w14:paraId="5D9F78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3595" w:type="dxa"/>
            <w:gridSpan w:val="2"/>
            <w:vAlign w:val="center"/>
          </w:tcPr>
          <w:p w14:paraId="7DEC1C57">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尾矿库汇水面积（km2）</w:t>
            </w:r>
          </w:p>
        </w:tc>
        <w:tc>
          <w:tcPr>
            <w:tcW w:w="2673" w:type="dxa"/>
            <w:vAlign w:val="center"/>
          </w:tcPr>
          <w:p w14:paraId="66083B93">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0.2</w:t>
            </w:r>
          </w:p>
        </w:tc>
        <w:tc>
          <w:tcPr>
            <w:tcW w:w="2682" w:type="dxa"/>
            <w:vAlign w:val="center"/>
          </w:tcPr>
          <w:p w14:paraId="64E26DE9">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0.2</w:t>
            </w:r>
          </w:p>
        </w:tc>
      </w:tr>
      <w:tr w14:paraId="42EDE9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3595" w:type="dxa"/>
            <w:gridSpan w:val="2"/>
            <w:vAlign w:val="center"/>
          </w:tcPr>
          <w:p w14:paraId="49F12041">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尾矿库排洪系统</w:t>
            </w:r>
          </w:p>
        </w:tc>
        <w:tc>
          <w:tcPr>
            <w:tcW w:w="5355" w:type="dxa"/>
            <w:gridSpan w:val="2"/>
            <w:vAlign w:val="center"/>
          </w:tcPr>
          <w:p w14:paraId="426F4D1B">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排水井+排洪涵管</w:t>
            </w:r>
          </w:p>
        </w:tc>
      </w:tr>
      <w:tr w14:paraId="6B5503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3595" w:type="dxa"/>
            <w:gridSpan w:val="2"/>
            <w:vAlign w:val="center"/>
          </w:tcPr>
          <w:p w14:paraId="3C21455B">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尾矿库全库容（万 m3）</w:t>
            </w:r>
          </w:p>
        </w:tc>
        <w:tc>
          <w:tcPr>
            <w:tcW w:w="2673" w:type="dxa"/>
            <w:vAlign w:val="center"/>
          </w:tcPr>
          <w:p w14:paraId="636E7B77">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282.6</w:t>
            </w:r>
          </w:p>
        </w:tc>
        <w:tc>
          <w:tcPr>
            <w:tcW w:w="2682" w:type="dxa"/>
            <w:vAlign w:val="center"/>
          </w:tcPr>
          <w:p w14:paraId="2083620B">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140（剩余库容）</w:t>
            </w:r>
          </w:p>
        </w:tc>
      </w:tr>
      <w:tr w14:paraId="60FFAF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3595" w:type="dxa"/>
            <w:gridSpan w:val="2"/>
            <w:vAlign w:val="center"/>
          </w:tcPr>
          <w:p w14:paraId="376E9F36">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尾矿库等别</w:t>
            </w:r>
          </w:p>
        </w:tc>
        <w:tc>
          <w:tcPr>
            <w:tcW w:w="5355" w:type="dxa"/>
            <w:gridSpan w:val="2"/>
            <w:vAlign w:val="center"/>
          </w:tcPr>
          <w:p w14:paraId="29DEBCDA">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四等库</w:t>
            </w:r>
          </w:p>
        </w:tc>
      </w:tr>
      <w:tr w14:paraId="0B0EC8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1015" w:type="dxa"/>
            <w:vMerge w:val="restart"/>
            <w:vAlign w:val="center"/>
          </w:tcPr>
          <w:p w14:paraId="4C03F17E">
            <w:pPr>
              <w:spacing w:before="40" w:line="250" w:lineRule="auto"/>
              <w:ind w:left="185" w:right="193" w:firstLine="0" w:firstLineChars="0"/>
              <w:rPr>
                <w:rFonts w:cs="Times New Roman"/>
                <w:snapToGrid w:val="0"/>
                <w:color w:val="auto"/>
                <w:kern w:val="0"/>
                <w:sz w:val="20"/>
                <w:szCs w:val="20"/>
              </w:rPr>
            </w:pPr>
            <w:r>
              <w:rPr>
                <w:rFonts w:cs="Times New Roman"/>
                <w:snapToGrid w:val="0"/>
                <w:color w:val="auto"/>
                <w:spacing w:val="7"/>
                <w:kern w:val="0"/>
                <w:sz w:val="20"/>
                <w:szCs w:val="20"/>
              </w:rPr>
              <w:t>尾砂</w:t>
            </w:r>
            <w:r>
              <w:rPr>
                <w:rFonts w:cs="Times New Roman"/>
                <w:snapToGrid w:val="0"/>
                <w:color w:val="auto"/>
                <w:spacing w:val="6"/>
                <w:kern w:val="0"/>
                <w:sz w:val="20"/>
                <w:szCs w:val="20"/>
              </w:rPr>
              <w:t>堆</w:t>
            </w:r>
            <w:r>
              <w:rPr>
                <w:rFonts w:cs="Times New Roman"/>
                <w:snapToGrid w:val="0"/>
                <w:color w:val="auto"/>
                <w:kern w:val="0"/>
                <w:sz w:val="20"/>
                <w:szCs w:val="20"/>
              </w:rPr>
              <w:t xml:space="preserve"> </w:t>
            </w:r>
            <w:r>
              <w:rPr>
                <w:rFonts w:cs="Times New Roman"/>
                <w:snapToGrid w:val="0"/>
                <w:color w:val="auto"/>
                <w:spacing w:val="7"/>
                <w:kern w:val="0"/>
                <w:sz w:val="20"/>
                <w:szCs w:val="20"/>
              </w:rPr>
              <w:t>积坝</w:t>
            </w:r>
            <w:r>
              <w:rPr>
                <w:rFonts w:cs="Times New Roman"/>
                <w:snapToGrid w:val="0"/>
                <w:color w:val="auto"/>
                <w:spacing w:val="6"/>
                <w:kern w:val="0"/>
                <w:sz w:val="20"/>
                <w:szCs w:val="20"/>
              </w:rPr>
              <w:t>段</w:t>
            </w:r>
          </w:p>
        </w:tc>
        <w:tc>
          <w:tcPr>
            <w:tcW w:w="2580" w:type="dxa"/>
            <w:vAlign w:val="center"/>
          </w:tcPr>
          <w:p w14:paraId="4E544098">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下游总坡比</w:t>
            </w:r>
          </w:p>
        </w:tc>
        <w:tc>
          <w:tcPr>
            <w:tcW w:w="2673" w:type="dxa"/>
            <w:vAlign w:val="center"/>
          </w:tcPr>
          <w:p w14:paraId="113EEE8C">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1：4.0</w:t>
            </w:r>
          </w:p>
        </w:tc>
        <w:tc>
          <w:tcPr>
            <w:tcW w:w="2682" w:type="dxa"/>
            <w:vAlign w:val="center"/>
          </w:tcPr>
          <w:p w14:paraId="365236D8">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约 1：4.0</w:t>
            </w:r>
          </w:p>
        </w:tc>
      </w:tr>
      <w:tr w14:paraId="6111DA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jc w:val="center"/>
        </w:trPr>
        <w:tc>
          <w:tcPr>
            <w:tcW w:w="1015" w:type="dxa"/>
            <w:vMerge w:val="continue"/>
            <w:vAlign w:val="center"/>
          </w:tcPr>
          <w:p w14:paraId="5140BD64">
            <w:pPr>
              <w:ind w:firstLine="480"/>
              <w:rPr>
                <w:rFonts w:cs="Times New Roman"/>
                <w:snapToGrid w:val="0"/>
                <w:color w:val="auto"/>
                <w:kern w:val="0"/>
                <w:szCs w:val="21"/>
              </w:rPr>
            </w:pPr>
          </w:p>
        </w:tc>
        <w:tc>
          <w:tcPr>
            <w:tcW w:w="2580" w:type="dxa"/>
            <w:vAlign w:val="center"/>
          </w:tcPr>
          <w:p w14:paraId="3BAE835D">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坝顶标高（m）</w:t>
            </w:r>
          </w:p>
        </w:tc>
        <w:tc>
          <w:tcPr>
            <w:tcW w:w="2673" w:type="dxa"/>
            <w:vAlign w:val="center"/>
          </w:tcPr>
          <w:p w14:paraId="30F25F0D">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50</w:t>
            </w:r>
          </w:p>
        </w:tc>
        <w:tc>
          <w:tcPr>
            <w:tcW w:w="2682" w:type="dxa"/>
            <w:vAlign w:val="center"/>
          </w:tcPr>
          <w:p w14:paraId="5D354E83">
            <w:pPr>
              <w:spacing w:before="32" w:line="226" w:lineRule="auto"/>
              <w:ind w:firstLine="0" w:firstLineChars="0"/>
              <w:jc w:val="center"/>
              <w:rPr>
                <w:rFonts w:cs="Times New Roman"/>
                <w:snapToGrid w:val="0"/>
                <w:color w:val="auto"/>
                <w:spacing w:val="8"/>
                <w:kern w:val="0"/>
                <w:sz w:val="20"/>
                <w:szCs w:val="20"/>
              </w:rPr>
            </w:pPr>
            <w:r>
              <w:rPr>
                <w:rFonts w:cs="Times New Roman"/>
                <w:snapToGrid w:val="0"/>
                <w:color w:val="auto"/>
                <w:spacing w:val="8"/>
                <w:kern w:val="0"/>
                <w:sz w:val="20"/>
                <w:szCs w:val="20"/>
              </w:rPr>
              <w:t>43.5</w:t>
            </w:r>
          </w:p>
        </w:tc>
      </w:tr>
    </w:tbl>
    <w:p w14:paraId="4B92F35A">
      <w:pPr>
        <w:ind w:firstLine="480"/>
      </w:pPr>
      <w:r>
        <w:t>（1）尾矿库场址</w:t>
      </w:r>
    </w:p>
    <w:p w14:paraId="5F8E9CC9">
      <w:pPr>
        <w:ind w:firstLine="480"/>
      </w:pPr>
      <w:r>
        <w:t>前楼尾矿库位于霍邱县范桥乡北风井-刘郢（现已搬迁）之间的平地上。为平地型尾矿库， 占地 388.57 亩。尾矿库南边 50m 为北风井，东边 50m为进厂公路。</w:t>
      </w:r>
    </w:p>
    <w:p w14:paraId="7D21A3BB">
      <w:pPr>
        <w:ind w:firstLine="480"/>
      </w:pPr>
      <w:r>
        <w:t>（2）前楼尾矿库基本情况</w:t>
      </w:r>
    </w:p>
    <w:p w14:paraId="0E933F89">
      <w:pPr>
        <w:ind w:firstLine="480"/>
      </w:pPr>
      <w:r>
        <w:rPr>
          <w:rFonts w:hint="eastAsia"/>
        </w:rPr>
        <w:t>安徽金安矿业有限公司前楼尾矿库于2006年3月开始建设，属四等库尾矿库，平均坝高20m，全库容为282.6万m</w:t>
      </w:r>
      <w:r>
        <w:rPr>
          <w:rFonts w:hint="eastAsia"/>
          <w:vertAlign w:val="superscript"/>
        </w:rPr>
        <w:t>3</w:t>
      </w:r>
      <w:r>
        <w:rPr>
          <w:rFonts w:hint="eastAsia"/>
        </w:rPr>
        <w:t>，有效库容为254.4万m</w:t>
      </w:r>
      <w:r>
        <w:rPr>
          <w:rFonts w:hint="eastAsia"/>
          <w:vertAlign w:val="superscript"/>
        </w:rPr>
        <w:t>3</w:t>
      </w:r>
      <w:r>
        <w:rPr>
          <w:rFonts w:hint="eastAsia"/>
        </w:rPr>
        <w:t>，最大坝高21m。当前使用的坝高为14.5米，现在已使用库容约110万方，还剩140万方。根据矿山实际运行情况，尾砂大部分优先用于井下充填采空区，</w:t>
      </w:r>
      <w:r>
        <w:rPr>
          <w:rFonts w:hint="eastAsia"/>
          <w:szCs w:val="28"/>
        </w:rPr>
        <w:t>多余部分尾砂进入尾矿库</w:t>
      </w:r>
      <w:r>
        <w:rPr>
          <w:rFonts w:hint="eastAsia"/>
        </w:rPr>
        <w:t>，经计算每年进入尾矿库的进砂量约5万方。本次项目实施后矿山总服务年限到2033年，预计11年向尾砂库排砂在</w:t>
      </w:r>
      <w:r>
        <w:t>55</w:t>
      </w:r>
      <w:r>
        <w:rPr>
          <w:rFonts w:hint="eastAsia"/>
        </w:rPr>
        <w:t>万方，尾砂库剩余库容14</w:t>
      </w:r>
      <w:r>
        <w:t>0</w:t>
      </w:r>
      <w:r>
        <w:rPr>
          <w:rFonts w:hint="eastAsia"/>
        </w:rPr>
        <w:t>万方足够满足矿山在生产期间使用需要。</w:t>
      </w:r>
    </w:p>
    <w:p w14:paraId="41F93553">
      <w:pPr>
        <w:ind w:firstLine="480"/>
      </w:pPr>
      <w:r>
        <w:t>（3）前楼尾矿库初期坝和后期坝</w:t>
      </w:r>
    </w:p>
    <w:p w14:paraId="107F80BB">
      <w:pPr>
        <w:ind w:firstLine="480"/>
      </w:pPr>
      <w:r>
        <w:t>初期坝坝体北、西、东三面坝体主体结构用采矿废石筑成，坝体为透水堆石坝， 南部坝体采用粘土一次性堆筑成不透水均质土坝。</w:t>
      </w:r>
    </w:p>
    <w:p w14:paraId="4597CB66">
      <w:pPr>
        <w:ind w:firstLine="480"/>
      </w:pPr>
      <w:r>
        <w:t>北、西、东三面坝体初期坝采用堆筑 6m 左右，西侧初期坝坝顶标高 35m，坝高6m；东侧初期坝坝顶标高 38m，坝高 5m；北侧初期坝坝顶标高 35-38m，坝高 6m。东、 西、北侧三面筑坝（堆石坝） 内坡坡度比为 1：1.75，外坡坡度比 1：2， 内侧坝面 均铺设二层加筋土工布，作为反滤层。北、西、东三面坝体初期坝位置库容充满后，后期用尾矿堆积子坝。</w:t>
      </w:r>
    </w:p>
    <w:p w14:paraId="633C063E">
      <w:pPr>
        <w:ind w:firstLine="480"/>
      </w:pPr>
      <w:r>
        <w:t>南侧坝为主坝，坝体一次建筑到 50m 标高，主坝坝高 21m。坝体内坡坡比 1：2.5。</w:t>
      </w:r>
    </w:p>
    <w:p w14:paraId="10C852E4">
      <w:pPr>
        <w:ind w:firstLine="480"/>
      </w:pPr>
      <w:r>
        <w:t>（4）前楼尾矿库设计等级及防洪标准</w:t>
      </w:r>
    </w:p>
    <w:p w14:paraId="7020AA8D">
      <w:pPr>
        <w:ind w:firstLine="480"/>
      </w:pPr>
      <w:r>
        <w:t>按《选矿厂尾矿设施设计规范》ZBJ-90 规定，前楼尾矿库坝高平均水平是 15m， 最大坝高是21m，所以前楼尾矿库为四级尾矿库。</w:t>
      </w:r>
    </w:p>
    <w:p w14:paraId="303BC621">
      <w:pPr>
        <w:ind w:firstLine="480"/>
      </w:pPr>
      <w:r>
        <w:t>（5）前楼尾矿库洪峰流量及调洪</w:t>
      </w:r>
    </w:p>
    <w:p w14:paraId="002CB0D7">
      <w:pPr>
        <w:ind w:firstLine="480"/>
      </w:pPr>
      <w:r>
        <w:t>前楼尾矿库库区汇水面积约 0.205km</w:t>
      </w:r>
      <w:r>
        <w:rPr>
          <w:vertAlign w:val="superscript"/>
        </w:rPr>
        <w:t>2</w:t>
      </w:r>
      <w:r>
        <w:t xml:space="preserve"> 。依据《安徽省暴雨参数等值线图、山丘 区产汇流分析和山丘区中、小面积设计洪水计算办法》计算，前楼尾矿库设计洪峰流量最大为 6.1m</w:t>
      </w:r>
      <w:r>
        <w:rPr>
          <w:vertAlign w:val="superscript"/>
        </w:rPr>
        <w:t>3</w:t>
      </w:r>
      <w:r>
        <w:t>/s，洪水总量为 6.4 万 m</w:t>
      </w:r>
      <w:r>
        <w:rPr>
          <w:vertAlign w:val="superscript"/>
        </w:rPr>
        <w:t>3</w:t>
      </w:r>
      <w:r>
        <w:t xml:space="preserve"> 。根据演算洪水总量调洪需要的排洪流量为 3.5m</w:t>
      </w:r>
      <w:r>
        <w:rPr>
          <w:vertAlign w:val="superscript"/>
        </w:rPr>
        <w:t>3</w:t>
      </w:r>
      <w:r>
        <w:t>/s，而前楼尾矿库设计排水井的排洪流量最大为 4.1m</w:t>
      </w:r>
      <w:r>
        <w:rPr>
          <w:vertAlign w:val="superscript"/>
        </w:rPr>
        <w:t>3</w:t>
      </w:r>
      <w:r>
        <w:t>/s，满足排洪需要。</w:t>
      </w:r>
    </w:p>
    <w:p w14:paraId="4D88DB35">
      <w:pPr>
        <w:ind w:firstLine="480"/>
      </w:pPr>
      <w:r>
        <w:t>（6）尾矿库排洪回水系统</w:t>
      </w:r>
    </w:p>
    <w:p w14:paraId="164E5574">
      <w:pPr>
        <w:ind w:firstLine="480"/>
      </w:pPr>
      <w:r>
        <w:t>尾矿库库区排洪采用框架式排水井-涵管的方式，框架式排水井布置在南侧坝体 附近，框架式排水井直径为 3.5m，长度 15m，排水管的直径为 2.0m，长度 316.08m。在排水管出口处设置集水池（回水池），集水池采用浆砌石结构，池边设回水泵站。 初期坝坝脚设置环向排水沟，沟宽 0.5m，深 0.5-1m，采用浆砌块石结构，汇集至尾矿回水池。</w:t>
      </w:r>
    </w:p>
    <w:p w14:paraId="0F1F97DC">
      <w:pPr>
        <w:ind w:firstLine="480"/>
      </w:pPr>
      <w:r>
        <w:rPr>
          <w:rFonts w:hint="eastAsia"/>
        </w:rPr>
        <w:t>（7）</w:t>
      </w:r>
      <w:r>
        <w:t>尾矿输送</w:t>
      </w:r>
    </w:p>
    <w:p w14:paraId="4A119695">
      <w:pPr>
        <w:ind w:firstLine="480"/>
      </w:pPr>
      <w:r>
        <w:t>主厂房内设两台尾砂泵（一用一备），型号为 300ZBD-630B 渣浆泵，Q＝1369m</w:t>
      </w:r>
      <w:r>
        <w:rPr>
          <w:vertAlign w:val="superscript"/>
        </w:rPr>
        <w:t>3</w:t>
      </w:r>
      <w:r>
        <w:t>/h。 尾砂输送系统为： 利用选矿厂主厂房-4.5m 平台尾砂泵站 1 座 ，砂泵池尺寸 10.0m×5.2m×3.6m，泵站内设渣浆泵 4 台，2 台工作，2 台备用。输送管线长 1.7km， 管道采用高分子管，尾矿管线沿选矿厂—北区充填站、选矿厂—南区充填站和选矿 厂—尾矿库敷设。尾矿经浓密机浓缩后通过管道输送至充填站，入井下充填，剩余少量尾砂通过管道输送至尾矿库。</w:t>
      </w:r>
    </w:p>
    <w:p w14:paraId="34E7729F">
      <w:pPr>
        <w:ind w:firstLine="480"/>
      </w:pPr>
      <w:r>
        <w:drawing>
          <wp:inline distT="0" distB="0" distL="0" distR="0">
            <wp:extent cx="5124450" cy="3765550"/>
            <wp:effectExtent l="0" t="0" r="0" b="6350"/>
            <wp:docPr id="227712429" name="IM 50"/>
            <wp:cNvGraphicFramePr/>
            <a:graphic xmlns:a="http://schemas.openxmlformats.org/drawingml/2006/main">
              <a:graphicData uri="http://schemas.openxmlformats.org/drawingml/2006/picture">
                <pic:pic xmlns:pic="http://schemas.openxmlformats.org/drawingml/2006/picture">
                  <pic:nvPicPr>
                    <pic:cNvPr id="227712429" name="IM 50"/>
                    <pic:cNvPicPr/>
                  </pic:nvPicPr>
                  <pic:blipFill>
                    <a:blip r:embed="rId36"/>
                    <a:stretch>
                      <a:fillRect/>
                    </a:stretch>
                  </pic:blipFill>
                  <pic:spPr>
                    <a:xfrm>
                      <a:off x="0" y="0"/>
                      <a:ext cx="5125230" cy="3766123"/>
                    </a:xfrm>
                    <a:prstGeom prst="rect">
                      <a:avLst/>
                    </a:prstGeom>
                  </pic:spPr>
                </pic:pic>
              </a:graphicData>
            </a:graphic>
          </wp:inline>
        </w:drawing>
      </w:r>
    </w:p>
    <w:p w14:paraId="56B96A5C">
      <w:pPr>
        <w:ind w:firstLine="482"/>
        <w:jc w:val="center"/>
      </w:pPr>
      <w:r>
        <w:rPr>
          <w:b/>
          <w:bCs/>
          <w:szCs w:val="24"/>
        </w:rPr>
        <w:t>图 3.3-</w:t>
      </w:r>
      <w:r>
        <w:rPr>
          <w:rFonts w:hint="eastAsia"/>
          <w:b/>
          <w:bCs/>
          <w:szCs w:val="24"/>
        </w:rPr>
        <w:t>10</w:t>
      </w:r>
      <w:r>
        <w:rPr>
          <w:b/>
          <w:bCs/>
          <w:szCs w:val="24"/>
        </w:rPr>
        <w:t xml:space="preserve">  </w:t>
      </w:r>
      <w:r>
        <w:rPr>
          <w:rFonts w:hint="eastAsia"/>
          <w:b/>
          <w:bCs/>
          <w:szCs w:val="24"/>
        </w:rPr>
        <w:t>尾矿库现状</w:t>
      </w:r>
    </w:p>
    <w:p w14:paraId="6BD2EA94">
      <w:pPr>
        <w:pStyle w:val="5"/>
      </w:pPr>
      <w:r>
        <w:rPr>
          <w:rFonts w:hint="eastAsia"/>
        </w:rPr>
        <w:t>3</w:t>
      </w:r>
      <w:r>
        <w:t>.</w:t>
      </w:r>
      <w:r>
        <w:rPr>
          <w:rFonts w:hint="eastAsia"/>
        </w:rPr>
        <w:t>3</w:t>
      </w:r>
      <w:r>
        <w:t>.</w:t>
      </w:r>
      <w:r>
        <w:rPr>
          <w:rFonts w:hint="eastAsia"/>
        </w:rPr>
        <w:t>2</w:t>
      </w:r>
      <w:r>
        <w:t>.</w:t>
      </w:r>
      <w:r>
        <w:rPr>
          <w:rFonts w:hint="eastAsia"/>
        </w:rPr>
        <w:t>4</w:t>
      </w:r>
      <w:r>
        <w:t xml:space="preserve"> 充填系统</w:t>
      </w:r>
    </w:p>
    <w:p w14:paraId="157E3165">
      <w:pPr>
        <w:ind w:firstLine="480"/>
      </w:pPr>
      <w:r>
        <w:t>包括北区充填站系统和南区充填站系统。</w:t>
      </w:r>
    </w:p>
    <w:p w14:paraId="2539AC76">
      <w:pPr>
        <w:ind w:firstLine="480"/>
      </w:pPr>
      <w:r>
        <w:t>（1）充填站系统</w:t>
      </w:r>
    </w:p>
    <w:p w14:paraId="3099EA42">
      <w:pPr>
        <w:ind w:firstLine="480"/>
      </w:pPr>
      <w:r>
        <w:t>南区充填站布置于 0～3 线之间，服务范围为 7 线以南区域，-230m 中段采矿时一般充填倍线为 3～4 线以内，最南端矿体较薄部位充填倍线达到 5.0。</w:t>
      </w:r>
    </w:p>
    <w:p w14:paraId="1BBCB315">
      <w:pPr>
        <w:ind w:firstLine="480"/>
      </w:pPr>
      <w:r>
        <w:t>北区充填站位于 15～19 线之间，其充填服务范围为 7 线以北区域。-230m 中段采矿时，大部分矿体的充填倍线在 3.5m 以内，19 线充填倍线约为 4.5，最北端矿体较薄部位倍线达到 5.0。-290m 中段采矿时，充填倍线逐渐减小，一般均在 4.0 以内。</w:t>
      </w:r>
    </w:p>
    <w:p w14:paraId="312EDC96">
      <w:pPr>
        <w:ind w:firstLine="480"/>
      </w:pPr>
      <w:r>
        <w:t>北区充填站系统和南区充填站系统各设 2 套彼此独立的充填系统，共 4 套充填系统，每套系统制备输送能力为 70～90m</w:t>
      </w:r>
      <w:r>
        <w:rPr>
          <w:vertAlign w:val="superscript"/>
        </w:rPr>
        <w:t>3</w:t>
      </w:r>
      <w:r>
        <w:t>/h，单套系统连续稳定运行时间 10～12h， 单套系统一次最大充填量 800～1000m</w:t>
      </w:r>
      <w:r>
        <w:rPr>
          <w:vertAlign w:val="superscript"/>
        </w:rPr>
        <w:t>3</w:t>
      </w:r>
      <w:r>
        <w:t>。</w:t>
      </w:r>
    </w:p>
    <w:p w14:paraId="6DD1238E">
      <w:pPr>
        <w:ind w:firstLine="480"/>
      </w:pPr>
      <w:r>
        <w:t>（2）充填能力</w:t>
      </w:r>
    </w:p>
    <w:p w14:paraId="0B4E0037">
      <w:pPr>
        <w:ind w:firstLine="480"/>
      </w:pPr>
      <w:r>
        <w:t>按需要充填的尾砂每日需要平均纯运行时间为 10.87h 计。则现有的北区充填站系统和南区充填站系统可以满足单套系统连续稳定运行时间 10～ 12h 的要求。</w:t>
      </w:r>
    </w:p>
    <w:p w14:paraId="4A6AFABF">
      <w:pPr>
        <w:ind w:firstLine="480"/>
      </w:pPr>
      <w:r>
        <w:t>（3）充填工艺</w:t>
      </w:r>
    </w:p>
    <w:p w14:paraId="05225725">
      <w:pPr>
        <w:ind w:firstLine="480"/>
      </w:pPr>
      <w:r>
        <w:t>南区充填站充填工艺采用高浓度全尾砂胶结充填两段搅拌自流输送工艺，胶凝 材料为水泥。每套充填料浆制备系统由全尾砂沉降造浆放砂、水泥供料、充填料浆 搅拌及输送、 自动控制等组成。</w:t>
      </w:r>
    </w:p>
    <w:p w14:paraId="1175CD2F">
      <w:pPr>
        <w:ind w:firstLine="480"/>
      </w:pPr>
      <w:r>
        <w:t>全尾砂沉降造浆放砂：选厂全尾砂输送至充填站卧式砂池中自然沉降，充填前， 排除全尾砂料面上的澄清水，然后采用压气造浆。砂池中全尾砂造浆均匀后，再由 放砂管向搅拌机供给全尾砂浆。</w:t>
      </w:r>
    </w:p>
    <w:p w14:paraId="6F4D3407">
      <w:pPr>
        <w:ind w:firstLine="480"/>
      </w:pPr>
      <w:r>
        <w:t>水泥供料线：散装水泥运至充填站后卸入散装水泥仓，水泥仓底部装有螺旋闸 门、双管螺旋给料机及螺旋电子秤，水泥经双管螺旋给料及电子秤计量后向搅拌机 供料。</w:t>
      </w:r>
    </w:p>
    <w:p w14:paraId="7FD1D3F8">
      <w:pPr>
        <w:ind w:firstLine="480"/>
      </w:pPr>
      <w:r>
        <w:t>充填料制备与输送：搅拌机选用双卧轴搅拌机+高速活化搅拌机两段连续搅拌。 全尾砂浆及水泥搅拌均匀后制备成具有结构流特性的充填料浆，通过测量管及下料 漏斗进入充填钻孔，然后通过井下输送管道自流输送至采场空区充填。</w:t>
      </w:r>
    </w:p>
    <w:p w14:paraId="2FBDD2CC">
      <w:pPr>
        <w:ind w:firstLine="480"/>
      </w:pPr>
      <w:r>
        <w:t>自动控制：充填站设置较完善的自动检测及调节系统。系统检测的参数有：全尾砂放砂流量、水泥给料量、调浓水量、充填料浆流量及浓度、水泥仓料位等。系统调节的参数有：放砂流量、水泥给料量、调浓水量等。</w:t>
      </w:r>
    </w:p>
    <w:p w14:paraId="204C9FC6">
      <w:pPr>
        <w:ind w:firstLine="480"/>
      </w:pPr>
      <w:r>
        <w:t>充填工艺流程见图 3.3-7。</w:t>
      </w:r>
    </w:p>
    <w:p w14:paraId="369A233B">
      <w:pPr>
        <w:ind w:firstLine="480"/>
      </w:pPr>
      <w:r>
        <w:t>（4）充填指标</w:t>
      </w:r>
    </w:p>
    <w:p w14:paraId="52466008">
      <w:pPr>
        <w:ind w:firstLine="480"/>
      </w:pPr>
      <w:r>
        <w:t xml:space="preserve">充填比例：灰砂比 1 </w:t>
      </w:r>
      <w:r>
        <w:rPr>
          <w:rFonts w:hint="eastAsia" w:ascii="宋体" w:hAnsi="宋体" w:cs="宋体"/>
        </w:rPr>
        <w:t>∶</w:t>
      </w:r>
      <w:r>
        <w:t xml:space="preserve">4～1 </w:t>
      </w:r>
      <w:r>
        <w:rPr>
          <w:rFonts w:hint="eastAsia" w:ascii="宋体" w:hAnsi="宋体" w:cs="宋体"/>
        </w:rPr>
        <w:t>∶</w:t>
      </w:r>
      <w:r>
        <w:t xml:space="preserve"> 12 可调，非胶结材料占 41%。灰砂比 1 </w:t>
      </w:r>
      <w:r>
        <w:rPr>
          <w:rFonts w:hint="eastAsia" w:ascii="宋体" w:hAnsi="宋体" w:cs="宋体"/>
        </w:rPr>
        <w:t>∶</w:t>
      </w:r>
      <w:r>
        <w:t xml:space="preserve">4 的胶结充填，浓度 70%时，28 天强度可达 3MPa, 占总充填量的 17%；灰砂比 1 </w:t>
      </w:r>
      <w:r>
        <w:rPr>
          <w:rFonts w:hint="eastAsia" w:ascii="宋体" w:hAnsi="宋体" w:cs="宋体"/>
        </w:rPr>
        <w:t>∶</w:t>
      </w:r>
      <w:r>
        <w:t xml:space="preserve"> 12 的胶结 充填，浓度 70%时，28 天强度可达 1MPa 以上， 占总充填量的 42%。充填接顶率不小 于 90%。</w:t>
      </w:r>
    </w:p>
    <w:p w14:paraId="70DEE553">
      <w:pPr>
        <w:ind w:firstLine="484"/>
        <w:rPr>
          <w:rFonts w:hint="eastAsia" w:ascii="宋体" w:hAnsi="宋体" w:cs="宋体"/>
          <w:spacing w:val="6"/>
          <w:sz w:val="23"/>
          <w:szCs w:val="23"/>
        </w:rPr>
      </w:pPr>
    </w:p>
    <w:p w14:paraId="321099DD">
      <w:pPr>
        <w:ind w:firstLine="460"/>
        <w:rPr>
          <w:rFonts w:hint="eastAsia" w:ascii="宋体" w:hAnsi="宋体" w:cs="宋体"/>
          <w:spacing w:val="6"/>
          <w:sz w:val="23"/>
          <w:szCs w:val="23"/>
        </w:rPr>
      </w:pPr>
      <w:r>
        <w:rPr>
          <w:rFonts w:hint="eastAsia" w:ascii="宋体" w:hAnsi="宋体" w:cs="宋体"/>
          <w:spacing w:val="6"/>
          <w:sz w:val="23"/>
          <w:szCs w:val="23"/>
        </w:rPr>
        <w:drawing>
          <wp:inline distT="0" distB="0" distL="0" distR="0">
            <wp:extent cx="5807075" cy="3362325"/>
            <wp:effectExtent l="0" t="0" r="3175"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813492" cy="3365781"/>
                    </a:xfrm>
                    <a:prstGeom prst="rect">
                      <a:avLst/>
                    </a:prstGeom>
                    <a:noFill/>
                    <a:ln>
                      <a:noFill/>
                    </a:ln>
                  </pic:spPr>
                </pic:pic>
              </a:graphicData>
            </a:graphic>
          </wp:inline>
        </w:drawing>
      </w:r>
    </w:p>
    <w:p w14:paraId="41EB7EBD">
      <w:pPr>
        <w:ind w:firstLine="482"/>
        <w:jc w:val="center"/>
        <w:rPr>
          <w:b/>
          <w:bCs/>
          <w:szCs w:val="24"/>
        </w:rPr>
      </w:pPr>
      <w:r>
        <w:rPr>
          <w:b/>
          <w:bCs/>
          <w:szCs w:val="24"/>
        </w:rPr>
        <w:t>图 3.</w:t>
      </w:r>
      <w:r>
        <w:rPr>
          <w:rFonts w:hint="eastAsia"/>
          <w:b/>
          <w:bCs/>
          <w:szCs w:val="24"/>
        </w:rPr>
        <w:t>3</w:t>
      </w:r>
      <w:r>
        <w:rPr>
          <w:b/>
          <w:bCs/>
          <w:szCs w:val="24"/>
        </w:rPr>
        <w:t>-</w:t>
      </w:r>
      <w:r>
        <w:rPr>
          <w:rFonts w:hint="eastAsia"/>
          <w:b/>
          <w:bCs/>
          <w:szCs w:val="24"/>
        </w:rPr>
        <w:t>11</w:t>
      </w:r>
      <w:r>
        <w:rPr>
          <w:b/>
          <w:bCs/>
          <w:szCs w:val="24"/>
        </w:rPr>
        <w:t xml:space="preserve">  </w:t>
      </w:r>
      <w:r>
        <w:rPr>
          <w:rFonts w:hint="eastAsia"/>
          <w:b/>
          <w:bCs/>
          <w:szCs w:val="24"/>
        </w:rPr>
        <w:t>充填</w:t>
      </w:r>
      <w:r>
        <w:rPr>
          <w:b/>
          <w:bCs/>
          <w:szCs w:val="24"/>
        </w:rPr>
        <w:t>工艺流程图</w:t>
      </w:r>
    </w:p>
    <w:p w14:paraId="0DC55BD7">
      <w:pPr>
        <w:pStyle w:val="4"/>
      </w:pPr>
      <w:r>
        <w:rPr>
          <w:rFonts w:hint="eastAsia"/>
        </w:rPr>
        <w:t>3.</w:t>
      </w:r>
      <w:r>
        <w:t>3</w:t>
      </w:r>
      <w:r>
        <w:rPr>
          <w:rFonts w:hint="eastAsia"/>
        </w:rPr>
        <w:t>.</w:t>
      </w:r>
      <w:r>
        <w:t xml:space="preserve">4 </w:t>
      </w:r>
      <w:r>
        <w:rPr>
          <w:rFonts w:hint="eastAsia"/>
        </w:rPr>
        <w:t>物料平衡</w:t>
      </w:r>
    </w:p>
    <w:p w14:paraId="03A496AA">
      <w:pPr>
        <w:pStyle w:val="5"/>
      </w:pPr>
      <w:r>
        <w:t>3.</w:t>
      </w:r>
      <w:r>
        <w:rPr>
          <w:rFonts w:hint="eastAsia"/>
        </w:rPr>
        <w:t>3</w:t>
      </w:r>
      <w:r>
        <w:t>.</w:t>
      </w:r>
      <w:r>
        <w:rPr>
          <w:rFonts w:hint="eastAsia"/>
        </w:rPr>
        <w:t>4</w:t>
      </w:r>
      <w:r>
        <w:t xml:space="preserve">.1 </w:t>
      </w:r>
      <w:r>
        <w:rPr>
          <w:rFonts w:hint="eastAsia"/>
        </w:rPr>
        <w:t>采充平衡</w:t>
      </w:r>
    </w:p>
    <w:p w14:paraId="5C34AA8F">
      <w:pPr>
        <w:ind w:firstLine="480"/>
      </w:pPr>
      <w:r>
        <w:rPr>
          <w:rFonts w:hint="eastAsia"/>
        </w:rPr>
        <w:t>项目采充平衡预估如下：</w:t>
      </w:r>
    </w:p>
    <w:p w14:paraId="6B800FA1">
      <w:pPr>
        <w:ind w:firstLine="482"/>
        <w:jc w:val="center"/>
        <w:rPr>
          <w:b/>
          <w:bCs/>
          <w:szCs w:val="20"/>
        </w:rPr>
      </w:pPr>
      <w:r>
        <w:rPr>
          <w:rFonts w:hint="eastAsia"/>
          <w:b/>
          <w:bCs/>
          <w:szCs w:val="20"/>
        </w:rPr>
        <w:t>表</w:t>
      </w:r>
      <w:r>
        <w:rPr>
          <w:b/>
          <w:bCs/>
          <w:szCs w:val="20"/>
        </w:rPr>
        <w:t>3.</w:t>
      </w:r>
      <w:r>
        <w:rPr>
          <w:rFonts w:hint="eastAsia"/>
          <w:b/>
          <w:bCs/>
          <w:szCs w:val="20"/>
        </w:rPr>
        <w:t>3</w:t>
      </w:r>
      <w:r>
        <w:rPr>
          <w:b/>
          <w:bCs/>
          <w:szCs w:val="20"/>
        </w:rPr>
        <w:t xml:space="preserve">-5  </w:t>
      </w:r>
      <w:r>
        <w:rPr>
          <w:rFonts w:hint="eastAsia"/>
          <w:b/>
          <w:bCs/>
          <w:szCs w:val="20"/>
        </w:rPr>
        <w:t>本次深部开拓工程采充平衡表</w:t>
      </w:r>
    </w:p>
    <w:tbl>
      <w:tblPr>
        <w:tblStyle w:val="139"/>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71"/>
        <w:gridCol w:w="960"/>
        <w:gridCol w:w="1434"/>
        <w:gridCol w:w="1419"/>
        <w:gridCol w:w="1213"/>
        <w:gridCol w:w="1020"/>
        <w:gridCol w:w="1301"/>
      </w:tblGrid>
      <w:tr w14:paraId="5369D7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84" w:type="pct"/>
            <w:vAlign w:val="center"/>
          </w:tcPr>
          <w:p w14:paraId="2AE491F8">
            <w:pPr>
              <w:adjustRightInd w:val="0"/>
              <w:ind w:firstLine="0" w:firstLineChars="0"/>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开采量(万t/a)</w:t>
            </w:r>
          </w:p>
        </w:tc>
        <w:tc>
          <w:tcPr>
            <w:tcW w:w="577" w:type="pct"/>
            <w:vAlign w:val="center"/>
          </w:tcPr>
          <w:p w14:paraId="1DC0A1F3">
            <w:pPr>
              <w:adjustRightInd w:val="0"/>
              <w:ind w:firstLine="0" w:firstLineChars="0"/>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精矿(万t/a)</w:t>
            </w:r>
          </w:p>
        </w:tc>
        <w:tc>
          <w:tcPr>
            <w:tcW w:w="862" w:type="pct"/>
            <w:vAlign w:val="center"/>
          </w:tcPr>
          <w:p w14:paraId="0211AC5E">
            <w:pPr>
              <w:adjustRightInd w:val="0"/>
              <w:ind w:firstLine="0" w:firstLineChars="0"/>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外卖用于制砖尾矿(万t/a)</w:t>
            </w:r>
          </w:p>
        </w:tc>
        <w:tc>
          <w:tcPr>
            <w:tcW w:w="853" w:type="pct"/>
            <w:vAlign w:val="center"/>
          </w:tcPr>
          <w:p w14:paraId="7B0E3164">
            <w:pPr>
              <w:adjustRightInd w:val="0"/>
              <w:ind w:firstLine="0" w:firstLineChars="0"/>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充填消耗尾 矿(万 t/a)</w:t>
            </w:r>
          </w:p>
        </w:tc>
        <w:tc>
          <w:tcPr>
            <w:tcW w:w="729" w:type="pct"/>
            <w:vAlign w:val="center"/>
          </w:tcPr>
          <w:p w14:paraId="6A89BFB7">
            <w:pPr>
              <w:adjustRightInd w:val="0"/>
              <w:ind w:left="88" w:right="135" w:firstLine="0" w:firstLineChars="0"/>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入库尾矿 (万 t/a)</w:t>
            </w:r>
          </w:p>
        </w:tc>
        <w:tc>
          <w:tcPr>
            <w:tcW w:w="613" w:type="pct"/>
            <w:vAlign w:val="center"/>
          </w:tcPr>
          <w:p w14:paraId="418CC019">
            <w:pPr>
              <w:adjustRightInd w:val="0"/>
              <w:ind w:firstLine="0" w:firstLineChars="0"/>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干选废石(万t/a)</w:t>
            </w:r>
          </w:p>
        </w:tc>
        <w:tc>
          <w:tcPr>
            <w:tcW w:w="782" w:type="pct"/>
            <w:vAlign w:val="center"/>
          </w:tcPr>
          <w:p w14:paraId="4FB25925">
            <w:pPr>
              <w:adjustRightInd w:val="0"/>
              <w:ind w:left="145" w:right="170" w:firstLine="0" w:firstLineChars="0"/>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湿抛废石 (万 t/a)</w:t>
            </w:r>
          </w:p>
        </w:tc>
      </w:tr>
      <w:tr w14:paraId="0DFD25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84" w:type="pct"/>
            <w:vAlign w:val="center"/>
          </w:tcPr>
          <w:p w14:paraId="1E8A48D2">
            <w:pPr>
              <w:adjustRightInd w:val="0"/>
              <w:ind w:firstLine="0" w:firstLineChars="0"/>
              <w:jc w:val="center"/>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300</w:t>
            </w:r>
          </w:p>
        </w:tc>
        <w:tc>
          <w:tcPr>
            <w:tcW w:w="577" w:type="pct"/>
            <w:vAlign w:val="center"/>
          </w:tcPr>
          <w:p w14:paraId="3A18617A">
            <w:pPr>
              <w:adjustRightInd w:val="0"/>
              <w:ind w:firstLine="0" w:firstLineChars="0"/>
              <w:jc w:val="center"/>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96.06</w:t>
            </w:r>
          </w:p>
        </w:tc>
        <w:tc>
          <w:tcPr>
            <w:tcW w:w="862" w:type="pct"/>
            <w:vAlign w:val="center"/>
          </w:tcPr>
          <w:p w14:paraId="54606035">
            <w:pPr>
              <w:adjustRightInd w:val="0"/>
              <w:ind w:firstLine="0" w:firstLineChars="0"/>
              <w:jc w:val="center"/>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0</w:t>
            </w:r>
          </w:p>
        </w:tc>
        <w:tc>
          <w:tcPr>
            <w:tcW w:w="853" w:type="pct"/>
            <w:vAlign w:val="center"/>
          </w:tcPr>
          <w:p w14:paraId="1057B7C2">
            <w:pPr>
              <w:adjustRightInd w:val="0"/>
              <w:ind w:firstLine="0" w:firstLineChars="0"/>
              <w:jc w:val="center"/>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120.44</w:t>
            </w:r>
          </w:p>
        </w:tc>
        <w:tc>
          <w:tcPr>
            <w:tcW w:w="729" w:type="pct"/>
            <w:vAlign w:val="center"/>
          </w:tcPr>
          <w:p w14:paraId="1031538A">
            <w:pPr>
              <w:adjustRightInd w:val="0"/>
              <w:ind w:firstLine="0" w:firstLineChars="0"/>
              <w:jc w:val="center"/>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5.5</w:t>
            </w:r>
          </w:p>
        </w:tc>
        <w:tc>
          <w:tcPr>
            <w:tcW w:w="613" w:type="pct"/>
            <w:vAlign w:val="center"/>
          </w:tcPr>
          <w:p w14:paraId="4F5E823D">
            <w:pPr>
              <w:adjustRightInd w:val="0"/>
              <w:ind w:firstLine="0" w:firstLineChars="0"/>
              <w:jc w:val="center"/>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45</w:t>
            </w:r>
          </w:p>
        </w:tc>
        <w:tc>
          <w:tcPr>
            <w:tcW w:w="782" w:type="pct"/>
            <w:vAlign w:val="center"/>
          </w:tcPr>
          <w:p w14:paraId="77B74555">
            <w:pPr>
              <w:adjustRightInd w:val="0"/>
              <w:ind w:firstLine="0" w:firstLineChars="0"/>
              <w:jc w:val="center"/>
              <w:rPr>
                <w:rFonts w:cs="Times New Roman"/>
                <w:snapToGrid w:val="0"/>
                <w:color w:val="auto"/>
                <w:spacing w:val="4"/>
                <w:kern w:val="0"/>
                <w:position w:val="2"/>
                <w:sz w:val="21"/>
                <w:szCs w:val="21"/>
              </w:rPr>
            </w:pPr>
            <w:r>
              <w:rPr>
                <w:rFonts w:cs="Times New Roman"/>
                <w:snapToGrid w:val="0"/>
                <w:color w:val="auto"/>
                <w:spacing w:val="4"/>
                <w:kern w:val="0"/>
                <w:position w:val="2"/>
                <w:sz w:val="21"/>
                <w:szCs w:val="21"/>
              </w:rPr>
              <w:t>33</w:t>
            </w:r>
          </w:p>
        </w:tc>
      </w:tr>
    </w:tbl>
    <w:p w14:paraId="439117B1">
      <w:pPr>
        <w:pStyle w:val="5"/>
      </w:pPr>
      <w:r>
        <w:t>3.</w:t>
      </w:r>
      <w:r>
        <w:rPr>
          <w:rFonts w:hint="eastAsia"/>
        </w:rPr>
        <w:t>3</w:t>
      </w:r>
      <w:r>
        <w:t>.</w:t>
      </w:r>
      <w:r>
        <w:rPr>
          <w:rFonts w:hint="eastAsia"/>
        </w:rPr>
        <w:t>4</w:t>
      </w:r>
      <w:r>
        <w:t xml:space="preserve">.2 </w:t>
      </w:r>
      <w:r>
        <w:rPr>
          <w:rFonts w:hint="eastAsia"/>
        </w:rPr>
        <w:t>水平衡</w:t>
      </w:r>
    </w:p>
    <w:p w14:paraId="39822632">
      <w:pPr>
        <w:ind w:firstLine="480"/>
      </w:pPr>
      <w:r>
        <w:rPr>
          <w:rFonts w:hint="eastAsia"/>
        </w:rPr>
        <w:t>全厂</w:t>
      </w:r>
      <w:r>
        <w:t>水平衡图见图 3.</w:t>
      </w:r>
      <w:r>
        <w:rPr>
          <w:rFonts w:hint="eastAsia"/>
        </w:rPr>
        <w:t>3</w:t>
      </w:r>
      <w:r>
        <w:t>-</w:t>
      </w:r>
      <w:r>
        <w:rPr>
          <w:rFonts w:hint="eastAsia"/>
        </w:rPr>
        <w:t>1</w:t>
      </w:r>
      <w:r>
        <w:t>2。</w:t>
      </w:r>
    </w:p>
    <w:p w14:paraId="0AFE85B9">
      <w:pPr>
        <w:ind w:firstLine="480"/>
      </w:pPr>
    </w:p>
    <w:p w14:paraId="3FA8FFF1">
      <w:pPr>
        <w:ind w:firstLine="480"/>
      </w:pPr>
    </w:p>
    <w:p w14:paraId="4237D7DA">
      <w:pPr>
        <w:ind w:firstLine="480"/>
      </w:pPr>
    </w:p>
    <w:p w14:paraId="5E2D1C53">
      <w:pPr>
        <w:ind w:firstLine="480"/>
      </w:pPr>
    </w:p>
    <w:p w14:paraId="6BF41302">
      <w:pPr>
        <w:ind w:firstLine="480"/>
        <w:sectPr>
          <w:pgSz w:w="11906" w:h="16838"/>
          <w:pgMar w:top="1440" w:right="1797" w:bottom="1440" w:left="1797" w:header="851" w:footer="992" w:gutter="0"/>
          <w:cols w:space="425" w:num="1"/>
          <w:docGrid w:type="lines" w:linePitch="312" w:charSpace="0"/>
        </w:sectPr>
      </w:pPr>
    </w:p>
    <w:p w14:paraId="22E975D3">
      <w:pPr>
        <w:ind w:firstLine="0" w:firstLineChars="0"/>
        <w:jc w:val="center"/>
        <w:rPr>
          <w:b/>
        </w:rPr>
      </w:pPr>
      <w:r>
        <w:rPr>
          <w:b/>
          <w:bCs/>
          <w:szCs w:val="20"/>
        </w:rPr>
        <w:drawing>
          <wp:inline distT="0" distB="0" distL="0" distR="0">
            <wp:extent cx="8820150" cy="4902200"/>
            <wp:effectExtent l="0" t="0" r="0" b="0"/>
            <wp:docPr id="1181907276" name="图片 118190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07276" name="图片 11819072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8820150" cy="4902200"/>
                    </a:xfrm>
                    <a:prstGeom prst="rect">
                      <a:avLst/>
                    </a:prstGeom>
                    <a:noFill/>
                    <a:ln>
                      <a:noFill/>
                    </a:ln>
                  </pic:spPr>
                </pic:pic>
              </a:graphicData>
            </a:graphic>
          </wp:inline>
        </w:drawing>
      </w:r>
    </w:p>
    <w:p w14:paraId="1C1A3538">
      <w:pPr>
        <w:ind w:firstLine="0" w:firstLineChars="0"/>
        <w:jc w:val="center"/>
        <w:rPr>
          <w:b/>
        </w:rPr>
      </w:pPr>
      <w:r>
        <w:rPr>
          <w:b/>
        </w:rPr>
        <w:t>图</w:t>
      </w:r>
      <w:r>
        <w:rPr>
          <w:rFonts w:hint="eastAsia"/>
          <w:b/>
        </w:rPr>
        <w:t>3.</w:t>
      </w:r>
      <w:r>
        <w:rPr>
          <w:b/>
        </w:rPr>
        <w:t>3</w:t>
      </w:r>
      <w:r>
        <w:rPr>
          <w:rFonts w:hint="eastAsia"/>
          <w:b/>
        </w:rPr>
        <w:t>-1</w:t>
      </w:r>
      <w:r>
        <w:rPr>
          <w:b/>
        </w:rPr>
        <w:t>6  项目水平衡（单位：m</w:t>
      </w:r>
      <w:r>
        <w:rPr>
          <w:b/>
          <w:vertAlign w:val="superscript"/>
        </w:rPr>
        <w:t>3</w:t>
      </w:r>
      <w:r>
        <w:rPr>
          <w:b/>
        </w:rPr>
        <w:t>/</w:t>
      </w:r>
      <w:r>
        <w:rPr>
          <w:rFonts w:hint="eastAsia"/>
          <w:b/>
        </w:rPr>
        <w:t>d</w:t>
      </w:r>
      <w:r>
        <w:rPr>
          <w:b/>
        </w:rPr>
        <w:t>）</w:t>
      </w:r>
    </w:p>
    <w:p w14:paraId="5551E625">
      <w:pPr>
        <w:ind w:firstLine="0" w:firstLineChars="0"/>
        <w:jc w:val="center"/>
        <w:sectPr>
          <w:pgSz w:w="16838" w:h="11906" w:orient="landscape"/>
          <w:pgMar w:top="1797" w:right="1440" w:bottom="1797" w:left="1440" w:header="851" w:footer="992" w:gutter="0"/>
          <w:cols w:space="425" w:num="1"/>
          <w:docGrid w:type="linesAndChars" w:linePitch="326" w:charSpace="0"/>
        </w:sectPr>
      </w:pPr>
    </w:p>
    <w:p w14:paraId="744727D0">
      <w:pPr>
        <w:pStyle w:val="3"/>
      </w:pPr>
      <w:bookmarkStart w:id="33" w:name="_Toc85213498"/>
      <w:r>
        <w:rPr>
          <w:rFonts w:hint="eastAsia"/>
        </w:rPr>
        <w:t>3.</w:t>
      </w:r>
      <w:r>
        <w:t xml:space="preserve">4 </w:t>
      </w:r>
      <w:r>
        <w:rPr>
          <w:rFonts w:hint="eastAsia"/>
        </w:rPr>
        <w:t>污染源分析</w:t>
      </w:r>
      <w:bookmarkEnd w:id="33"/>
    </w:p>
    <w:p w14:paraId="717A9A67">
      <w:pPr>
        <w:pStyle w:val="4"/>
        <w:spacing w:before="120" w:after="120" w:line="360" w:lineRule="exact"/>
      </w:pPr>
      <w:r>
        <w:rPr>
          <w:rFonts w:hint="eastAsia"/>
        </w:rPr>
        <w:t>3.</w:t>
      </w:r>
      <w:r>
        <w:t>4</w:t>
      </w:r>
      <w:r>
        <w:rPr>
          <w:rFonts w:hint="eastAsia"/>
        </w:rPr>
        <w:t>.1</w:t>
      </w:r>
      <w:r>
        <w:t xml:space="preserve"> </w:t>
      </w:r>
      <w:r>
        <w:rPr>
          <w:rFonts w:hint="eastAsia"/>
        </w:rPr>
        <w:t>废气污染源分析</w:t>
      </w:r>
    </w:p>
    <w:p w14:paraId="3566364B">
      <w:pPr>
        <w:ind w:firstLine="480"/>
      </w:pPr>
      <w:r>
        <w:t>（1）采矿工程废气</w:t>
      </w:r>
    </w:p>
    <w:p w14:paraId="2D3DAC9F">
      <w:pPr>
        <w:ind w:firstLine="480"/>
      </w:pPr>
      <w:r>
        <w:t>采矿工程粉尘产生的生产环节主要有：井下采场的凿岩、爆破、铲装、放矿过 程中产生的粉尘；井下粗破碎硐室破碎机作业过程中产生的粉尘；井下运输车辆排 放的汽车尾气。</w:t>
      </w:r>
    </w:p>
    <w:p w14:paraId="32140D47">
      <w:pPr>
        <w:ind w:firstLine="480"/>
      </w:pPr>
      <w:r>
        <w:t>对开采过程中产生的粉尘，采用湿式作业及爆堆、洒水抑尘；破碎硐室采用 2 台 WSA-10 型卧式旋风水膜除尘器和 WSCII-2.0 型振弦洗涤除尘器，每台处理风量 25000m</w:t>
      </w:r>
      <w:r>
        <w:rPr>
          <w:vertAlign w:val="superscript"/>
        </w:rPr>
        <w:t>3</w:t>
      </w:r>
      <w:r>
        <w:t>/h，水雾喷嘴若干个，控制破碎产生的粉尘；柴油铲运车排放的废气中含有 少量 CO 和NOx；爆破使用普通铵油炸药及 2 号岩石炸药，炮烟中含有 CO 和NOx。通 过湿式作业、洒水抑尘减少粉尘产生量，井下粉尘、炮烟等废气通过局部通风、系 统通风，由南风井、北风井排至地表。</w:t>
      </w:r>
    </w:p>
    <w:p w14:paraId="464E3B81">
      <w:pPr>
        <w:ind w:firstLine="480"/>
      </w:pPr>
      <w:r>
        <w:t>（2）选厂粉尘</w:t>
      </w:r>
    </w:p>
    <w:p w14:paraId="5FBE6BBF">
      <w:pPr>
        <w:ind w:firstLine="480"/>
      </w:pPr>
      <w:r>
        <w:t>选矿粉尘主要为干抛车间、中细碎车间、筛分车间等生产过程中产生的粉尘。</w:t>
      </w:r>
    </w:p>
    <w:p w14:paraId="0E5AF220">
      <w:pPr>
        <w:ind w:firstLine="480"/>
      </w:pPr>
      <w:r>
        <w:t>1）中细碎车间：一套低压脉冲长袋除尘系统，风量：98000m</w:t>
      </w:r>
      <w:r>
        <w:rPr>
          <w:vertAlign w:val="superscript"/>
        </w:rPr>
        <w:t>3</w:t>
      </w:r>
      <w:r>
        <w:t>/h，面积 2000m</w:t>
      </w:r>
      <w:r>
        <w:rPr>
          <w:vertAlign w:val="superscript"/>
        </w:rPr>
        <w:t>2</w:t>
      </w:r>
      <w:r>
        <w:t>， 过滤风速：0.78m/s；</w:t>
      </w:r>
    </w:p>
    <w:p w14:paraId="3AB9CDEC">
      <w:pPr>
        <w:ind w:firstLine="480"/>
      </w:pPr>
      <w:r>
        <w:drawing>
          <wp:inline distT="0" distB="0" distL="0" distR="0">
            <wp:extent cx="4521200" cy="3287395"/>
            <wp:effectExtent l="0" t="0" r="0" b="8255"/>
            <wp:docPr id="698316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1698" name="图片 1"/>
                    <pic:cNvPicPr>
                      <a:picLocks noChangeAspect="1"/>
                    </pic:cNvPicPr>
                  </pic:nvPicPr>
                  <pic:blipFill>
                    <a:blip r:embed="rId39"/>
                    <a:stretch>
                      <a:fillRect/>
                    </a:stretch>
                  </pic:blipFill>
                  <pic:spPr>
                    <a:xfrm>
                      <a:off x="0" y="0"/>
                      <a:ext cx="4531377" cy="3295257"/>
                    </a:xfrm>
                    <a:prstGeom prst="rect">
                      <a:avLst/>
                    </a:prstGeom>
                  </pic:spPr>
                </pic:pic>
              </a:graphicData>
            </a:graphic>
          </wp:inline>
        </w:drawing>
      </w:r>
    </w:p>
    <w:p w14:paraId="17D4C073">
      <w:pPr>
        <w:ind w:firstLine="482"/>
        <w:jc w:val="center"/>
        <w:rPr>
          <w:b/>
        </w:rPr>
      </w:pPr>
      <w:r>
        <w:rPr>
          <w:b/>
        </w:rPr>
        <w:t>图</w:t>
      </w:r>
      <w:r>
        <w:rPr>
          <w:rFonts w:hint="eastAsia"/>
          <w:b/>
        </w:rPr>
        <w:t>3.4-1</w:t>
      </w:r>
      <w:r>
        <w:rPr>
          <w:b/>
        </w:rPr>
        <w:t xml:space="preserve">  </w:t>
      </w:r>
      <w:r>
        <w:rPr>
          <w:rFonts w:hint="eastAsia"/>
          <w:b/>
        </w:rPr>
        <w:t>中</w:t>
      </w:r>
      <w:r>
        <w:rPr>
          <w:b/>
        </w:rPr>
        <w:t>细碎车间除尘器</w:t>
      </w:r>
    </w:p>
    <w:p w14:paraId="29BF0633">
      <w:pPr>
        <w:ind w:firstLine="520"/>
        <w:rPr>
          <w:b/>
        </w:rPr>
      </w:pPr>
      <w:r>
        <w:rPr>
          <w:rFonts w:hint="eastAsia" w:ascii="Cambria Math" w:hAnsi="Cambria Math" w:cs="Cambria Math"/>
          <w:spacing w:val="10"/>
          <w:szCs w:val="24"/>
        </w:rPr>
        <w:t>2）</w:t>
      </w:r>
      <w:r>
        <w:rPr>
          <w:rFonts w:cs="Times New Roman"/>
          <w:spacing w:val="10"/>
          <w:szCs w:val="24"/>
        </w:rPr>
        <w:t>筛分车间：采用一套低压脉冲长袋除尘系统，风量：150000m</w:t>
      </w:r>
      <w:r>
        <w:rPr>
          <w:rFonts w:cs="Times New Roman"/>
          <w:spacing w:val="10"/>
          <w:szCs w:val="24"/>
          <w:vertAlign w:val="superscript"/>
        </w:rPr>
        <w:t>3</w:t>
      </w:r>
      <w:r>
        <w:rPr>
          <w:rFonts w:cs="Times New Roman"/>
          <w:spacing w:val="10"/>
          <w:szCs w:val="24"/>
        </w:rPr>
        <w:t>/h，面积3600m</w:t>
      </w:r>
      <w:r>
        <w:rPr>
          <w:rFonts w:cs="Times New Roman"/>
          <w:spacing w:val="10"/>
          <w:szCs w:val="24"/>
          <w:vertAlign w:val="superscript"/>
        </w:rPr>
        <w:t>2</w:t>
      </w:r>
      <w:r>
        <w:rPr>
          <w:rFonts w:cs="Times New Roman"/>
          <w:spacing w:val="10"/>
          <w:szCs w:val="24"/>
        </w:rPr>
        <w:t xml:space="preserve"> ，过滤风速：0.78m/s。</w:t>
      </w:r>
    </w:p>
    <w:p w14:paraId="41E183E5">
      <w:pPr>
        <w:ind w:firstLine="480"/>
        <w:jc w:val="center"/>
        <w:rPr>
          <w:b/>
        </w:rPr>
      </w:pPr>
      <w:r>
        <w:drawing>
          <wp:inline distT="0" distB="0" distL="0" distR="0">
            <wp:extent cx="4152900" cy="5536565"/>
            <wp:effectExtent l="0" t="0" r="0" b="0"/>
            <wp:docPr id="1666427602" name="IM 94"/>
            <wp:cNvGraphicFramePr/>
            <a:graphic xmlns:a="http://schemas.openxmlformats.org/drawingml/2006/main">
              <a:graphicData uri="http://schemas.openxmlformats.org/drawingml/2006/picture">
                <pic:pic xmlns:pic="http://schemas.openxmlformats.org/drawingml/2006/picture">
                  <pic:nvPicPr>
                    <pic:cNvPr id="1666427602" name="IM 94"/>
                    <pic:cNvPicPr/>
                  </pic:nvPicPr>
                  <pic:blipFill>
                    <a:blip r:embed="rId40"/>
                    <a:stretch>
                      <a:fillRect/>
                    </a:stretch>
                  </pic:blipFill>
                  <pic:spPr>
                    <a:xfrm>
                      <a:off x="0" y="0"/>
                      <a:ext cx="4152900" cy="5536691"/>
                    </a:xfrm>
                    <a:prstGeom prst="rect">
                      <a:avLst/>
                    </a:prstGeom>
                  </pic:spPr>
                </pic:pic>
              </a:graphicData>
            </a:graphic>
          </wp:inline>
        </w:drawing>
      </w:r>
    </w:p>
    <w:p w14:paraId="6E375726">
      <w:pPr>
        <w:ind w:firstLine="482"/>
        <w:jc w:val="center"/>
        <w:rPr>
          <w:b/>
        </w:rPr>
      </w:pPr>
      <w:r>
        <w:rPr>
          <w:b/>
        </w:rPr>
        <w:t>图</w:t>
      </w:r>
      <w:r>
        <w:rPr>
          <w:rFonts w:hint="eastAsia"/>
          <w:b/>
        </w:rPr>
        <w:t>3.4-2</w:t>
      </w:r>
      <w:r>
        <w:rPr>
          <w:b/>
        </w:rPr>
        <w:t xml:space="preserve">  </w:t>
      </w:r>
      <w:r>
        <w:rPr>
          <w:rFonts w:hint="eastAsia"/>
          <w:b/>
        </w:rPr>
        <w:t>筛分</w:t>
      </w:r>
      <w:r>
        <w:rPr>
          <w:b/>
        </w:rPr>
        <w:t>车间除尘器</w:t>
      </w:r>
    </w:p>
    <w:p w14:paraId="017CBF4F">
      <w:pPr>
        <w:ind w:firstLine="520"/>
        <w:rPr>
          <w:rFonts w:cs="Times New Roman"/>
          <w:spacing w:val="10"/>
          <w:szCs w:val="24"/>
        </w:rPr>
      </w:pPr>
      <w:r>
        <w:rPr>
          <w:rFonts w:cs="Times New Roman"/>
          <w:spacing w:val="10"/>
          <w:szCs w:val="24"/>
        </w:rPr>
        <w:t>3）干抛车间及废石仓除尘系统：一套低压脉冲长袋除尘系统，风量：10000m</w:t>
      </w:r>
      <w:r>
        <w:rPr>
          <w:rFonts w:cs="Times New Roman"/>
          <w:spacing w:val="10"/>
          <w:szCs w:val="24"/>
          <w:vertAlign w:val="superscript"/>
        </w:rPr>
        <w:t>3</w:t>
      </w:r>
      <w:r>
        <w:rPr>
          <w:rFonts w:cs="Times New Roman"/>
          <w:spacing w:val="10"/>
          <w:szCs w:val="24"/>
        </w:rPr>
        <w:t>/h，面积150m</w:t>
      </w:r>
      <w:r>
        <w:rPr>
          <w:rFonts w:cs="Times New Roman"/>
          <w:spacing w:val="10"/>
          <w:szCs w:val="24"/>
          <w:vertAlign w:val="superscript"/>
        </w:rPr>
        <w:t>2</w:t>
      </w:r>
      <w:r>
        <w:rPr>
          <w:rFonts w:cs="Times New Roman"/>
          <w:spacing w:val="10"/>
          <w:szCs w:val="24"/>
        </w:rPr>
        <w:t xml:space="preserve"> ，过滤风速：1.1m/s。废气经除尘系统处理后，并入筛分车间除尘系统的排气筒 DA002 排放。</w:t>
      </w:r>
    </w:p>
    <w:p w14:paraId="5DE73814">
      <w:pPr>
        <w:ind w:firstLine="480"/>
        <w:jc w:val="center"/>
        <w:rPr>
          <w:b/>
        </w:rPr>
      </w:pPr>
      <w:r>
        <w:drawing>
          <wp:inline distT="0" distB="0" distL="0" distR="0">
            <wp:extent cx="4152900" cy="5536565"/>
            <wp:effectExtent l="0" t="0" r="0" b="0"/>
            <wp:docPr id="991599000" name="IM 95"/>
            <wp:cNvGraphicFramePr/>
            <a:graphic xmlns:a="http://schemas.openxmlformats.org/drawingml/2006/main">
              <a:graphicData uri="http://schemas.openxmlformats.org/drawingml/2006/picture">
                <pic:pic xmlns:pic="http://schemas.openxmlformats.org/drawingml/2006/picture">
                  <pic:nvPicPr>
                    <pic:cNvPr id="991599000" name="IM 95"/>
                    <pic:cNvPicPr/>
                  </pic:nvPicPr>
                  <pic:blipFill>
                    <a:blip r:embed="rId41"/>
                    <a:stretch>
                      <a:fillRect/>
                    </a:stretch>
                  </pic:blipFill>
                  <pic:spPr>
                    <a:xfrm>
                      <a:off x="0" y="0"/>
                      <a:ext cx="4152900" cy="5536691"/>
                    </a:xfrm>
                    <a:prstGeom prst="rect">
                      <a:avLst/>
                    </a:prstGeom>
                  </pic:spPr>
                </pic:pic>
              </a:graphicData>
            </a:graphic>
          </wp:inline>
        </w:drawing>
      </w:r>
    </w:p>
    <w:p w14:paraId="42AA52CB">
      <w:pPr>
        <w:ind w:firstLine="482"/>
        <w:jc w:val="center"/>
        <w:rPr>
          <w:b/>
        </w:rPr>
      </w:pPr>
      <w:r>
        <w:rPr>
          <w:b/>
        </w:rPr>
        <w:t>图3.</w:t>
      </w:r>
      <w:r>
        <w:rPr>
          <w:rFonts w:hint="eastAsia"/>
          <w:b/>
        </w:rPr>
        <w:t>4</w:t>
      </w:r>
      <w:r>
        <w:rPr>
          <w:b/>
        </w:rPr>
        <w:t>-3  干抛车间及废石仓除尘器</w:t>
      </w:r>
    </w:p>
    <w:p w14:paraId="02294C28">
      <w:pPr>
        <w:ind w:firstLine="520"/>
        <w:rPr>
          <w:rFonts w:cs="Times New Roman"/>
          <w:spacing w:val="10"/>
          <w:szCs w:val="24"/>
        </w:rPr>
      </w:pPr>
      <w:r>
        <w:rPr>
          <w:rFonts w:cs="Times New Roman"/>
          <w:spacing w:val="10"/>
          <w:szCs w:val="24"/>
        </w:rPr>
        <w:t>4）1#皮带除尘系统：一台低压脉冲布袋除尘器，风量17000m</w:t>
      </w:r>
      <w:r>
        <w:rPr>
          <w:rFonts w:cs="Times New Roman"/>
          <w:spacing w:val="10"/>
          <w:szCs w:val="24"/>
          <w:vertAlign w:val="superscript"/>
        </w:rPr>
        <w:t>3</w:t>
      </w:r>
      <w:r>
        <w:rPr>
          <w:rFonts w:cs="Times New Roman"/>
          <w:spacing w:val="10"/>
          <w:szCs w:val="24"/>
        </w:rPr>
        <w:t>/h，面积150m2 ，过滤风速1.1m/s</w:t>
      </w:r>
      <w:r>
        <w:rPr>
          <w:rFonts w:hint="eastAsia" w:cs="Times New Roman"/>
          <w:spacing w:val="10"/>
          <w:szCs w:val="24"/>
        </w:rPr>
        <w:t>。</w:t>
      </w:r>
    </w:p>
    <w:p w14:paraId="1AF4B298">
      <w:pPr>
        <w:ind w:firstLine="480"/>
        <w:jc w:val="center"/>
        <w:rPr>
          <w:b/>
        </w:rPr>
      </w:pPr>
      <w:r>
        <w:drawing>
          <wp:inline distT="0" distB="0" distL="0" distR="0">
            <wp:extent cx="4411345" cy="618744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42"/>
                    <a:stretch>
                      <a:fillRect/>
                    </a:stretch>
                  </pic:blipFill>
                  <pic:spPr>
                    <a:xfrm>
                      <a:off x="0" y="0"/>
                      <a:ext cx="4411979" cy="6187440"/>
                    </a:xfrm>
                    <a:prstGeom prst="rect">
                      <a:avLst/>
                    </a:prstGeom>
                  </pic:spPr>
                </pic:pic>
              </a:graphicData>
            </a:graphic>
          </wp:inline>
        </w:drawing>
      </w:r>
    </w:p>
    <w:p w14:paraId="6FFA9B4E">
      <w:pPr>
        <w:ind w:firstLine="482"/>
        <w:jc w:val="center"/>
        <w:rPr>
          <w:b/>
        </w:rPr>
      </w:pPr>
      <w:r>
        <w:rPr>
          <w:b/>
        </w:rPr>
        <w:t>图3.</w:t>
      </w:r>
      <w:r>
        <w:rPr>
          <w:rFonts w:hint="eastAsia"/>
          <w:b/>
        </w:rPr>
        <w:t>4</w:t>
      </w:r>
      <w:r>
        <w:rPr>
          <w:b/>
        </w:rPr>
        <w:t>-</w:t>
      </w:r>
      <w:r>
        <w:rPr>
          <w:rFonts w:hint="eastAsia"/>
          <w:b/>
        </w:rPr>
        <w:t>4</w:t>
      </w:r>
      <w:r>
        <w:rPr>
          <w:b/>
        </w:rPr>
        <w:t xml:space="preserve">  1#皮带除尘器</w:t>
      </w:r>
    </w:p>
    <w:p w14:paraId="40D1ECFA">
      <w:pPr>
        <w:widowControl/>
        <w:ind w:firstLine="520"/>
        <w:jc w:val="left"/>
        <w:rPr>
          <w:rFonts w:cs="Times New Roman"/>
          <w:spacing w:val="10"/>
          <w:szCs w:val="24"/>
        </w:rPr>
      </w:pPr>
      <w:r>
        <w:rPr>
          <w:rFonts w:cs="Times New Roman"/>
          <w:spacing w:val="10"/>
          <w:szCs w:val="24"/>
        </w:rPr>
        <w:t>5）8#、9#皮带除尘系统：</w:t>
      </w:r>
      <w:r>
        <w:rPr>
          <w:rFonts w:hint="eastAsia" w:cs="Times New Roman"/>
          <w:spacing w:val="10"/>
          <w:szCs w:val="24"/>
        </w:rPr>
        <w:t>各设置</w:t>
      </w:r>
      <w:r>
        <w:rPr>
          <w:rFonts w:cs="Times New Roman"/>
          <w:spacing w:val="10"/>
          <w:szCs w:val="24"/>
        </w:rPr>
        <w:t>一台单机低压脉冲布袋除尘器，风量8000m</w:t>
      </w:r>
      <w:r>
        <w:rPr>
          <w:rFonts w:cs="Times New Roman"/>
          <w:spacing w:val="10"/>
          <w:szCs w:val="24"/>
          <w:vertAlign w:val="superscript"/>
        </w:rPr>
        <w:t>3</w:t>
      </w:r>
      <w:r>
        <w:rPr>
          <w:rFonts w:cs="Times New Roman"/>
          <w:spacing w:val="10"/>
          <w:szCs w:val="24"/>
        </w:rPr>
        <w:t>/h，面积120m</w:t>
      </w:r>
      <w:r>
        <w:rPr>
          <w:rFonts w:cs="Times New Roman"/>
          <w:spacing w:val="10"/>
          <w:szCs w:val="24"/>
          <w:vertAlign w:val="superscript"/>
        </w:rPr>
        <w:t>2</w:t>
      </w:r>
      <w:r>
        <w:rPr>
          <w:rFonts w:cs="Times New Roman"/>
          <w:spacing w:val="10"/>
          <w:szCs w:val="24"/>
        </w:rPr>
        <w:t>， 过滤风速1.1m/s。</w:t>
      </w:r>
    </w:p>
    <w:p w14:paraId="67C607CA">
      <w:pPr>
        <w:ind w:firstLine="480"/>
        <w:jc w:val="center"/>
        <w:rPr>
          <w:b/>
        </w:rPr>
      </w:pPr>
      <w:r>
        <w:drawing>
          <wp:inline distT="0" distB="0" distL="0" distR="0">
            <wp:extent cx="4995545" cy="6791960"/>
            <wp:effectExtent l="0" t="0" r="0" b="0"/>
            <wp:docPr id="1226788056" name="IM 97"/>
            <wp:cNvGraphicFramePr/>
            <a:graphic xmlns:a="http://schemas.openxmlformats.org/drawingml/2006/main">
              <a:graphicData uri="http://schemas.openxmlformats.org/drawingml/2006/picture">
                <pic:pic xmlns:pic="http://schemas.openxmlformats.org/drawingml/2006/picture">
                  <pic:nvPicPr>
                    <pic:cNvPr id="1226788056" name="IM 97"/>
                    <pic:cNvPicPr/>
                  </pic:nvPicPr>
                  <pic:blipFill>
                    <a:blip r:embed="rId43"/>
                    <a:stretch>
                      <a:fillRect/>
                    </a:stretch>
                  </pic:blipFill>
                  <pic:spPr>
                    <a:xfrm>
                      <a:off x="0" y="0"/>
                      <a:ext cx="4995671" cy="6791960"/>
                    </a:xfrm>
                    <a:prstGeom prst="rect">
                      <a:avLst/>
                    </a:prstGeom>
                  </pic:spPr>
                </pic:pic>
              </a:graphicData>
            </a:graphic>
          </wp:inline>
        </w:drawing>
      </w:r>
    </w:p>
    <w:p w14:paraId="2CBDE6F6">
      <w:pPr>
        <w:ind w:firstLine="482"/>
        <w:jc w:val="center"/>
        <w:rPr>
          <w:b/>
        </w:rPr>
      </w:pPr>
      <w:r>
        <w:rPr>
          <w:b/>
        </w:rPr>
        <w:t>图3.</w:t>
      </w:r>
      <w:r>
        <w:rPr>
          <w:rFonts w:hint="eastAsia"/>
          <w:b/>
        </w:rPr>
        <w:t>4</w:t>
      </w:r>
      <w:r>
        <w:rPr>
          <w:b/>
        </w:rPr>
        <w:t>-</w:t>
      </w:r>
      <w:r>
        <w:rPr>
          <w:rFonts w:hint="eastAsia"/>
          <w:b/>
        </w:rPr>
        <w:t>5</w:t>
      </w:r>
      <w:r>
        <w:rPr>
          <w:b/>
        </w:rPr>
        <w:t xml:space="preserve">  </w:t>
      </w:r>
      <w:r>
        <w:rPr>
          <w:rFonts w:hint="eastAsia"/>
          <w:b/>
        </w:rPr>
        <w:t>8#、9#皮带及 9#皮带机头环境除尘系统</w:t>
      </w:r>
    </w:p>
    <w:p w14:paraId="4A4D385B">
      <w:pPr>
        <w:widowControl/>
        <w:ind w:firstLine="520"/>
        <w:jc w:val="left"/>
        <w:rPr>
          <w:rFonts w:cs="Times New Roman"/>
          <w:spacing w:val="10"/>
          <w:szCs w:val="24"/>
        </w:rPr>
      </w:pPr>
      <w:r>
        <w:rPr>
          <w:rFonts w:cs="Times New Roman"/>
          <w:spacing w:val="10"/>
          <w:szCs w:val="24"/>
        </w:rPr>
        <w:t>7）9#皮带移动小车除尘系统：一台单机低压脉冲布袋除尘器 ，风量 20000m</w:t>
      </w:r>
      <w:r>
        <w:rPr>
          <w:rFonts w:cs="Times New Roman"/>
          <w:spacing w:val="10"/>
          <w:szCs w:val="24"/>
          <w:vertAlign w:val="superscript"/>
        </w:rPr>
        <w:t>3</w:t>
      </w:r>
      <w:r>
        <w:rPr>
          <w:rFonts w:cs="Times New Roman"/>
          <w:spacing w:val="10"/>
          <w:szCs w:val="24"/>
        </w:rPr>
        <w:t>/h，面积 300m</w:t>
      </w:r>
      <w:r>
        <w:rPr>
          <w:rFonts w:cs="Times New Roman"/>
          <w:spacing w:val="10"/>
          <w:szCs w:val="24"/>
          <w:vertAlign w:val="superscript"/>
        </w:rPr>
        <w:t>2</w:t>
      </w:r>
      <w:r>
        <w:rPr>
          <w:rFonts w:cs="Times New Roman"/>
          <w:spacing w:val="10"/>
          <w:szCs w:val="24"/>
        </w:rPr>
        <w:t xml:space="preserve"> ，过滤风速 1.1m/s</w:t>
      </w:r>
    </w:p>
    <w:p w14:paraId="05853255">
      <w:pPr>
        <w:ind w:firstLine="480"/>
        <w:jc w:val="center"/>
        <w:rPr>
          <w:b/>
        </w:rPr>
      </w:pPr>
      <w:r>
        <w:drawing>
          <wp:inline distT="0" distB="0" distL="0" distR="0">
            <wp:extent cx="5278120" cy="3957955"/>
            <wp:effectExtent l="0" t="0" r="0" b="4445"/>
            <wp:docPr id="633924654" name="IM 98"/>
            <wp:cNvGraphicFramePr/>
            <a:graphic xmlns:a="http://schemas.openxmlformats.org/drawingml/2006/main">
              <a:graphicData uri="http://schemas.openxmlformats.org/drawingml/2006/picture">
                <pic:pic xmlns:pic="http://schemas.openxmlformats.org/drawingml/2006/picture">
                  <pic:nvPicPr>
                    <pic:cNvPr id="633924654" name="IM 98"/>
                    <pic:cNvPicPr/>
                  </pic:nvPicPr>
                  <pic:blipFill>
                    <a:blip r:embed="rId44"/>
                    <a:stretch>
                      <a:fillRect/>
                    </a:stretch>
                  </pic:blipFill>
                  <pic:spPr>
                    <a:xfrm>
                      <a:off x="0" y="0"/>
                      <a:ext cx="5278120" cy="3958288"/>
                    </a:xfrm>
                    <a:prstGeom prst="rect">
                      <a:avLst/>
                    </a:prstGeom>
                  </pic:spPr>
                </pic:pic>
              </a:graphicData>
            </a:graphic>
          </wp:inline>
        </w:drawing>
      </w:r>
    </w:p>
    <w:p w14:paraId="0225BC96">
      <w:pPr>
        <w:ind w:firstLine="482"/>
        <w:jc w:val="center"/>
        <w:rPr>
          <w:b/>
        </w:rPr>
      </w:pPr>
      <w:r>
        <w:rPr>
          <w:b/>
        </w:rPr>
        <w:t>图3.</w:t>
      </w:r>
      <w:r>
        <w:rPr>
          <w:rFonts w:hint="eastAsia"/>
          <w:b/>
        </w:rPr>
        <w:t>4</w:t>
      </w:r>
      <w:r>
        <w:rPr>
          <w:b/>
        </w:rPr>
        <w:t>-</w:t>
      </w:r>
      <w:r>
        <w:rPr>
          <w:rFonts w:hint="eastAsia"/>
          <w:b/>
        </w:rPr>
        <w:t>6</w:t>
      </w:r>
      <w:r>
        <w:rPr>
          <w:b/>
        </w:rPr>
        <w:t xml:space="preserve">  </w:t>
      </w:r>
      <w:r>
        <w:rPr>
          <w:rFonts w:hint="eastAsia"/>
          <w:b/>
        </w:rPr>
        <w:t>9#皮带移动小车除尘</w:t>
      </w:r>
    </w:p>
    <w:p w14:paraId="316B3E45">
      <w:pPr>
        <w:widowControl/>
        <w:ind w:firstLine="520"/>
        <w:jc w:val="left"/>
        <w:rPr>
          <w:rFonts w:cs="Times New Roman"/>
          <w:spacing w:val="10"/>
          <w:szCs w:val="24"/>
        </w:rPr>
      </w:pPr>
      <w:r>
        <w:rPr>
          <w:rFonts w:cs="Times New Roman"/>
          <w:spacing w:val="10"/>
          <w:szCs w:val="24"/>
        </w:rPr>
        <w:t>8）3#皮带给矿移动小车除尘：一台单机低压脉冲布袋除尘器，风量20000m</w:t>
      </w:r>
      <w:r>
        <w:rPr>
          <w:rFonts w:cs="Times New Roman"/>
          <w:spacing w:val="10"/>
          <w:szCs w:val="24"/>
          <w:vertAlign w:val="superscript"/>
        </w:rPr>
        <w:t>3</w:t>
      </w:r>
      <w:r>
        <w:rPr>
          <w:rFonts w:cs="Times New Roman"/>
          <w:spacing w:val="10"/>
          <w:szCs w:val="24"/>
        </w:rPr>
        <w:t>/h， 面积300m</w:t>
      </w:r>
      <w:r>
        <w:rPr>
          <w:rFonts w:cs="Times New Roman"/>
          <w:spacing w:val="10"/>
          <w:szCs w:val="24"/>
          <w:vertAlign w:val="superscript"/>
        </w:rPr>
        <w:t>2</w:t>
      </w:r>
      <w:r>
        <w:rPr>
          <w:rFonts w:cs="Times New Roman"/>
          <w:spacing w:val="10"/>
          <w:szCs w:val="24"/>
        </w:rPr>
        <w:t xml:space="preserve"> ，过滤风速1.1m/s</w:t>
      </w:r>
      <w:r>
        <w:rPr>
          <w:rFonts w:hint="eastAsia" w:cs="Times New Roman"/>
          <w:spacing w:val="10"/>
          <w:szCs w:val="24"/>
        </w:rPr>
        <w:t>。</w:t>
      </w:r>
    </w:p>
    <w:p w14:paraId="1D0F527A">
      <w:pPr>
        <w:ind w:firstLine="480"/>
        <w:jc w:val="center"/>
        <w:rPr>
          <w:b/>
        </w:rPr>
      </w:pPr>
      <w:r>
        <w:drawing>
          <wp:inline distT="0" distB="0" distL="0" distR="0">
            <wp:extent cx="4942840" cy="6210300"/>
            <wp:effectExtent l="0" t="0" r="0" b="0"/>
            <wp:docPr id="1067665213" name="IM 99"/>
            <wp:cNvGraphicFramePr/>
            <a:graphic xmlns:a="http://schemas.openxmlformats.org/drawingml/2006/main">
              <a:graphicData uri="http://schemas.openxmlformats.org/drawingml/2006/picture">
                <pic:pic xmlns:pic="http://schemas.openxmlformats.org/drawingml/2006/picture">
                  <pic:nvPicPr>
                    <pic:cNvPr id="1067665213" name="IM 99"/>
                    <pic:cNvPicPr/>
                  </pic:nvPicPr>
                  <pic:blipFill>
                    <a:blip r:embed="rId45"/>
                    <a:stretch>
                      <a:fillRect/>
                    </a:stretch>
                  </pic:blipFill>
                  <pic:spPr>
                    <a:xfrm>
                      <a:off x="0" y="0"/>
                      <a:ext cx="4943817" cy="6211313"/>
                    </a:xfrm>
                    <a:prstGeom prst="rect">
                      <a:avLst/>
                    </a:prstGeom>
                  </pic:spPr>
                </pic:pic>
              </a:graphicData>
            </a:graphic>
          </wp:inline>
        </w:drawing>
      </w:r>
    </w:p>
    <w:p w14:paraId="7D82BC70">
      <w:pPr>
        <w:ind w:firstLine="482"/>
        <w:jc w:val="center"/>
        <w:rPr>
          <w:b/>
        </w:rPr>
      </w:pPr>
      <w:r>
        <w:rPr>
          <w:b/>
        </w:rPr>
        <w:t>图3.</w:t>
      </w:r>
      <w:r>
        <w:rPr>
          <w:rFonts w:hint="eastAsia"/>
          <w:b/>
        </w:rPr>
        <w:t>4</w:t>
      </w:r>
      <w:r>
        <w:rPr>
          <w:b/>
        </w:rPr>
        <w:t>-</w:t>
      </w:r>
      <w:r>
        <w:rPr>
          <w:rFonts w:hint="eastAsia"/>
          <w:b/>
        </w:rPr>
        <w:t>7</w:t>
      </w:r>
      <w:r>
        <w:rPr>
          <w:b/>
        </w:rPr>
        <w:t xml:space="preserve">  </w:t>
      </w:r>
      <w:r>
        <w:rPr>
          <w:rFonts w:hint="eastAsia"/>
          <w:b/>
        </w:rPr>
        <w:t>3#皮带移动小车除尘</w:t>
      </w:r>
    </w:p>
    <w:p w14:paraId="5F39DE05">
      <w:pPr>
        <w:widowControl/>
        <w:ind w:firstLine="520"/>
        <w:jc w:val="left"/>
        <w:rPr>
          <w:rFonts w:cs="Times New Roman"/>
          <w:spacing w:val="10"/>
          <w:szCs w:val="24"/>
        </w:rPr>
      </w:pPr>
      <w:r>
        <w:rPr>
          <w:rFonts w:cs="Times New Roman"/>
          <w:spacing w:val="10"/>
          <w:szCs w:val="24"/>
        </w:rPr>
        <w:t>9）汽车卸料除尘系统：一台单机低压脉冲布袋除尘器，风量 10500m</w:t>
      </w:r>
      <w:r>
        <w:rPr>
          <w:rFonts w:cs="Times New Roman"/>
          <w:spacing w:val="10"/>
          <w:szCs w:val="24"/>
          <w:vertAlign w:val="superscript"/>
        </w:rPr>
        <w:t>3</w:t>
      </w:r>
      <w:r>
        <w:rPr>
          <w:rFonts w:cs="Times New Roman"/>
          <w:spacing w:val="10"/>
          <w:szCs w:val="24"/>
        </w:rPr>
        <w:t>/h，面积 150m</w:t>
      </w:r>
      <w:r>
        <w:rPr>
          <w:rFonts w:cs="Times New Roman"/>
          <w:spacing w:val="10"/>
          <w:szCs w:val="24"/>
          <w:vertAlign w:val="superscript"/>
        </w:rPr>
        <w:t>2</w:t>
      </w:r>
      <w:r>
        <w:rPr>
          <w:rFonts w:cs="Times New Roman"/>
          <w:spacing w:val="10"/>
          <w:szCs w:val="24"/>
        </w:rPr>
        <w:t xml:space="preserve"> ，过滤风速 1.1m/s。</w:t>
      </w:r>
    </w:p>
    <w:p w14:paraId="13A05C04">
      <w:pPr>
        <w:ind w:firstLine="480"/>
        <w:jc w:val="center"/>
        <w:rPr>
          <w:b/>
        </w:rPr>
      </w:pPr>
      <w:r>
        <w:drawing>
          <wp:inline distT="0" distB="0" distL="0" distR="0">
            <wp:extent cx="5010150" cy="6829425"/>
            <wp:effectExtent l="0" t="0" r="0" b="9525"/>
            <wp:docPr id="16578908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90870" name="图片 1"/>
                    <pic:cNvPicPr>
                      <a:picLocks noChangeAspect="1"/>
                    </pic:cNvPicPr>
                  </pic:nvPicPr>
                  <pic:blipFill>
                    <a:blip r:embed="rId46"/>
                    <a:stretch>
                      <a:fillRect/>
                    </a:stretch>
                  </pic:blipFill>
                  <pic:spPr>
                    <a:xfrm>
                      <a:off x="0" y="0"/>
                      <a:ext cx="5010150" cy="6829425"/>
                    </a:xfrm>
                    <a:prstGeom prst="rect">
                      <a:avLst/>
                    </a:prstGeom>
                  </pic:spPr>
                </pic:pic>
              </a:graphicData>
            </a:graphic>
          </wp:inline>
        </w:drawing>
      </w:r>
    </w:p>
    <w:p w14:paraId="2355BC35">
      <w:pPr>
        <w:ind w:firstLine="482"/>
        <w:jc w:val="center"/>
        <w:rPr>
          <w:b/>
        </w:rPr>
      </w:pPr>
      <w:r>
        <w:rPr>
          <w:b/>
        </w:rPr>
        <w:t>图3.</w:t>
      </w:r>
      <w:r>
        <w:rPr>
          <w:rFonts w:hint="eastAsia"/>
          <w:b/>
        </w:rPr>
        <w:t>4</w:t>
      </w:r>
      <w:r>
        <w:rPr>
          <w:b/>
        </w:rPr>
        <w:t>-</w:t>
      </w:r>
      <w:r>
        <w:rPr>
          <w:rFonts w:hint="eastAsia"/>
          <w:b/>
        </w:rPr>
        <w:t>8</w:t>
      </w:r>
      <w:r>
        <w:rPr>
          <w:b/>
        </w:rPr>
        <w:t xml:space="preserve">  </w:t>
      </w:r>
      <w:r>
        <w:rPr>
          <w:rFonts w:hint="eastAsia"/>
          <w:b/>
        </w:rPr>
        <w:t>中转皮带尾轮除尘</w:t>
      </w:r>
    </w:p>
    <w:p w14:paraId="6009A0FC">
      <w:pPr>
        <w:spacing w:before="155"/>
        <w:ind w:firstLine="508"/>
        <w:rPr>
          <w:rFonts w:hint="eastAsia" w:ascii="宋体" w:hAnsi="宋体" w:cs="宋体"/>
          <w:szCs w:val="24"/>
        </w:rPr>
      </w:pPr>
      <w:r>
        <w:rPr>
          <w:rFonts w:ascii="宋体" w:hAnsi="宋体" w:cs="宋体"/>
          <w:spacing w:val="7"/>
          <w:szCs w:val="24"/>
        </w:rPr>
        <w:t>（</w:t>
      </w:r>
      <w:r>
        <w:rPr>
          <w:rFonts w:ascii="宋体" w:hAnsi="宋体" w:cs="宋体"/>
          <w:spacing w:val="4"/>
          <w:szCs w:val="24"/>
        </w:rPr>
        <w:t>3</w:t>
      </w:r>
      <w:r>
        <w:rPr>
          <w:rFonts w:ascii="宋体" w:hAnsi="宋体" w:cs="宋体"/>
          <w:spacing w:val="8"/>
          <w:szCs w:val="24"/>
        </w:rPr>
        <w:t>）</w:t>
      </w:r>
      <w:r>
        <w:rPr>
          <w:rFonts w:ascii="宋体" w:hAnsi="宋体" w:cs="宋体"/>
          <w:spacing w:val="7"/>
          <w:szCs w:val="24"/>
        </w:rPr>
        <w:t>尾矿库扬尘</w:t>
      </w:r>
    </w:p>
    <w:p w14:paraId="6C71C69A">
      <w:pPr>
        <w:spacing w:before="167" w:line="375" w:lineRule="auto"/>
        <w:ind w:left="9" w:right="21" w:firstLine="532"/>
        <w:rPr>
          <w:rFonts w:cs="Times New Roman"/>
          <w:spacing w:val="9"/>
          <w:szCs w:val="24"/>
        </w:rPr>
      </w:pPr>
      <w:r>
        <w:rPr>
          <w:rFonts w:ascii="宋体" w:hAnsi="宋体" w:cs="宋体"/>
          <w:spacing w:val="13"/>
          <w:szCs w:val="24"/>
        </w:rPr>
        <w:t>主要是尾矿库尾砂干坡</w:t>
      </w:r>
      <w:r>
        <w:rPr>
          <w:rFonts w:ascii="宋体" w:hAnsi="宋体" w:cs="宋体"/>
          <w:spacing w:val="12"/>
          <w:szCs w:val="24"/>
        </w:rPr>
        <w:t>段大风天气产生的风力扬尘</w:t>
      </w:r>
      <w:r>
        <w:rPr>
          <w:rFonts w:ascii="宋体" w:hAnsi="宋体" w:cs="宋体"/>
          <w:spacing w:val="13"/>
          <w:szCs w:val="24"/>
        </w:rPr>
        <w:t>。</w:t>
      </w:r>
      <w:r>
        <w:rPr>
          <w:rFonts w:ascii="宋体" w:hAnsi="宋体" w:cs="宋体"/>
          <w:spacing w:val="12"/>
          <w:szCs w:val="24"/>
        </w:rPr>
        <w:t>尾矿库风蚀扬尘与尾矿颗</w:t>
      </w:r>
      <w:r>
        <w:rPr>
          <w:rFonts w:ascii="宋体" w:hAnsi="宋体" w:cs="宋体"/>
          <w:szCs w:val="24"/>
        </w:rPr>
        <w:t xml:space="preserve"> </w:t>
      </w:r>
      <w:r>
        <w:rPr>
          <w:rFonts w:ascii="宋体" w:hAnsi="宋体" w:cs="宋体"/>
          <w:spacing w:val="12"/>
          <w:szCs w:val="24"/>
        </w:rPr>
        <w:t>粒大小</w:t>
      </w:r>
      <w:r>
        <w:rPr>
          <w:rFonts w:ascii="宋体" w:hAnsi="宋体" w:cs="宋体"/>
          <w:spacing w:val="15"/>
          <w:szCs w:val="24"/>
        </w:rPr>
        <w:t>、</w:t>
      </w:r>
      <w:r>
        <w:rPr>
          <w:rFonts w:ascii="宋体" w:hAnsi="宋体" w:cs="宋体"/>
          <w:spacing w:val="12"/>
          <w:szCs w:val="24"/>
        </w:rPr>
        <w:t>干湿程度</w:t>
      </w:r>
      <w:r>
        <w:rPr>
          <w:rFonts w:ascii="宋体" w:hAnsi="宋体" w:cs="宋体"/>
          <w:spacing w:val="15"/>
          <w:szCs w:val="24"/>
        </w:rPr>
        <w:t>、</w:t>
      </w:r>
      <w:r>
        <w:rPr>
          <w:rFonts w:ascii="宋体" w:hAnsi="宋体" w:cs="宋体"/>
          <w:spacing w:val="12"/>
          <w:szCs w:val="24"/>
        </w:rPr>
        <w:t>风力大小</w:t>
      </w:r>
      <w:r>
        <w:rPr>
          <w:rFonts w:ascii="宋体" w:hAnsi="宋体" w:cs="宋体"/>
          <w:spacing w:val="15"/>
          <w:szCs w:val="24"/>
        </w:rPr>
        <w:t>、</w:t>
      </w:r>
      <w:r>
        <w:rPr>
          <w:rFonts w:ascii="宋体" w:hAnsi="宋体" w:cs="宋体"/>
          <w:spacing w:val="12"/>
          <w:szCs w:val="24"/>
        </w:rPr>
        <w:t>干滩面积等因素有关</w:t>
      </w:r>
      <w:r>
        <w:rPr>
          <w:rFonts w:ascii="宋体" w:hAnsi="宋体" w:cs="宋体"/>
          <w:spacing w:val="15"/>
          <w:szCs w:val="24"/>
        </w:rPr>
        <w:t>，</w:t>
      </w:r>
      <w:r>
        <w:rPr>
          <w:rFonts w:ascii="宋体" w:hAnsi="宋体" w:cs="宋体"/>
          <w:spacing w:val="12"/>
          <w:szCs w:val="24"/>
        </w:rPr>
        <w:t>其扬尘量难以</w:t>
      </w:r>
      <w:r>
        <w:rPr>
          <w:rFonts w:ascii="宋体" w:hAnsi="宋体" w:cs="宋体"/>
          <w:spacing w:val="11"/>
          <w:szCs w:val="24"/>
        </w:rPr>
        <w:t>估算</w:t>
      </w:r>
      <w:r>
        <w:rPr>
          <w:rFonts w:ascii="宋体" w:hAnsi="宋体" w:cs="宋体"/>
          <w:spacing w:val="15"/>
          <w:szCs w:val="24"/>
        </w:rPr>
        <w:t>，</w:t>
      </w:r>
      <w:r>
        <w:rPr>
          <w:rFonts w:ascii="宋体" w:hAnsi="宋体" w:cs="宋体"/>
          <w:spacing w:val="11"/>
          <w:szCs w:val="24"/>
        </w:rPr>
        <w:t>而且矿</w:t>
      </w:r>
      <w:r>
        <w:rPr>
          <w:rFonts w:ascii="宋体" w:hAnsi="宋体" w:cs="宋体"/>
          <w:szCs w:val="24"/>
        </w:rPr>
        <w:t xml:space="preserve"> </w:t>
      </w:r>
      <w:r>
        <w:rPr>
          <w:rFonts w:ascii="宋体" w:hAnsi="宋体" w:cs="宋体"/>
          <w:spacing w:val="13"/>
          <w:szCs w:val="24"/>
        </w:rPr>
        <w:t>区位于南</w:t>
      </w:r>
      <w:r>
        <w:rPr>
          <w:rFonts w:ascii="宋体" w:hAnsi="宋体" w:cs="宋体"/>
          <w:spacing w:val="12"/>
          <w:szCs w:val="24"/>
        </w:rPr>
        <w:t>方</w:t>
      </w:r>
      <w:r>
        <w:rPr>
          <w:rFonts w:ascii="宋体" w:hAnsi="宋体" w:cs="宋体"/>
          <w:spacing w:val="14"/>
          <w:szCs w:val="24"/>
        </w:rPr>
        <w:t>，</w:t>
      </w:r>
      <w:r>
        <w:rPr>
          <w:rFonts w:ascii="宋体" w:hAnsi="宋体" w:cs="宋体"/>
          <w:spacing w:val="12"/>
          <w:szCs w:val="24"/>
        </w:rPr>
        <w:t>当地降雨较丰富</w:t>
      </w:r>
      <w:r>
        <w:rPr>
          <w:rFonts w:ascii="宋体" w:hAnsi="宋体" w:cs="宋体"/>
          <w:spacing w:val="14"/>
          <w:szCs w:val="24"/>
        </w:rPr>
        <w:t>，</w:t>
      </w:r>
      <w:r>
        <w:rPr>
          <w:rFonts w:ascii="宋体" w:hAnsi="宋体" w:cs="宋体"/>
          <w:spacing w:val="12"/>
          <w:szCs w:val="24"/>
        </w:rPr>
        <w:t>扬尘一般只在秋冬等持续干燥的产生</w:t>
      </w:r>
      <w:r>
        <w:rPr>
          <w:rFonts w:ascii="宋体" w:hAnsi="宋体" w:cs="宋体"/>
          <w:spacing w:val="14"/>
          <w:szCs w:val="24"/>
        </w:rPr>
        <w:t>。</w:t>
      </w:r>
      <w:r>
        <w:rPr>
          <w:rFonts w:ascii="宋体" w:hAnsi="宋体" w:cs="宋体"/>
          <w:spacing w:val="12"/>
          <w:szCs w:val="24"/>
        </w:rPr>
        <w:t>尾矿库扬尘</w:t>
      </w:r>
      <w:r>
        <w:rPr>
          <w:rFonts w:ascii="宋体" w:hAnsi="宋体" w:cs="宋体"/>
          <w:szCs w:val="24"/>
        </w:rPr>
        <w:t xml:space="preserve"> </w:t>
      </w:r>
      <w:r>
        <w:rPr>
          <w:rFonts w:ascii="宋体" w:hAnsi="宋体" w:cs="宋体"/>
          <w:spacing w:val="13"/>
          <w:szCs w:val="24"/>
        </w:rPr>
        <w:t>抑制</w:t>
      </w:r>
      <w:r>
        <w:rPr>
          <w:rFonts w:ascii="宋体" w:hAnsi="宋体" w:cs="宋体"/>
          <w:spacing w:val="12"/>
          <w:szCs w:val="24"/>
        </w:rPr>
        <w:t>措施是</w:t>
      </w:r>
      <w:r>
        <w:rPr>
          <w:rFonts w:ascii="宋体" w:hAnsi="宋体" w:cs="宋体"/>
          <w:spacing w:val="14"/>
          <w:szCs w:val="24"/>
        </w:rPr>
        <w:t>：</w:t>
      </w:r>
      <w:r>
        <w:rPr>
          <w:rFonts w:ascii="宋体" w:hAnsi="宋体" w:cs="宋体"/>
          <w:spacing w:val="12"/>
          <w:szCs w:val="24"/>
        </w:rPr>
        <w:t>合理调度放矿</w:t>
      </w:r>
      <w:r>
        <w:rPr>
          <w:rFonts w:ascii="宋体" w:hAnsi="宋体" w:cs="宋体"/>
          <w:spacing w:val="14"/>
          <w:szCs w:val="24"/>
        </w:rPr>
        <w:t>，</w:t>
      </w:r>
      <w:r>
        <w:rPr>
          <w:rFonts w:ascii="宋体" w:hAnsi="宋体" w:cs="宋体"/>
          <w:spacing w:val="12"/>
          <w:szCs w:val="24"/>
        </w:rPr>
        <w:t>减少干</w:t>
      </w:r>
      <w:r>
        <w:rPr>
          <w:rFonts w:cs="Times New Roman"/>
          <w:spacing w:val="9"/>
          <w:szCs w:val="24"/>
        </w:rPr>
        <w:t>滩面积，控制干滩时间；对尾矿库坝体永久性平台边坡进行覆土，播草绿化，恢复植被；尾矿库服务终了时对库面及时复垦绿化； 采用干滩喷淋的措施抑制扬尘。采取上述措施后能够有效控制尾矿库扬尘。</w:t>
      </w:r>
    </w:p>
    <w:p w14:paraId="63DCE0BA">
      <w:pPr>
        <w:spacing w:before="167" w:line="375" w:lineRule="auto"/>
        <w:ind w:left="9" w:right="21" w:firstLine="516"/>
        <w:rPr>
          <w:rFonts w:cs="Times New Roman"/>
          <w:spacing w:val="9"/>
          <w:szCs w:val="24"/>
        </w:rPr>
      </w:pPr>
      <w:r>
        <w:rPr>
          <w:rFonts w:cs="Times New Roman"/>
          <w:spacing w:val="9"/>
          <w:szCs w:val="24"/>
        </w:rPr>
        <w:t>（4）实验室废气</w:t>
      </w:r>
    </w:p>
    <w:p w14:paraId="2BA6373B">
      <w:pPr>
        <w:spacing w:before="167" w:line="375" w:lineRule="auto"/>
        <w:ind w:left="9" w:right="21" w:firstLine="516"/>
        <w:rPr>
          <w:rFonts w:cs="Times New Roman"/>
          <w:spacing w:val="9"/>
          <w:szCs w:val="24"/>
        </w:rPr>
      </w:pPr>
      <w:r>
        <w:rPr>
          <w:rFonts w:cs="Times New Roman"/>
          <w:spacing w:val="9"/>
          <w:szCs w:val="24"/>
        </w:rPr>
        <w:t>实验室在使用过程中产生的废气较少，对环境影响较小，</w:t>
      </w:r>
      <w:r>
        <w:rPr>
          <w:rFonts w:hint="eastAsia" w:cs="Times New Roman"/>
          <w:spacing w:val="9"/>
          <w:szCs w:val="24"/>
        </w:rPr>
        <w:t>经活性炭吸附后排放</w:t>
      </w:r>
      <w:r>
        <w:rPr>
          <w:rFonts w:cs="Times New Roman"/>
          <w:spacing w:val="9"/>
          <w:szCs w:val="24"/>
        </w:rPr>
        <w:t>。</w:t>
      </w:r>
    </w:p>
    <w:p w14:paraId="1BCEDFA1">
      <w:pPr>
        <w:pStyle w:val="4"/>
      </w:pPr>
      <w:r>
        <w:t>3.</w:t>
      </w:r>
      <w:r>
        <w:rPr>
          <w:rFonts w:hint="eastAsia"/>
        </w:rPr>
        <w:t>4</w:t>
      </w:r>
      <w:r>
        <w:t>.2 废水污染源</w:t>
      </w:r>
    </w:p>
    <w:p w14:paraId="6A65E80C">
      <w:pPr>
        <w:spacing w:before="167" w:line="375" w:lineRule="auto"/>
        <w:ind w:left="9" w:right="21" w:firstLine="516"/>
        <w:rPr>
          <w:rFonts w:cs="Times New Roman"/>
          <w:spacing w:val="9"/>
          <w:szCs w:val="24"/>
        </w:rPr>
      </w:pPr>
      <w:r>
        <w:rPr>
          <w:rFonts w:cs="Times New Roman"/>
          <w:spacing w:val="9"/>
          <w:szCs w:val="24"/>
        </w:rPr>
        <w:t>本项目目前废水污染源包括：井下排水、选矿厂浓密池溢流水、冷却系统净排水、尾矿库回水、充填站回水、除尘废水及冲洗地坪水、生产生活污水等</w:t>
      </w:r>
    </w:p>
    <w:p w14:paraId="6283F5EA">
      <w:pPr>
        <w:spacing w:before="167" w:line="375" w:lineRule="auto"/>
        <w:ind w:left="9" w:right="21" w:firstLine="516"/>
        <w:rPr>
          <w:rFonts w:cs="Times New Roman"/>
          <w:spacing w:val="9"/>
          <w:szCs w:val="24"/>
        </w:rPr>
      </w:pPr>
      <w:r>
        <w:rPr>
          <w:rFonts w:cs="Times New Roman"/>
          <w:spacing w:val="9"/>
          <w:szCs w:val="24"/>
        </w:rPr>
        <w:t>（1）井下排水</w:t>
      </w:r>
    </w:p>
    <w:p w14:paraId="7B7DFEE0">
      <w:pPr>
        <w:spacing w:before="167" w:line="375" w:lineRule="auto"/>
        <w:ind w:left="9" w:right="21" w:firstLine="516"/>
        <w:rPr>
          <w:rFonts w:cs="Times New Roman"/>
          <w:spacing w:val="9"/>
          <w:szCs w:val="24"/>
        </w:rPr>
      </w:pPr>
      <w:r>
        <w:rPr>
          <w:rFonts w:cs="Times New Roman"/>
          <w:spacing w:val="9"/>
          <w:szCs w:val="24"/>
        </w:rPr>
        <w:t>主要来自于井下涌水、井下洒水、充填尾矿携带水。井底车场附近设置了排水 设施，井下排水均汇集至-290m 阶段水仓，再由该阶段泵房中的水泵接力排至地表万 吨水池，全部供选矿厂生产用水。</w:t>
      </w:r>
    </w:p>
    <w:p w14:paraId="2BA7D4A8">
      <w:pPr>
        <w:spacing w:before="167" w:line="375" w:lineRule="auto"/>
        <w:ind w:left="9" w:right="21" w:firstLine="516"/>
        <w:rPr>
          <w:rFonts w:cs="Times New Roman"/>
          <w:spacing w:val="9"/>
          <w:szCs w:val="24"/>
        </w:rPr>
      </w:pPr>
      <w:r>
        <w:rPr>
          <w:rFonts w:cs="Times New Roman"/>
          <w:spacing w:val="9"/>
          <w:szCs w:val="24"/>
        </w:rPr>
        <w:t>（2）选矿系统水</w:t>
      </w:r>
    </w:p>
    <w:p w14:paraId="6095FF7B">
      <w:pPr>
        <w:spacing w:before="167" w:line="375" w:lineRule="auto"/>
        <w:ind w:left="9" w:right="21" w:firstLine="516"/>
        <w:rPr>
          <w:rFonts w:cs="Times New Roman"/>
          <w:spacing w:val="9"/>
          <w:szCs w:val="24"/>
        </w:rPr>
      </w:pPr>
      <w:r>
        <w:rPr>
          <w:rFonts w:cs="Times New Roman"/>
          <w:spacing w:val="9"/>
          <w:szCs w:val="24"/>
        </w:rPr>
        <w:t>选矿系统污水主要来自于选矿厂浓密池溢流水、除尘和冲洗地面废水、尾矿库 溢流澄清水。选矿系统废水均进入选矿厂万吨水池重复利用，不外排。</w:t>
      </w:r>
    </w:p>
    <w:p w14:paraId="7576F257">
      <w:pPr>
        <w:spacing w:before="167" w:line="375" w:lineRule="auto"/>
        <w:ind w:left="9" w:right="21" w:firstLine="516"/>
        <w:rPr>
          <w:rFonts w:cs="Times New Roman"/>
          <w:spacing w:val="9"/>
          <w:szCs w:val="24"/>
        </w:rPr>
      </w:pPr>
      <w:r>
        <w:rPr>
          <w:rFonts w:cs="Times New Roman"/>
          <w:spacing w:val="9"/>
          <w:szCs w:val="24"/>
        </w:rPr>
        <w:t>（3）充填系统排水</w:t>
      </w:r>
    </w:p>
    <w:p w14:paraId="6F3BD995">
      <w:pPr>
        <w:spacing w:before="167" w:line="375" w:lineRule="auto"/>
        <w:ind w:left="9" w:right="21" w:firstLine="516"/>
        <w:rPr>
          <w:rFonts w:cs="Times New Roman"/>
          <w:spacing w:val="9"/>
          <w:szCs w:val="24"/>
        </w:rPr>
      </w:pPr>
      <w:r>
        <w:rPr>
          <w:rFonts w:cs="Times New Roman"/>
          <w:spacing w:val="9"/>
          <w:szCs w:val="24"/>
        </w:rPr>
        <w:t>充填系统污水主要来自于充填站冲洗地面水、空压机冷却水、生活用水、过滤 机。北区充填站、南区充填站废水经沉淀池沉淀后进入万吨水池循环利用。</w:t>
      </w:r>
    </w:p>
    <w:p w14:paraId="66170B35">
      <w:pPr>
        <w:spacing w:before="167" w:line="375" w:lineRule="auto"/>
        <w:ind w:left="9" w:right="21" w:firstLine="516"/>
        <w:rPr>
          <w:rFonts w:cs="Times New Roman"/>
          <w:spacing w:val="9"/>
          <w:szCs w:val="24"/>
        </w:rPr>
      </w:pPr>
      <w:r>
        <w:rPr>
          <w:rFonts w:cs="Times New Roman"/>
          <w:spacing w:val="9"/>
          <w:szCs w:val="24"/>
        </w:rPr>
        <w:t>（4）工业场地生产、生活污水</w:t>
      </w:r>
    </w:p>
    <w:p w14:paraId="5E565BB1">
      <w:pPr>
        <w:spacing w:before="154" w:line="375" w:lineRule="auto"/>
        <w:ind w:left="9" w:firstLine="516"/>
        <w:rPr>
          <w:rFonts w:cs="Times New Roman"/>
          <w:spacing w:val="9"/>
          <w:szCs w:val="24"/>
        </w:rPr>
      </w:pPr>
      <w:r>
        <w:rPr>
          <w:rFonts w:cs="Times New Roman"/>
          <w:spacing w:val="9"/>
          <w:szCs w:val="24"/>
        </w:rPr>
        <w:t>工业场地主要为生活污水；南、北辅助提升井生活污水每天的产生量很小。工 业场地生活污水进行处理达到《污水综合排放标准》 中一级标准后排往选厂万吨水池复用，南、北辅助提升井处理达到《污水综合排放标准》 中一级标准后回用于厂 区绿化及洒水逸尘使用。生活污水处理工艺均采用生物接触氧化法，工业场地生活 污水处理设施处理能力为 35m</w:t>
      </w:r>
      <w:r>
        <w:rPr>
          <w:rFonts w:cs="Times New Roman"/>
          <w:spacing w:val="9"/>
          <w:szCs w:val="24"/>
          <w:vertAlign w:val="superscript"/>
        </w:rPr>
        <w:t>3</w:t>
      </w:r>
      <w:r>
        <w:rPr>
          <w:rFonts w:cs="Times New Roman"/>
          <w:spacing w:val="9"/>
          <w:szCs w:val="24"/>
        </w:rPr>
        <w:t>/h，南、北辅井生活污水处理设施处理能力分别为 4m</w:t>
      </w:r>
      <w:r>
        <w:rPr>
          <w:rFonts w:cs="Times New Roman"/>
          <w:spacing w:val="9"/>
          <w:szCs w:val="24"/>
          <w:vertAlign w:val="superscript"/>
        </w:rPr>
        <w:t>3</w:t>
      </w:r>
      <w:r>
        <w:rPr>
          <w:rFonts w:cs="Times New Roman"/>
          <w:spacing w:val="9"/>
          <w:szCs w:val="24"/>
        </w:rPr>
        <w:t>/h、3m</w:t>
      </w:r>
      <w:r>
        <w:rPr>
          <w:rFonts w:cs="Times New Roman"/>
          <w:spacing w:val="9"/>
          <w:szCs w:val="24"/>
          <w:vertAlign w:val="superscript"/>
        </w:rPr>
        <w:t>3</w:t>
      </w:r>
      <w:r>
        <w:rPr>
          <w:rFonts w:cs="Times New Roman"/>
          <w:spacing w:val="9"/>
          <w:szCs w:val="24"/>
        </w:rPr>
        <w:t>/h。工业场地生活污水处理设施用于集中处理生活区区域内行政办公室、 会议中心、职工宿舍、人文广场、浴室、食堂、洗衣房、各类洗手间等产生的生活污水。南、北辅助提升井生活污水处理设施分别用于集中处理该区域内行政办公室、会议中心、各类洗手间等产生的生活污水。</w:t>
      </w:r>
    </w:p>
    <w:p w14:paraId="32088D90">
      <w:pPr>
        <w:spacing w:before="154" w:line="375" w:lineRule="auto"/>
        <w:ind w:left="9" w:firstLine="516"/>
        <w:rPr>
          <w:rFonts w:cs="Times New Roman"/>
          <w:spacing w:val="9"/>
          <w:szCs w:val="24"/>
        </w:rPr>
      </w:pPr>
      <w:r>
        <w:rPr>
          <w:rFonts w:cs="Times New Roman"/>
          <w:spacing w:val="9"/>
          <w:szCs w:val="24"/>
        </w:rPr>
        <w:t>处理工艺流程见图 3.</w:t>
      </w:r>
      <w:r>
        <w:rPr>
          <w:rFonts w:hint="eastAsia" w:cs="Times New Roman"/>
          <w:spacing w:val="9"/>
          <w:szCs w:val="24"/>
        </w:rPr>
        <w:t>4</w:t>
      </w:r>
      <w:r>
        <w:rPr>
          <w:rFonts w:cs="Times New Roman"/>
          <w:spacing w:val="9"/>
          <w:szCs w:val="24"/>
        </w:rPr>
        <w:t>-9。</w:t>
      </w:r>
    </w:p>
    <w:p w14:paraId="5AA282CD">
      <w:pPr>
        <w:spacing w:before="167" w:line="375" w:lineRule="auto"/>
        <w:ind w:left="9" w:right="21" w:firstLine="480"/>
        <w:rPr>
          <w:rFonts w:cs="Times New Roman"/>
          <w:spacing w:val="9"/>
          <w:szCs w:val="24"/>
        </w:rPr>
      </w:pPr>
      <w:r>
        <w:drawing>
          <wp:inline distT="0" distB="0" distL="0" distR="0">
            <wp:extent cx="5278120" cy="1136015"/>
            <wp:effectExtent l="0" t="0" r="0" b="6985"/>
            <wp:docPr id="666173172" name="IM 101"/>
            <wp:cNvGraphicFramePr/>
            <a:graphic xmlns:a="http://schemas.openxmlformats.org/drawingml/2006/main">
              <a:graphicData uri="http://schemas.openxmlformats.org/drawingml/2006/picture">
                <pic:pic xmlns:pic="http://schemas.openxmlformats.org/drawingml/2006/picture">
                  <pic:nvPicPr>
                    <pic:cNvPr id="666173172" name="IM 101"/>
                    <pic:cNvPicPr/>
                  </pic:nvPicPr>
                  <pic:blipFill>
                    <a:blip r:embed="rId47"/>
                    <a:stretch>
                      <a:fillRect/>
                    </a:stretch>
                  </pic:blipFill>
                  <pic:spPr>
                    <a:xfrm>
                      <a:off x="0" y="0"/>
                      <a:ext cx="5278120" cy="1136362"/>
                    </a:xfrm>
                    <a:prstGeom prst="rect">
                      <a:avLst/>
                    </a:prstGeom>
                  </pic:spPr>
                </pic:pic>
              </a:graphicData>
            </a:graphic>
          </wp:inline>
        </w:drawing>
      </w:r>
    </w:p>
    <w:p w14:paraId="1694C36C">
      <w:pPr>
        <w:pStyle w:val="18"/>
        <w:ind w:firstLine="482"/>
        <w:jc w:val="center"/>
        <w:rPr>
          <w:b/>
          <w:bCs/>
          <w:sz w:val="24"/>
          <w:szCs w:val="24"/>
        </w:rPr>
      </w:pPr>
      <w:r>
        <w:rPr>
          <w:b/>
          <w:bCs/>
          <w:sz w:val="24"/>
          <w:szCs w:val="24"/>
        </w:rPr>
        <w:t>图 3.</w:t>
      </w:r>
      <w:r>
        <w:rPr>
          <w:rFonts w:hint="eastAsia"/>
          <w:b/>
          <w:bCs/>
          <w:sz w:val="24"/>
          <w:szCs w:val="24"/>
        </w:rPr>
        <w:t>4</w:t>
      </w:r>
      <w:r>
        <w:rPr>
          <w:b/>
          <w:bCs/>
          <w:sz w:val="24"/>
          <w:szCs w:val="24"/>
        </w:rPr>
        <w:t>-9  生活污水处理工艺流程</w:t>
      </w:r>
    </w:p>
    <w:p w14:paraId="200EF107">
      <w:pPr>
        <w:spacing w:before="154" w:line="375" w:lineRule="auto"/>
        <w:ind w:left="9" w:firstLine="516"/>
        <w:rPr>
          <w:rFonts w:cs="Times New Roman"/>
          <w:spacing w:val="9"/>
          <w:szCs w:val="24"/>
        </w:rPr>
      </w:pPr>
      <w:r>
        <w:rPr>
          <w:rFonts w:cs="Times New Roman"/>
          <w:spacing w:val="9"/>
          <w:szCs w:val="24"/>
        </w:rPr>
        <w:t>（5）尾矿事故跑矿产生的废水</w:t>
      </w:r>
    </w:p>
    <w:p w14:paraId="78416FDB">
      <w:pPr>
        <w:spacing w:before="154" w:line="375" w:lineRule="auto"/>
        <w:ind w:left="9" w:firstLine="516"/>
        <w:rPr>
          <w:rFonts w:cs="Times New Roman"/>
          <w:spacing w:val="9"/>
          <w:szCs w:val="24"/>
        </w:rPr>
      </w:pPr>
      <w:r>
        <w:rPr>
          <w:rFonts w:cs="Times New Roman"/>
          <w:spacing w:val="9"/>
          <w:szCs w:val="24"/>
        </w:rPr>
        <w:t>输送尾矿管道磨损破裂跑矿，本工程管道输送包括厂外输送和厂内输送两部分， 对环境可能发生影响的主要是厂外输送。为控制事故跑矿，主要采取以下措施：选 用耐磨输送矿浆管道；选厂设置有事故池；定期巡检、维修。</w:t>
      </w:r>
    </w:p>
    <w:p w14:paraId="016D2E5B">
      <w:pPr>
        <w:pStyle w:val="4"/>
      </w:pPr>
      <w:r>
        <w:t>3.5.3 噪声污染源</w:t>
      </w:r>
    </w:p>
    <w:p w14:paraId="54980E08">
      <w:pPr>
        <w:spacing w:before="154" w:line="375" w:lineRule="auto"/>
        <w:ind w:left="9" w:firstLine="516"/>
        <w:rPr>
          <w:rFonts w:cs="Times New Roman"/>
          <w:spacing w:val="9"/>
          <w:szCs w:val="24"/>
        </w:rPr>
      </w:pPr>
      <w:r>
        <w:rPr>
          <w:rFonts w:cs="Times New Roman"/>
          <w:spacing w:val="9"/>
          <w:szCs w:val="24"/>
        </w:rPr>
        <w:t>项目采用井下开采，开采生产过程中其主要噪声设备、设施均在井下，对地面 环境影响较小，采矿地面产噪设备主要为空压机。</w:t>
      </w:r>
    </w:p>
    <w:p w14:paraId="272EDAB8">
      <w:pPr>
        <w:spacing w:before="154" w:line="375" w:lineRule="auto"/>
        <w:ind w:left="9" w:firstLine="516"/>
        <w:rPr>
          <w:rFonts w:cs="Times New Roman"/>
          <w:spacing w:val="9"/>
          <w:szCs w:val="24"/>
        </w:rPr>
      </w:pPr>
      <w:r>
        <w:rPr>
          <w:rFonts w:cs="Times New Roman"/>
          <w:spacing w:val="9"/>
          <w:szCs w:val="24"/>
        </w:rPr>
        <w:t>选矿厂主要噪声污染源为中细碎、筛分、干抛、球磨等选矿设备，通过设备减震，厂房隔声，厂界外设置绿化带等措施，降低噪声影响。</w:t>
      </w:r>
    </w:p>
    <w:p w14:paraId="4B89928B">
      <w:pPr>
        <w:pStyle w:val="4"/>
      </w:pPr>
      <w:r>
        <w:t>3.5.4 固体废物污染源</w:t>
      </w:r>
    </w:p>
    <w:p w14:paraId="77C7C632">
      <w:pPr>
        <w:spacing w:before="154" w:line="375" w:lineRule="auto"/>
        <w:ind w:left="9" w:firstLine="516"/>
        <w:rPr>
          <w:rFonts w:cs="Times New Roman"/>
          <w:spacing w:val="9"/>
          <w:szCs w:val="24"/>
        </w:rPr>
      </w:pPr>
      <w:r>
        <w:rPr>
          <w:rFonts w:cs="Times New Roman"/>
          <w:spacing w:val="9"/>
          <w:szCs w:val="24"/>
        </w:rPr>
        <w:t>项目生产中产生的固体废物包括井下掘进废石、尾矿、石料、废矿物油、生活垃圾等。经浸出毒性鉴别矿山废石和尾砂为第 I 类一般工业固体废物。</w:t>
      </w:r>
    </w:p>
    <w:p w14:paraId="460B54FD">
      <w:pPr>
        <w:spacing w:before="154" w:line="375" w:lineRule="auto"/>
        <w:ind w:left="9" w:firstLine="516"/>
        <w:rPr>
          <w:rFonts w:cs="Times New Roman"/>
          <w:spacing w:val="9"/>
          <w:szCs w:val="24"/>
        </w:rPr>
      </w:pPr>
      <w:r>
        <w:rPr>
          <w:rFonts w:cs="Times New Roman"/>
          <w:spacing w:val="9"/>
          <w:szCs w:val="24"/>
        </w:rPr>
        <w:t>（1）废石</w:t>
      </w:r>
    </w:p>
    <w:p w14:paraId="3BC84C3F">
      <w:pPr>
        <w:spacing w:before="154" w:line="375" w:lineRule="auto"/>
        <w:ind w:left="9" w:firstLine="516"/>
        <w:rPr>
          <w:rFonts w:cs="Times New Roman"/>
          <w:spacing w:val="9"/>
          <w:szCs w:val="24"/>
        </w:rPr>
      </w:pPr>
      <w:r>
        <w:rPr>
          <w:rFonts w:cs="Times New Roman"/>
          <w:spacing w:val="9"/>
          <w:szCs w:val="24"/>
        </w:rPr>
        <w:t>采掘废石、干选废石、湿抛废石全部外售给霍邱县建材企业供综合利用。</w:t>
      </w:r>
    </w:p>
    <w:p w14:paraId="0E21DAAA">
      <w:pPr>
        <w:spacing w:before="154" w:line="375" w:lineRule="auto"/>
        <w:ind w:left="9" w:firstLine="516"/>
        <w:rPr>
          <w:rFonts w:cs="Times New Roman"/>
          <w:spacing w:val="9"/>
          <w:szCs w:val="24"/>
        </w:rPr>
      </w:pPr>
      <w:r>
        <w:rPr>
          <w:rFonts w:cs="Times New Roman"/>
          <w:spacing w:val="9"/>
          <w:szCs w:val="24"/>
        </w:rPr>
        <w:t>（2）尾矿</w:t>
      </w:r>
    </w:p>
    <w:p w14:paraId="43CE7410">
      <w:pPr>
        <w:spacing w:before="154" w:line="375" w:lineRule="auto"/>
        <w:ind w:left="9" w:firstLine="516"/>
        <w:rPr>
          <w:rFonts w:cs="Times New Roman"/>
          <w:spacing w:val="9"/>
          <w:szCs w:val="24"/>
        </w:rPr>
      </w:pPr>
      <w:r>
        <w:rPr>
          <w:rFonts w:cs="Times New Roman"/>
          <w:spacing w:val="9"/>
          <w:szCs w:val="24"/>
        </w:rPr>
        <w:t>项目产生的尾矿经浓密机浓缩通过管道输送至充填站，入井下用于充填，剩余小部分尾砂排放到尾矿库。</w:t>
      </w:r>
    </w:p>
    <w:p w14:paraId="62476E84">
      <w:pPr>
        <w:spacing w:before="154" w:line="375" w:lineRule="auto"/>
        <w:ind w:left="9" w:firstLine="516"/>
        <w:rPr>
          <w:rFonts w:cs="Times New Roman"/>
          <w:spacing w:val="9"/>
          <w:szCs w:val="24"/>
        </w:rPr>
      </w:pPr>
      <w:r>
        <w:rPr>
          <w:rFonts w:cs="Times New Roman"/>
          <w:spacing w:val="9"/>
          <w:szCs w:val="24"/>
        </w:rPr>
        <w:t>（3）废矿物油</w:t>
      </w:r>
    </w:p>
    <w:p w14:paraId="028B7D87">
      <w:pPr>
        <w:spacing w:before="154" w:line="375" w:lineRule="auto"/>
        <w:ind w:left="9" w:firstLine="516"/>
        <w:rPr>
          <w:rFonts w:cs="Times New Roman"/>
          <w:spacing w:val="9"/>
          <w:szCs w:val="24"/>
        </w:rPr>
      </w:pPr>
      <w:r>
        <w:rPr>
          <w:rFonts w:cs="Times New Roman"/>
          <w:spacing w:val="9"/>
          <w:szCs w:val="24"/>
        </w:rPr>
        <w:t>项目环评及验收文件中未说明废矿物油，在实际生产中会产生废矿物油，根据《国家危险废物名录》，废矿物油属于危险废物，废物类别为 HW08 废矿物油与含矿 物油废物，废物代码为 900-217-08、900-209-08，废矿物油暂存于在厂区危废暂存库内，后交由有资质单位进行处理。</w:t>
      </w:r>
    </w:p>
    <w:p w14:paraId="3C5B4829">
      <w:pPr>
        <w:spacing w:before="154" w:line="375" w:lineRule="auto"/>
        <w:ind w:left="9" w:firstLine="516"/>
        <w:rPr>
          <w:rFonts w:cs="Times New Roman"/>
          <w:spacing w:val="9"/>
          <w:szCs w:val="24"/>
        </w:rPr>
      </w:pPr>
      <w:r>
        <w:rPr>
          <w:rFonts w:cs="Times New Roman"/>
          <w:spacing w:val="9"/>
          <w:szCs w:val="24"/>
        </w:rPr>
        <w:t>（4）废包装桶</w:t>
      </w:r>
    </w:p>
    <w:p w14:paraId="14EC1581">
      <w:pPr>
        <w:spacing w:before="154" w:line="375" w:lineRule="auto"/>
        <w:ind w:left="9" w:firstLine="516"/>
        <w:rPr>
          <w:rFonts w:cs="Times New Roman"/>
          <w:spacing w:val="9"/>
          <w:szCs w:val="24"/>
        </w:rPr>
      </w:pPr>
      <w:r>
        <w:rPr>
          <w:rFonts w:cs="Times New Roman"/>
          <w:spacing w:val="9"/>
          <w:szCs w:val="24"/>
        </w:rPr>
        <w:t>项目环评及验收文件中未说明废包装桶，在实际生产中会产生废包装桶。根据 《国家危险废物名录》，其属于危险废物，废物类别为HW49其他废物，废物代码为 900-041-49，废包装桶暂存于危废暂存库内，后交由危废处置单位处理。</w:t>
      </w:r>
    </w:p>
    <w:p w14:paraId="4001C0B8">
      <w:pPr>
        <w:spacing w:before="154" w:line="375" w:lineRule="auto"/>
        <w:ind w:left="9" w:firstLine="516"/>
        <w:rPr>
          <w:rFonts w:cs="Times New Roman"/>
          <w:spacing w:val="9"/>
          <w:szCs w:val="24"/>
        </w:rPr>
      </w:pPr>
      <w:r>
        <w:rPr>
          <w:rFonts w:cs="Times New Roman"/>
          <w:spacing w:val="9"/>
          <w:szCs w:val="24"/>
        </w:rPr>
        <w:t>（5）废化学试剂</w:t>
      </w:r>
    </w:p>
    <w:p w14:paraId="1E4B17EE">
      <w:pPr>
        <w:spacing w:before="154" w:line="375" w:lineRule="auto"/>
        <w:ind w:left="9" w:firstLine="516"/>
        <w:rPr>
          <w:rFonts w:cs="Times New Roman"/>
          <w:spacing w:val="9"/>
          <w:szCs w:val="24"/>
        </w:rPr>
      </w:pPr>
      <w:r>
        <w:rPr>
          <w:rFonts w:cs="Times New Roman"/>
          <w:spacing w:val="9"/>
          <w:szCs w:val="24"/>
        </w:rPr>
        <w:t>项目环评及验收文件中未说明，在实际生产中会产生。根据《国家危险废物名 录》，其属于危险废物，废物类别为 HW49其他废物，废物代码为 900-047-49，废化学试剂暂存于危废暂存库内。</w:t>
      </w:r>
    </w:p>
    <w:p w14:paraId="41E1CB12">
      <w:pPr>
        <w:spacing w:before="154" w:line="375" w:lineRule="auto"/>
        <w:ind w:left="9" w:firstLine="516"/>
        <w:rPr>
          <w:rFonts w:cs="Times New Roman"/>
          <w:spacing w:val="9"/>
          <w:szCs w:val="24"/>
        </w:rPr>
      </w:pPr>
      <w:r>
        <w:rPr>
          <w:rFonts w:cs="Times New Roman"/>
          <w:spacing w:val="9"/>
          <w:szCs w:val="24"/>
        </w:rPr>
        <w:t>（6）废化学试剂瓶</w:t>
      </w:r>
    </w:p>
    <w:p w14:paraId="0E384191">
      <w:pPr>
        <w:spacing w:before="154" w:line="375" w:lineRule="auto"/>
        <w:ind w:left="9" w:firstLine="516"/>
        <w:rPr>
          <w:rFonts w:cs="Times New Roman"/>
          <w:spacing w:val="9"/>
          <w:szCs w:val="24"/>
        </w:rPr>
      </w:pPr>
      <w:r>
        <w:rPr>
          <w:rFonts w:cs="Times New Roman"/>
          <w:spacing w:val="9"/>
          <w:szCs w:val="24"/>
        </w:rPr>
        <w:t>项目环评及验收文件中未说明，在实际生产中会产生。根据《国家危险废物名 录》，其属于危险废物，废物类别为 HW49其他废物，废物代码为 900-041-49，废化学试剂瓶暂存于危废暂存库内。</w:t>
      </w:r>
    </w:p>
    <w:p w14:paraId="1F380ADB">
      <w:pPr>
        <w:spacing w:before="154" w:line="375" w:lineRule="auto"/>
        <w:ind w:left="9" w:firstLine="516"/>
        <w:rPr>
          <w:rFonts w:cs="Times New Roman"/>
          <w:spacing w:val="9"/>
          <w:szCs w:val="24"/>
        </w:rPr>
      </w:pPr>
      <w:r>
        <w:rPr>
          <w:rFonts w:cs="Times New Roman"/>
          <w:spacing w:val="9"/>
          <w:szCs w:val="24"/>
        </w:rPr>
        <w:t>（7）生活垃圾</w:t>
      </w:r>
    </w:p>
    <w:p w14:paraId="4405295B">
      <w:pPr>
        <w:spacing w:before="154" w:line="375" w:lineRule="auto"/>
        <w:ind w:left="9" w:firstLine="516"/>
        <w:rPr>
          <w:rFonts w:cs="Times New Roman"/>
          <w:spacing w:val="9"/>
          <w:szCs w:val="24"/>
        </w:rPr>
      </w:pPr>
      <w:r>
        <w:rPr>
          <w:rFonts w:cs="Times New Roman"/>
          <w:spacing w:val="9"/>
          <w:szCs w:val="24"/>
        </w:rPr>
        <w:t>厂区生活垃圾收集后定期运至当地环卫部门指定的生活垃圾处理厂处理。</w:t>
      </w:r>
    </w:p>
    <w:p w14:paraId="74BD3878">
      <w:pPr>
        <w:pStyle w:val="3"/>
      </w:pPr>
      <w:bookmarkStart w:id="34" w:name="_Toc85213499"/>
      <w:r>
        <w:rPr>
          <w:rFonts w:hint="eastAsia"/>
        </w:rPr>
        <w:t>3.</w:t>
      </w:r>
      <w:r>
        <w:t xml:space="preserve">5 </w:t>
      </w:r>
      <w:r>
        <w:rPr>
          <w:rFonts w:hint="eastAsia"/>
        </w:rPr>
        <w:t>环保措施建设及运行情况</w:t>
      </w:r>
      <w:bookmarkEnd w:id="34"/>
    </w:p>
    <w:p w14:paraId="049FC169">
      <w:pPr>
        <w:ind w:firstLine="480"/>
      </w:pPr>
      <w:r>
        <w:rPr>
          <w:rFonts w:hint="eastAsia"/>
        </w:rPr>
        <w:t>项目建设过程中根据环评及批复要求，及时落实了各项环境保护措施和污染防治设施；已采取的环保措施通过了竣工环境保护验收，在实际生产中各项污染防治设施能正常运行，各项环境保护措施能有效落实。</w:t>
      </w:r>
    </w:p>
    <w:p w14:paraId="4170C3D1">
      <w:pPr>
        <w:ind w:firstLine="480"/>
      </w:pPr>
      <w:r>
        <w:rPr>
          <w:rFonts w:hint="eastAsia"/>
        </w:rPr>
        <w:t>通过与环评及验收阶段相比，在优化生产工艺和最新的环境管理要求下，项目的环境保护措施发生了变化，变化情况如下：</w:t>
      </w:r>
    </w:p>
    <w:p w14:paraId="2956D103">
      <w:pPr>
        <w:ind w:firstLine="480"/>
      </w:pPr>
      <w:r>
        <w:rPr>
          <w:rFonts w:hint="eastAsia"/>
        </w:rPr>
        <w:t>（1）根据最新大气污染防治要求，项目取消了燃煤锅炉的使用，将燃煤锅炉改造为燃气锅炉，可进一步减少区域燃煤废气排放。</w:t>
      </w:r>
    </w:p>
    <w:p w14:paraId="6BC0AE83">
      <w:pPr>
        <w:ind w:firstLine="480"/>
      </w:pPr>
      <w:r>
        <w:rPr>
          <w:rFonts w:hint="eastAsia"/>
        </w:rPr>
        <w:t>（2）根据最新大气污染防治要求，铁矿采选颗粒物排放执行特别排放限值要求，目前的除尘方式不能使颗粒物稳定达到特别排放限值，需要对除尘设施进行提标改造，提高颗粒物处理效率，减少颗粒物排放量。</w:t>
      </w:r>
    </w:p>
    <w:p w14:paraId="59D9399B">
      <w:pPr>
        <w:ind w:firstLine="480"/>
      </w:pPr>
    </w:p>
    <w:p w14:paraId="5E13AFB9">
      <w:pPr>
        <w:ind w:firstLine="480"/>
        <w:sectPr>
          <w:pgSz w:w="11906" w:h="16838"/>
          <w:pgMar w:top="1440" w:right="1797" w:bottom="1440" w:left="1797" w:header="851" w:footer="992" w:gutter="0"/>
          <w:cols w:space="425" w:num="1"/>
          <w:docGrid w:type="lines" w:linePitch="312" w:charSpace="0"/>
        </w:sectPr>
      </w:pPr>
    </w:p>
    <w:p w14:paraId="38D2766F">
      <w:pPr>
        <w:pStyle w:val="2"/>
        <w:ind w:firstLine="883"/>
      </w:pPr>
      <w:bookmarkStart w:id="35" w:name="_Toc85213500"/>
      <w:r>
        <w:rPr>
          <w:rFonts w:hint="eastAsia"/>
        </w:rPr>
        <w:t>4</w:t>
      </w:r>
      <w:r>
        <w:t xml:space="preserve"> </w:t>
      </w:r>
      <w:r>
        <w:rPr>
          <w:rFonts w:hint="eastAsia"/>
        </w:rPr>
        <w:t>区域环境变化评价</w:t>
      </w:r>
      <w:bookmarkEnd w:id="35"/>
    </w:p>
    <w:p w14:paraId="2F9305F7">
      <w:pPr>
        <w:pStyle w:val="3"/>
      </w:pPr>
      <w:bookmarkStart w:id="36" w:name="_Toc85213501"/>
      <w:r>
        <w:rPr>
          <w:rFonts w:hint="eastAsia"/>
        </w:rPr>
        <w:t>4.1</w:t>
      </w:r>
      <w:r>
        <w:t xml:space="preserve"> </w:t>
      </w:r>
      <w:r>
        <w:rPr>
          <w:rFonts w:hint="eastAsia"/>
        </w:rPr>
        <w:t>自然环境</w:t>
      </w:r>
      <w:bookmarkEnd w:id="36"/>
    </w:p>
    <w:p w14:paraId="031CA97E">
      <w:pPr>
        <w:pStyle w:val="4"/>
      </w:pPr>
      <w:r>
        <w:rPr>
          <w:rFonts w:hint="eastAsia"/>
        </w:rPr>
        <w:t>4.1.1</w:t>
      </w:r>
      <w:r>
        <w:t xml:space="preserve"> </w:t>
      </w:r>
      <w:r>
        <w:rPr>
          <w:rFonts w:hint="eastAsia"/>
        </w:rPr>
        <w:t>气候与气象</w:t>
      </w:r>
    </w:p>
    <w:p w14:paraId="012455C1">
      <w:pPr>
        <w:ind w:firstLine="480"/>
        <w:rPr>
          <w:rFonts w:cs="Calibri"/>
          <w:szCs w:val="24"/>
        </w:rPr>
      </w:pPr>
      <w:r>
        <w:rPr>
          <w:rFonts w:cs="Calibri"/>
        </w:rPr>
        <w:t>霍邱县气候属北温带湿润气候，冬季干寒，夏季湿热。</w:t>
      </w:r>
      <w:r>
        <w:rPr>
          <w:rFonts w:cs="Calibri"/>
          <w:szCs w:val="24"/>
        </w:rPr>
        <w:t>区域气候温和湿润，日照充足，雨量充沛集中，无霜期长，属亚热带湿润性季风气候区北缘。</w:t>
      </w:r>
    </w:p>
    <w:p w14:paraId="69FA7DBD">
      <w:pPr>
        <w:ind w:firstLine="480"/>
        <w:rPr>
          <w:rFonts w:cs="Calibri"/>
          <w:szCs w:val="24"/>
        </w:rPr>
      </w:pPr>
      <w:r>
        <w:rPr>
          <w:rFonts w:hint="eastAsia" w:cs="宋体"/>
          <w:szCs w:val="24"/>
        </w:rPr>
        <w:t>⑴</w:t>
      </w:r>
      <w:r>
        <w:rPr>
          <w:rFonts w:cs="Calibri"/>
          <w:szCs w:val="24"/>
        </w:rPr>
        <w:t>气温</w:t>
      </w:r>
    </w:p>
    <w:p w14:paraId="49B6B771">
      <w:pPr>
        <w:ind w:firstLine="480"/>
        <w:rPr>
          <w:rFonts w:cs="Calibri"/>
          <w:szCs w:val="24"/>
        </w:rPr>
      </w:pPr>
      <w:r>
        <w:rPr>
          <w:rFonts w:cs="Calibri"/>
          <w:szCs w:val="24"/>
        </w:rPr>
        <w:t>年平均气温15.4</w:t>
      </w:r>
      <w:r>
        <w:rPr>
          <w:rFonts w:hint="eastAsia" w:cs="宋体"/>
          <w:szCs w:val="24"/>
        </w:rPr>
        <w:t>℃</w:t>
      </w:r>
      <w:r>
        <w:rPr>
          <w:rFonts w:cs="Calibri"/>
          <w:szCs w:val="24"/>
        </w:rPr>
        <w:t>，最高气温40.8</w:t>
      </w:r>
      <w:r>
        <w:rPr>
          <w:rFonts w:hint="eastAsia" w:cs="宋体"/>
          <w:szCs w:val="24"/>
        </w:rPr>
        <w:t>℃</w:t>
      </w:r>
      <w:r>
        <w:rPr>
          <w:rFonts w:cs="Calibri"/>
          <w:szCs w:val="24"/>
        </w:rPr>
        <w:t>(1959.08.23)，最低气温-20.4</w:t>
      </w:r>
      <w:r>
        <w:rPr>
          <w:rFonts w:hint="eastAsia" w:cs="宋体"/>
          <w:szCs w:val="24"/>
        </w:rPr>
        <w:t>℃</w:t>
      </w:r>
      <w:r>
        <w:rPr>
          <w:rFonts w:cs="Calibri"/>
          <w:szCs w:val="24"/>
        </w:rPr>
        <w:t>(1969.01.31)，最高月(7月)平均气温27.8</w:t>
      </w:r>
      <w:r>
        <w:rPr>
          <w:rFonts w:hint="eastAsia" w:cs="宋体"/>
          <w:szCs w:val="24"/>
        </w:rPr>
        <w:t>℃</w:t>
      </w:r>
      <w:r>
        <w:rPr>
          <w:rFonts w:cs="Calibri"/>
          <w:szCs w:val="24"/>
        </w:rPr>
        <w:t>，最低月(1月)平均气温2.3</w:t>
      </w:r>
      <w:r>
        <w:rPr>
          <w:rFonts w:hint="eastAsia" w:cs="宋体"/>
          <w:szCs w:val="24"/>
        </w:rPr>
        <w:t>℃</w:t>
      </w:r>
      <w:r>
        <w:rPr>
          <w:rFonts w:cs="Calibri"/>
          <w:szCs w:val="24"/>
        </w:rPr>
        <w:t>；年平均气压1012.8hPa。</w:t>
      </w:r>
    </w:p>
    <w:p w14:paraId="01A8520E">
      <w:pPr>
        <w:ind w:firstLine="480"/>
        <w:rPr>
          <w:rFonts w:cs="Calibri"/>
          <w:szCs w:val="24"/>
        </w:rPr>
      </w:pPr>
      <w:r>
        <w:rPr>
          <w:rFonts w:hint="eastAsia" w:cs="宋体"/>
          <w:szCs w:val="24"/>
        </w:rPr>
        <w:t>⑵</w:t>
      </w:r>
      <w:r>
        <w:rPr>
          <w:rFonts w:cs="Calibri"/>
          <w:szCs w:val="24"/>
        </w:rPr>
        <w:t>降水</w:t>
      </w:r>
    </w:p>
    <w:p w14:paraId="31609B0F">
      <w:pPr>
        <w:ind w:firstLine="480"/>
        <w:rPr>
          <w:rFonts w:cs="Calibri"/>
          <w:szCs w:val="24"/>
        </w:rPr>
      </w:pPr>
      <w:r>
        <w:rPr>
          <w:rFonts w:cs="Calibri"/>
          <w:szCs w:val="24"/>
        </w:rPr>
        <w:t>多年平均降水量951mm，最大年降水量达1751.6mm(1954年)，日最大降水量达245mm(1984年)，10年一遇、20年一遇24h暴雨量分别为168mm、204mm；雨量分布由南向北递减，降水量季节分配不均匀，雨期多集中在6～8月份，占全年降水量的45%，5～9降雨量约占全年降雨量的63%，而11月至翌年2月，仅占降水量的7%。最大日降雨量达181.5mm。</w:t>
      </w:r>
    </w:p>
    <w:p w14:paraId="62295C39">
      <w:pPr>
        <w:ind w:firstLine="480"/>
        <w:rPr>
          <w:rFonts w:cs="Calibri"/>
          <w:szCs w:val="24"/>
        </w:rPr>
      </w:pPr>
      <w:r>
        <w:rPr>
          <w:rFonts w:hint="eastAsia" w:cs="宋体"/>
          <w:szCs w:val="24"/>
        </w:rPr>
        <w:t>⑶</w:t>
      </w:r>
      <w:r>
        <w:rPr>
          <w:rFonts w:cs="Calibri"/>
          <w:szCs w:val="24"/>
        </w:rPr>
        <w:t>霜期</w:t>
      </w:r>
    </w:p>
    <w:p w14:paraId="67C3F0E0">
      <w:pPr>
        <w:ind w:firstLine="480"/>
        <w:rPr>
          <w:rFonts w:cs="Calibri"/>
          <w:szCs w:val="24"/>
        </w:rPr>
      </w:pPr>
      <w:r>
        <w:rPr>
          <w:rFonts w:cs="Calibri"/>
          <w:szCs w:val="24"/>
        </w:rPr>
        <w:t>无霜期多年平均221.9d，最长261d，最短179d；最早初霜期10月10日(1977)，最早终霜期2月28日(1964)，最迟初霜期12月3日(1957)，最迟终霜期4月28日(1962)。</w:t>
      </w:r>
    </w:p>
    <w:p w14:paraId="62FCB4C3">
      <w:pPr>
        <w:ind w:firstLine="480"/>
        <w:rPr>
          <w:rFonts w:cs="Calibri"/>
          <w:szCs w:val="24"/>
        </w:rPr>
      </w:pPr>
      <w:r>
        <w:rPr>
          <w:rFonts w:hint="eastAsia" w:cs="Calibri"/>
          <w:szCs w:val="24"/>
        </w:rPr>
        <w:t>⑷</w:t>
      </w:r>
      <w:r>
        <w:rPr>
          <w:rFonts w:cs="Calibri"/>
          <w:szCs w:val="24"/>
        </w:rPr>
        <w:t>蒸发</w:t>
      </w:r>
    </w:p>
    <w:p w14:paraId="13AF928E">
      <w:pPr>
        <w:ind w:firstLine="480"/>
        <w:rPr>
          <w:rFonts w:cs="Calibri"/>
          <w:szCs w:val="24"/>
        </w:rPr>
      </w:pPr>
      <w:r>
        <w:rPr>
          <w:rFonts w:cs="Calibri"/>
          <w:szCs w:val="24"/>
        </w:rPr>
        <w:t>年平均蒸发量1377.4mm，5～8月份因受高温气候制约，蒸发非常激烈，约占全年的50%；年平均相对湿度为75%；最大蒸发量2078.5mm(1959)，最小蒸发量1229.8mm(1985)。</w:t>
      </w:r>
    </w:p>
    <w:p w14:paraId="519612C6">
      <w:pPr>
        <w:ind w:firstLine="480"/>
        <w:rPr>
          <w:rFonts w:cs="Calibri"/>
          <w:szCs w:val="24"/>
        </w:rPr>
      </w:pPr>
      <w:r>
        <w:rPr>
          <w:rFonts w:hint="eastAsia" w:cs="宋体"/>
          <w:szCs w:val="24"/>
        </w:rPr>
        <w:t>⑸</w:t>
      </w:r>
      <w:r>
        <w:rPr>
          <w:rFonts w:cs="Calibri"/>
          <w:szCs w:val="24"/>
        </w:rPr>
        <w:t>风向、风速</w:t>
      </w:r>
    </w:p>
    <w:p w14:paraId="055B10D2">
      <w:pPr>
        <w:ind w:firstLine="480"/>
        <w:rPr>
          <w:rFonts w:cs="Calibri"/>
          <w:szCs w:val="24"/>
        </w:rPr>
      </w:pPr>
      <w:r>
        <w:rPr>
          <w:rFonts w:cs="Calibri"/>
          <w:szCs w:val="24"/>
        </w:rPr>
        <w:t>年平均风速2.5m/s，3月份风速最大，平均风速3.0m/s，9月份风速最小，平均风速1.9m/s。常年主导风向为E风，频率为11.55%，次主导风向为SE，频率为10.78%，年静风频率为7.35%，小风为18.84%。</w:t>
      </w:r>
    </w:p>
    <w:p w14:paraId="52F038B2">
      <w:pPr>
        <w:pStyle w:val="4"/>
        <w:spacing w:before="120"/>
      </w:pPr>
      <w:r>
        <w:rPr>
          <w:rFonts w:hint="eastAsia"/>
        </w:rPr>
        <w:t>4.1.2</w:t>
      </w:r>
      <w:r>
        <w:t xml:space="preserve"> </w:t>
      </w:r>
      <w:r>
        <w:rPr>
          <w:rFonts w:hint="eastAsia"/>
        </w:rPr>
        <w:t>地形地貌</w:t>
      </w:r>
    </w:p>
    <w:p w14:paraId="19EF48BF">
      <w:pPr>
        <w:ind w:firstLine="480"/>
        <w:rPr>
          <w:rFonts w:cs="Calibri"/>
          <w:szCs w:val="24"/>
        </w:rPr>
      </w:pPr>
      <w:r>
        <w:rPr>
          <w:rFonts w:cs="Calibri"/>
          <w:szCs w:val="24"/>
        </w:rPr>
        <w:t>项目所在区域属于淮地台型广阔的剥蚀堆积平原。第四纪以来大面积沉降运动为主，间歇短暂的不均匀抬升为辅，堆积是完整连续的，逐渐变为开阔的堆积平原。</w:t>
      </w:r>
    </w:p>
    <w:p w14:paraId="0BC67DDD">
      <w:pPr>
        <w:pStyle w:val="7"/>
        <w:adjustRightInd/>
        <w:spacing w:line="360" w:lineRule="auto"/>
        <w:ind w:firstLine="480" w:firstLineChars="200"/>
        <w:rPr>
          <w:rFonts w:eastAsia="宋体" w:cs="Calibri"/>
          <w:kern w:val="2"/>
          <w:sz w:val="24"/>
          <w:szCs w:val="24"/>
        </w:rPr>
      </w:pPr>
      <w:r>
        <w:rPr>
          <w:rFonts w:eastAsia="宋体" w:cs="Calibri"/>
          <w:kern w:val="2"/>
          <w:sz w:val="24"/>
          <w:szCs w:val="24"/>
        </w:rPr>
        <w:t>区域上依据自然地理特征及地貌形态，可分为侵蚀溶蚀丘陵、侵蚀-剥蚀平原和冲积平原三大类型。</w:t>
      </w:r>
    </w:p>
    <w:p w14:paraId="58D73CC8">
      <w:pPr>
        <w:pStyle w:val="7"/>
        <w:adjustRightInd/>
        <w:spacing w:line="360" w:lineRule="auto"/>
        <w:ind w:firstLine="480" w:firstLineChars="200"/>
        <w:rPr>
          <w:rFonts w:eastAsia="宋体" w:cs="Calibri"/>
          <w:kern w:val="2"/>
          <w:sz w:val="24"/>
          <w:szCs w:val="24"/>
        </w:rPr>
      </w:pPr>
      <w:r>
        <w:rPr>
          <w:rFonts w:eastAsia="宋体" w:cs="Calibri"/>
          <w:kern w:val="2"/>
          <w:sz w:val="24"/>
          <w:szCs w:val="24"/>
        </w:rPr>
        <w:t>侵蚀溶蚀丘陵，分布于矿区以外西南四十里长山一带，由青白口系、震旦系、寒武系组成，主要岩性为碳酸盐岩、碎屑岩，自南东向北西延展，丘陵顶部圆滑，南高北低，标高70</w:t>
      </w:r>
      <w:r>
        <w:rPr>
          <w:rFonts w:hint="eastAsia" w:eastAsia="宋体" w:cs="Calibri"/>
          <w:kern w:val="2"/>
          <w:sz w:val="24"/>
          <w:szCs w:val="24"/>
        </w:rPr>
        <w:t>～</w:t>
      </w:r>
      <w:r>
        <w:rPr>
          <w:rFonts w:eastAsia="宋体" w:cs="Calibri"/>
          <w:kern w:val="2"/>
          <w:sz w:val="24"/>
          <w:szCs w:val="24"/>
        </w:rPr>
        <w:t>175m。微地貌类型有低丘、中丘。</w:t>
      </w:r>
    </w:p>
    <w:p w14:paraId="5443B905">
      <w:pPr>
        <w:pStyle w:val="7"/>
        <w:adjustRightInd/>
        <w:spacing w:line="360" w:lineRule="auto"/>
        <w:ind w:firstLine="480" w:firstLineChars="200"/>
        <w:rPr>
          <w:rFonts w:eastAsia="宋体" w:cs="Calibri"/>
          <w:kern w:val="2"/>
          <w:sz w:val="24"/>
          <w:szCs w:val="24"/>
        </w:rPr>
      </w:pPr>
      <w:r>
        <w:rPr>
          <w:rFonts w:eastAsia="宋体" w:cs="Calibri"/>
          <w:kern w:val="2"/>
          <w:sz w:val="24"/>
          <w:szCs w:val="24"/>
        </w:rPr>
        <w:t>侵蚀-剥蚀平原，广泛分布，由第四系上更新统组成，主要岩性为棕黄-灰黄色粉质粘土和含砾粘土，标高26</w:t>
      </w:r>
      <w:r>
        <w:rPr>
          <w:rFonts w:hint="eastAsia" w:eastAsia="宋体" w:cs="Calibri"/>
          <w:kern w:val="2"/>
          <w:sz w:val="24"/>
          <w:szCs w:val="24"/>
        </w:rPr>
        <w:t>～</w:t>
      </w:r>
      <w:r>
        <w:rPr>
          <w:rFonts w:eastAsia="宋体" w:cs="Calibri"/>
          <w:kern w:val="2"/>
          <w:sz w:val="24"/>
          <w:szCs w:val="24"/>
        </w:rPr>
        <w:t>50m，山前地带可达60</w:t>
      </w:r>
      <w:r>
        <w:rPr>
          <w:rFonts w:hint="eastAsia" w:eastAsia="宋体" w:cs="Calibri"/>
          <w:kern w:val="2"/>
          <w:sz w:val="24"/>
          <w:szCs w:val="24"/>
        </w:rPr>
        <w:t>～</w:t>
      </w:r>
      <w:r>
        <w:rPr>
          <w:rFonts w:eastAsia="宋体" w:cs="Calibri"/>
          <w:kern w:val="2"/>
          <w:sz w:val="24"/>
          <w:szCs w:val="24"/>
        </w:rPr>
        <w:t>70m，地面由于季节性流水的冲刷剥蚀作用，坳谷冲沟发育。微地貌有山前斜坡地、坡积裙和岗坡地。</w:t>
      </w:r>
    </w:p>
    <w:p w14:paraId="451DD207">
      <w:pPr>
        <w:ind w:firstLine="480"/>
        <w:rPr>
          <w:rFonts w:cs="Calibri"/>
          <w:szCs w:val="24"/>
        </w:rPr>
      </w:pPr>
      <w:r>
        <w:rPr>
          <w:rFonts w:cs="Calibri"/>
          <w:szCs w:val="24"/>
        </w:rPr>
        <w:t>冲积平原，沿淮河两岸分布，由第四系全新统组成，主要岩性为淤泥质粉质粘土和粉细砂，标高20</w:t>
      </w:r>
      <w:r>
        <w:rPr>
          <w:rFonts w:hint="eastAsia" w:cs="Calibri"/>
          <w:szCs w:val="24"/>
        </w:rPr>
        <w:t>～</w:t>
      </w:r>
      <w:r>
        <w:rPr>
          <w:rFonts w:cs="Calibri"/>
          <w:szCs w:val="24"/>
        </w:rPr>
        <w:t>27m。微地貌有山前河漫滩、河床浅滩。位于淮河中上游的南岸，地貌单元为江淮波状平原，类型为侵蚀-剥蚀平原，微地貌为岗坡地，地形平坦稍起伏，地面标高30</w:t>
      </w:r>
      <w:r>
        <w:rPr>
          <w:rFonts w:hint="eastAsia" w:cs="Calibri"/>
          <w:szCs w:val="24"/>
        </w:rPr>
        <w:t>～</w:t>
      </w:r>
      <w:r>
        <w:rPr>
          <w:rFonts w:cs="Calibri"/>
          <w:szCs w:val="24"/>
        </w:rPr>
        <w:t>40m，相对高差10m左右，凹谷冲沟较发育，枯水季节多干涸，地表为上更新统戚咀组(Q</w:t>
      </w:r>
      <w:r>
        <w:rPr>
          <w:rFonts w:cs="Calibri"/>
          <w:spacing w:val="-80"/>
          <w:szCs w:val="24"/>
          <w:vertAlign w:val="superscript"/>
        </w:rPr>
        <w:t>3</w:t>
      </w:r>
      <w:r>
        <w:rPr>
          <w:rFonts w:cs="Calibri"/>
          <w:spacing w:val="-80"/>
          <w:szCs w:val="24"/>
          <w:vertAlign w:val="subscript"/>
        </w:rPr>
        <w:t xml:space="preserve">p </w:t>
      </w:r>
      <w:r>
        <w:rPr>
          <w:rFonts w:cs="Calibri"/>
          <w:szCs w:val="24"/>
          <w:vertAlign w:val="subscript"/>
        </w:rPr>
        <w:t xml:space="preserve"> </w:t>
      </w:r>
      <w:r>
        <w:rPr>
          <w:rFonts w:cs="Calibri"/>
          <w:szCs w:val="24"/>
        </w:rPr>
        <w:t>q)地层，岩性为粉质粘土、粘土。</w:t>
      </w:r>
    </w:p>
    <w:p w14:paraId="54D6D33D">
      <w:pPr>
        <w:ind w:firstLine="480"/>
      </w:pPr>
      <w:r>
        <w:rPr>
          <w:rFonts w:hint="eastAsia" w:cs="Calibri"/>
          <w:szCs w:val="24"/>
        </w:rPr>
        <w:t>项目区</w:t>
      </w:r>
      <w:r>
        <w:rPr>
          <w:rFonts w:cs="Calibri"/>
          <w:szCs w:val="24"/>
        </w:rPr>
        <w:t>位于淮河中上游南岸，中长山东侧，属沿淮河侵蚀堆积平原区。区内发育</w:t>
      </w:r>
      <w:r>
        <w:rPr>
          <w:rFonts w:hint="eastAsia" w:cs="宋体"/>
          <w:szCs w:val="24"/>
        </w:rPr>
        <w:t>Ⅰ</w:t>
      </w:r>
      <w:r>
        <w:rPr>
          <w:rFonts w:cs="Calibri"/>
          <w:szCs w:val="24"/>
        </w:rPr>
        <w:t>、</w:t>
      </w:r>
      <w:r>
        <w:rPr>
          <w:rFonts w:hint="eastAsia" w:cs="宋体"/>
          <w:szCs w:val="24"/>
        </w:rPr>
        <w:t>Ⅱ</w:t>
      </w:r>
      <w:r>
        <w:rPr>
          <w:rFonts w:cs="Calibri"/>
          <w:szCs w:val="24"/>
        </w:rPr>
        <w:t>级阶地，一般标高为</w:t>
      </w:r>
      <w:r>
        <w:rPr>
          <w:rFonts w:hint="eastAsia" w:cs="Calibri"/>
          <w:szCs w:val="24"/>
        </w:rPr>
        <w:t>+</w:t>
      </w:r>
      <w:r>
        <w:rPr>
          <w:rFonts w:cs="Calibri"/>
          <w:szCs w:val="24"/>
        </w:rPr>
        <w:t>35</w:t>
      </w:r>
      <w:r>
        <w:rPr>
          <w:rFonts w:hint="eastAsia" w:cs="Calibri"/>
          <w:szCs w:val="24"/>
        </w:rPr>
        <w:t xml:space="preserve"> </w:t>
      </w:r>
      <w:r>
        <w:rPr>
          <w:rFonts w:cs="Calibri"/>
          <w:szCs w:val="24"/>
        </w:rPr>
        <w:t>m～</w:t>
      </w:r>
      <w:r>
        <w:rPr>
          <w:rFonts w:hint="eastAsia" w:cs="Calibri"/>
          <w:szCs w:val="24"/>
        </w:rPr>
        <w:t>+</w:t>
      </w:r>
      <w:r>
        <w:rPr>
          <w:rFonts w:cs="Calibri"/>
          <w:szCs w:val="24"/>
        </w:rPr>
        <w:t>50m，地面比较平坦，平均地面标高为</w:t>
      </w:r>
      <w:r>
        <w:rPr>
          <w:rFonts w:hint="eastAsia" w:cs="Calibri"/>
          <w:szCs w:val="24"/>
        </w:rPr>
        <w:t>+</w:t>
      </w:r>
      <w:r>
        <w:rPr>
          <w:rFonts w:cs="Calibri"/>
          <w:szCs w:val="24"/>
        </w:rPr>
        <w:t>40m左右。西部为低山丘陵构造剥蚀区，标高一般为</w:t>
      </w:r>
      <w:r>
        <w:rPr>
          <w:rFonts w:hint="eastAsia" w:cs="Calibri"/>
          <w:szCs w:val="24"/>
        </w:rPr>
        <w:t>+</w:t>
      </w:r>
      <w:r>
        <w:rPr>
          <w:rFonts w:cs="Calibri"/>
          <w:szCs w:val="24"/>
        </w:rPr>
        <w:t>70</w:t>
      </w:r>
      <w:r>
        <w:rPr>
          <w:rFonts w:hint="eastAsia" w:cs="Calibri"/>
          <w:szCs w:val="24"/>
        </w:rPr>
        <w:t xml:space="preserve"> </w:t>
      </w:r>
      <w:r>
        <w:rPr>
          <w:rFonts w:cs="Calibri"/>
          <w:szCs w:val="24"/>
        </w:rPr>
        <w:t>m～</w:t>
      </w:r>
      <w:r>
        <w:rPr>
          <w:rFonts w:hint="eastAsia" w:cs="Calibri"/>
          <w:szCs w:val="24"/>
        </w:rPr>
        <w:t>+</w:t>
      </w:r>
      <w:r>
        <w:rPr>
          <w:rFonts w:cs="Calibri"/>
          <w:szCs w:val="24"/>
        </w:rPr>
        <w:t>150</w:t>
      </w:r>
      <w:r>
        <w:rPr>
          <w:rFonts w:hint="eastAsia" w:cs="Calibri"/>
          <w:szCs w:val="24"/>
        </w:rPr>
        <w:t xml:space="preserve"> </w:t>
      </w:r>
      <w:r>
        <w:rPr>
          <w:rFonts w:cs="Calibri"/>
          <w:szCs w:val="24"/>
        </w:rPr>
        <w:t>m；北部为侵蚀堆积区，标高一般为</w:t>
      </w:r>
      <w:r>
        <w:rPr>
          <w:rFonts w:hint="eastAsia" w:cs="Calibri"/>
          <w:szCs w:val="24"/>
        </w:rPr>
        <w:t>+</w:t>
      </w:r>
      <w:r>
        <w:rPr>
          <w:rFonts w:cs="Calibri"/>
          <w:szCs w:val="24"/>
        </w:rPr>
        <w:t>35</w:t>
      </w:r>
      <w:r>
        <w:rPr>
          <w:rFonts w:hint="eastAsia" w:cs="Calibri"/>
          <w:szCs w:val="24"/>
        </w:rPr>
        <w:t xml:space="preserve"> </w:t>
      </w:r>
      <w:r>
        <w:rPr>
          <w:rFonts w:cs="Calibri"/>
          <w:szCs w:val="24"/>
        </w:rPr>
        <w:t>m～</w:t>
      </w:r>
      <w:r>
        <w:rPr>
          <w:rFonts w:hint="eastAsia" w:cs="Calibri"/>
          <w:szCs w:val="24"/>
        </w:rPr>
        <w:t>+</w:t>
      </w:r>
      <w:r>
        <w:rPr>
          <w:rFonts w:cs="Calibri"/>
          <w:szCs w:val="24"/>
        </w:rPr>
        <w:t>57</w:t>
      </w:r>
      <w:r>
        <w:rPr>
          <w:rFonts w:hint="eastAsia" w:cs="Calibri"/>
          <w:szCs w:val="24"/>
        </w:rPr>
        <w:t xml:space="preserve"> </w:t>
      </w:r>
      <w:r>
        <w:rPr>
          <w:rFonts w:cs="Calibri"/>
          <w:szCs w:val="24"/>
        </w:rPr>
        <w:t>m。矿区总体地形南高北低，西高东低，稍有起伏。坳谷、冲沟发育，沟宽2</w:t>
      </w:r>
      <w:r>
        <w:rPr>
          <w:rFonts w:hint="eastAsia" w:cs="Calibri"/>
          <w:szCs w:val="24"/>
        </w:rPr>
        <w:t xml:space="preserve"> </w:t>
      </w:r>
      <w:r>
        <w:rPr>
          <w:rFonts w:cs="Calibri"/>
          <w:szCs w:val="24"/>
        </w:rPr>
        <w:t>m～10</w:t>
      </w:r>
      <w:r>
        <w:rPr>
          <w:rFonts w:hint="eastAsia" w:cs="Calibri"/>
          <w:szCs w:val="24"/>
        </w:rPr>
        <w:t xml:space="preserve"> </w:t>
      </w:r>
      <w:r>
        <w:rPr>
          <w:rFonts w:cs="Calibri"/>
          <w:szCs w:val="24"/>
        </w:rPr>
        <w:t>m，切深1.5</w:t>
      </w:r>
      <w:r>
        <w:rPr>
          <w:rFonts w:hint="eastAsia" w:cs="Calibri"/>
          <w:szCs w:val="24"/>
        </w:rPr>
        <w:t xml:space="preserve"> </w:t>
      </w:r>
      <w:r>
        <w:rPr>
          <w:rFonts w:cs="Calibri"/>
          <w:szCs w:val="24"/>
        </w:rPr>
        <w:t>m～8</w:t>
      </w:r>
      <w:r>
        <w:rPr>
          <w:rFonts w:hint="eastAsia" w:cs="Calibri"/>
          <w:szCs w:val="24"/>
        </w:rPr>
        <w:t xml:space="preserve"> </w:t>
      </w:r>
      <w:r>
        <w:rPr>
          <w:rFonts w:cs="Calibri"/>
          <w:szCs w:val="24"/>
        </w:rPr>
        <w:t>m，冲沟多呈南西～北东向展布。</w:t>
      </w:r>
    </w:p>
    <w:p w14:paraId="57F490E6">
      <w:pPr>
        <w:pStyle w:val="4"/>
      </w:pPr>
      <w:r>
        <w:rPr>
          <w:rFonts w:hint="eastAsia"/>
        </w:rPr>
        <w:t>4.1.3</w:t>
      </w:r>
      <w:r>
        <w:t xml:space="preserve"> </w:t>
      </w:r>
      <w:r>
        <w:rPr>
          <w:rFonts w:hint="eastAsia"/>
        </w:rPr>
        <w:t>区域地质特征</w:t>
      </w:r>
    </w:p>
    <w:p w14:paraId="04F7126F">
      <w:pPr>
        <w:ind w:firstLine="480"/>
        <w:rPr>
          <w:rFonts w:cs="Calibri"/>
          <w:szCs w:val="24"/>
        </w:rPr>
      </w:pPr>
      <w:r>
        <w:rPr>
          <w:rFonts w:hint="eastAsia" w:cs="Calibri"/>
          <w:szCs w:val="24"/>
        </w:rPr>
        <w:t>草楼铁矿</w:t>
      </w:r>
      <w:r>
        <w:rPr>
          <w:rFonts w:cs="Calibri"/>
          <w:szCs w:val="24"/>
        </w:rPr>
        <w:t>位于华北地台的南部，豫～淮台褶东段之淮南复向斜以南，肥中断裂以北，合肥拗陷和横川拗陷之间，即构成淮阳山字型构造脊柱的四十里长山一带。</w:t>
      </w:r>
    </w:p>
    <w:p w14:paraId="031CBEC4">
      <w:pPr>
        <w:snapToGrid w:val="0"/>
        <w:spacing w:line="480" w:lineRule="exact"/>
        <w:ind w:firstLine="480"/>
      </w:pPr>
      <w:r>
        <w:rPr>
          <w:rFonts w:hint="eastAsia"/>
        </w:rPr>
        <w:t>安徽金安矿业有限公司草楼铁矿地处华北地台南部，位于豫—淮台褶带东段之淮南复向斜以南，六安断裂以北，合肥拗陷和潢川拗陷之间，即构成淮阳山字型构造脊柱的四十里长山一带。地震方面，地震动峰值加速度为</w:t>
      </w:r>
      <w:r>
        <w:t>0.05g</w:t>
      </w:r>
      <w:r>
        <w:rPr>
          <w:rFonts w:hint="eastAsia"/>
        </w:rPr>
        <w:t>，地震基本烈度为</w:t>
      </w:r>
      <w:r>
        <w:t xml:space="preserve">6 </w:t>
      </w:r>
      <w:r>
        <w:rPr>
          <w:rFonts w:hint="eastAsia"/>
        </w:rPr>
        <w:t>度区。</w:t>
      </w:r>
    </w:p>
    <w:p w14:paraId="158AD790">
      <w:pPr>
        <w:ind w:firstLine="480"/>
        <w:rPr>
          <w:rFonts w:cs="Calibri"/>
          <w:szCs w:val="24"/>
        </w:rPr>
      </w:pPr>
      <w:r>
        <w:rPr>
          <w:rFonts w:hint="eastAsia" w:cs="Calibri"/>
          <w:szCs w:val="24"/>
        </w:rPr>
        <w:t>草楼铁矿</w:t>
      </w:r>
      <w:r>
        <w:rPr>
          <w:rFonts w:cs="Calibri"/>
          <w:szCs w:val="24"/>
        </w:rPr>
        <w:t>均为大型沉积变质型铁矿床，集中赋存于周集倒转向斜两翼中的新太古界霍邱群周集组、吴集组地层中，为两个性质差异的含矿层位。</w:t>
      </w:r>
    </w:p>
    <w:p w14:paraId="0D87FE4D">
      <w:pPr>
        <w:pStyle w:val="4"/>
      </w:pPr>
      <w:r>
        <w:rPr>
          <w:rFonts w:hint="eastAsia"/>
        </w:rPr>
        <w:t>4.1.4</w:t>
      </w:r>
      <w:r>
        <w:t xml:space="preserve"> </w:t>
      </w:r>
      <w:r>
        <w:rPr>
          <w:rFonts w:hint="eastAsia"/>
        </w:rPr>
        <w:t>地表水</w:t>
      </w:r>
    </w:p>
    <w:p w14:paraId="74F38748">
      <w:pPr>
        <w:ind w:firstLine="480"/>
        <w:rPr>
          <w:rFonts w:cs="Calibri"/>
          <w:szCs w:val="24"/>
        </w:rPr>
      </w:pPr>
      <w:r>
        <w:rPr>
          <w:rFonts w:cs="Calibri"/>
          <w:szCs w:val="24"/>
        </w:rPr>
        <w:t>霍邱县境内的地表水体属淮河水系，主要有淮河、沿岗河、史河、城东湖、城西湖、沣西干渠、蝎子山水库、龙潭水库等。</w:t>
      </w:r>
    </w:p>
    <w:p w14:paraId="3D99DE33">
      <w:pPr>
        <w:ind w:firstLine="480"/>
        <w:rPr>
          <w:rFonts w:cs="Calibri"/>
          <w:szCs w:val="24"/>
        </w:rPr>
      </w:pPr>
      <w:r>
        <w:rPr>
          <w:rFonts w:cs="Calibri"/>
          <w:szCs w:val="24"/>
        </w:rPr>
        <w:t>淮河：矿区位于淮河中上游的南岸，矿区北距淮河</w:t>
      </w:r>
      <w:r>
        <w:rPr>
          <w:rFonts w:hint="eastAsia" w:cs="Calibri"/>
          <w:szCs w:val="24"/>
        </w:rPr>
        <w:t>18</w:t>
      </w:r>
      <w:r>
        <w:rPr>
          <w:rFonts w:cs="Calibri"/>
          <w:szCs w:val="24"/>
        </w:rPr>
        <w:t>km，该段淮河设计流量9400m</w:t>
      </w:r>
      <w:r>
        <w:rPr>
          <w:rFonts w:cs="Calibri"/>
          <w:szCs w:val="24"/>
          <w:vertAlign w:val="superscript"/>
        </w:rPr>
        <w:t>3</w:t>
      </w:r>
      <w:r>
        <w:rPr>
          <w:rFonts w:cs="Calibri"/>
          <w:szCs w:val="24"/>
        </w:rPr>
        <w:t>/s，截流设计洪水位为28.0m，历年实测最大流量8320m</w:t>
      </w:r>
      <w:r>
        <w:rPr>
          <w:rFonts w:cs="Calibri"/>
          <w:szCs w:val="24"/>
          <w:vertAlign w:val="superscript"/>
        </w:rPr>
        <w:t>3</w:t>
      </w:r>
      <w:r>
        <w:rPr>
          <w:rFonts w:cs="Calibri"/>
          <w:szCs w:val="24"/>
        </w:rPr>
        <w:t>/s(润河集，1954年)，实测最高洪水位28.51m(南照集，1968年)。</w:t>
      </w:r>
    </w:p>
    <w:p w14:paraId="52EE2CE8">
      <w:pPr>
        <w:ind w:firstLine="480"/>
        <w:rPr>
          <w:rFonts w:cs="Calibri"/>
          <w:szCs w:val="24"/>
        </w:rPr>
      </w:pPr>
      <w:r>
        <w:rPr>
          <w:rFonts w:cs="Calibri"/>
          <w:szCs w:val="24"/>
        </w:rPr>
        <w:t>沿岗河：西始本县周集，经高塘、城西湖北侧、城关镇北侧，北抵临淮岗。汇集沿途地表径流和城镇生活污水，通过深孔岗闸排入新淮河。全长56km，堤顶高26.5m，一般水位18.5m，正常水深1.5m左右，最大河宽100m，底宽30m，河底高程15.0～18.0m，流域面积为426km</w:t>
      </w:r>
      <w:r>
        <w:rPr>
          <w:rFonts w:cs="Calibri"/>
          <w:szCs w:val="24"/>
          <w:vertAlign w:val="superscript"/>
        </w:rPr>
        <w:t>2</w:t>
      </w:r>
      <w:r>
        <w:rPr>
          <w:rFonts w:cs="Calibri"/>
          <w:szCs w:val="24"/>
        </w:rPr>
        <w:t>，河道平均比降为0.20‰，最大流量可达830m</w:t>
      </w:r>
      <w:r>
        <w:rPr>
          <w:rFonts w:cs="Calibri"/>
          <w:szCs w:val="24"/>
          <w:vertAlign w:val="superscript"/>
        </w:rPr>
        <w:t>3</w:t>
      </w:r>
      <w:r>
        <w:rPr>
          <w:rFonts w:cs="Calibri"/>
          <w:szCs w:val="24"/>
        </w:rPr>
        <w:t>/s，年平均径流量约12m</w:t>
      </w:r>
      <w:r>
        <w:rPr>
          <w:rFonts w:cs="Calibri"/>
          <w:szCs w:val="24"/>
          <w:vertAlign w:val="superscript"/>
        </w:rPr>
        <w:t>3</w:t>
      </w:r>
      <w:r>
        <w:rPr>
          <w:rFonts w:cs="Calibri"/>
          <w:szCs w:val="24"/>
        </w:rPr>
        <w:t>/s，最枯流量0.4m</w:t>
      </w:r>
      <w:r>
        <w:rPr>
          <w:rFonts w:cs="Calibri"/>
          <w:szCs w:val="24"/>
          <w:vertAlign w:val="superscript"/>
        </w:rPr>
        <w:t>3</w:t>
      </w:r>
      <w:r>
        <w:rPr>
          <w:rFonts w:cs="Calibri"/>
          <w:szCs w:val="24"/>
        </w:rPr>
        <w:t>/s。因河口受闸门控制，汛期实际为河型湖泊。根据霍邱县水环境功能区划，沿岗河现状使用功能为农业用水，规划主导功能为农业用水区，规划水质目标为《地表水环境质量标准》</w:t>
      </w:r>
      <w:r>
        <w:rPr>
          <w:rFonts w:hint="eastAsia" w:cs="宋体"/>
          <w:szCs w:val="24"/>
        </w:rPr>
        <w:t>Ⅳ</w:t>
      </w:r>
      <w:r>
        <w:rPr>
          <w:rFonts w:cs="Calibri"/>
          <w:szCs w:val="24"/>
        </w:rPr>
        <w:t>类。</w:t>
      </w:r>
    </w:p>
    <w:p w14:paraId="163DAD14">
      <w:pPr>
        <w:ind w:firstLine="480"/>
        <w:rPr>
          <w:rFonts w:cs="Calibri"/>
          <w:szCs w:val="24"/>
        </w:rPr>
      </w:pPr>
      <w:r>
        <w:rPr>
          <w:rFonts w:cs="Calibri"/>
          <w:szCs w:val="24"/>
        </w:rPr>
        <w:t>史河：史河源于金寨，穿梅山水库，过红石嘴，经叶集、固始、蒋家集，在霍邱陈村入淮，全长220km。</w:t>
      </w:r>
    </w:p>
    <w:p w14:paraId="5725A837">
      <w:pPr>
        <w:ind w:firstLine="480"/>
        <w:rPr>
          <w:rFonts w:cs="Calibri"/>
          <w:szCs w:val="24"/>
        </w:rPr>
      </w:pPr>
      <w:r>
        <w:rPr>
          <w:rFonts w:cs="Calibri"/>
          <w:szCs w:val="24"/>
        </w:rPr>
        <w:t>城东湖、城西湖：矿区东侧有城东湖、城西湖，多年平均水位标高分别为22.5m和20m，两湖均为淮河中游蓄洪区，最高蓄洪水位分别为26.5m和24.5m。</w:t>
      </w:r>
    </w:p>
    <w:p w14:paraId="5AB3188D">
      <w:pPr>
        <w:ind w:firstLine="480"/>
        <w:rPr>
          <w:rFonts w:cs="Calibri"/>
          <w:szCs w:val="24"/>
        </w:rPr>
      </w:pPr>
      <w:r>
        <w:rPr>
          <w:rFonts w:cs="Calibri"/>
          <w:szCs w:val="24"/>
        </w:rPr>
        <w:t>沣西干渠：矿区西部有沣西干渠自南向北流过，是区内农业灌溉水源之一。另外，矿区内沟塘密布，雨水自西向东或自南向北流，最终经沿岗河流入城西湖。</w:t>
      </w:r>
    </w:p>
    <w:p w14:paraId="23C1B982">
      <w:pPr>
        <w:ind w:firstLine="480"/>
        <w:rPr>
          <w:rFonts w:cs="Calibri"/>
          <w:szCs w:val="24"/>
        </w:rPr>
      </w:pPr>
      <w:r>
        <w:rPr>
          <w:rFonts w:cs="Calibri"/>
          <w:szCs w:val="24"/>
        </w:rPr>
        <w:t>蝎子山水库：位于沣西干渠渠尾冯井乡蝎子山东侧，矿区西约</w:t>
      </w:r>
      <w:r>
        <w:rPr>
          <w:rFonts w:hint="eastAsia" w:cs="Calibri"/>
          <w:szCs w:val="24"/>
        </w:rPr>
        <w:t>6.5</w:t>
      </w:r>
      <w:r>
        <w:rPr>
          <w:rFonts w:cs="Calibri"/>
          <w:szCs w:val="24"/>
        </w:rPr>
        <w:t>km处，是一个由梅山水库充水的反调节水库，集水面积2.8km</w:t>
      </w:r>
      <w:r>
        <w:rPr>
          <w:rFonts w:cs="Calibri"/>
          <w:szCs w:val="24"/>
          <w:vertAlign w:val="superscript"/>
        </w:rPr>
        <w:t>2</w:t>
      </w:r>
      <w:r>
        <w:rPr>
          <w:rFonts w:cs="Calibri"/>
          <w:szCs w:val="24"/>
        </w:rPr>
        <w:t>，库容700万m</w:t>
      </w:r>
      <w:r>
        <w:rPr>
          <w:rFonts w:cs="Calibri"/>
          <w:szCs w:val="24"/>
          <w:vertAlign w:val="superscript"/>
        </w:rPr>
        <w:t>3</w:t>
      </w:r>
      <w:r>
        <w:rPr>
          <w:rFonts w:cs="Calibri"/>
          <w:szCs w:val="24"/>
        </w:rPr>
        <w:t>。</w:t>
      </w:r>
    </w:p>
    <w:p w14:paraId="12B9F64D">
      <w:pPr>
        <w:pStyle w:val="4"/>
      </w:pPr>
      <w:r>
        <w:rPr>
          <w:rFonts w:hint="eastAsia"/>
        </w:rPr>
        <w:t>4.1.5</w:t>
      </w:r>
      <w:r>
        <w:t xml:space="preserve"> </w:t>
      </w:r>
      <w:r>
        <w:rPr>
          <w:rFonts w:hint="eastAsia"/>
        </w:rPr>
        <w:t>地下水</w:t>
      </w:r>
    </w:p>
    <w:p w14:paraId="414E2337">
      <w:pPr>
        <w:ind w:firstLine="480"/>
        <w:rPr>
          <w:rFonts w:cs="Calibri"/>
          <w:szCs w:val="24"/>
        </w:rPr>
      </w:pPr>
      <w:r>
        <w:rPr>
          <w:rFonts w:cs="Calibri"/>
          <w:szCs w:val="24"/>
        </w:rPr>
        <w:t>霍邱县地下水较丰富，流向由南向北。南部岗区地下水埋藏较深，含水层厚度一般在30m左右，西部山丘区地下水埋藏深，含水层厚度小，一般在10～15m，而北部沿淮湖洼圩区的地下水埋藏较浅，含水层厚度较大，一般在50m左右。全县地下水开采利用较少。</w:t>
      </w:r>
    </w:p>
    <w:p w14:paraId="138668DE">
      <w:pPr>
        <w:ind w:firstLine="480"/>
      </w:pPr>
      <w:r>
        <w:rPr>
          <w:rFonts w:cs="Calibri"/>
          <w:szCs w:val="24"/>
        </w:rPr>
        <w:t>区内第四系沉积物广泛分布，砂性土发育，给孔隙水赋存提供了良好的空间。西部四十里长山丘陵分布的碳酸盐岩石岩溶较发育，为地下水的赋存和运移提供了良好的场所和条件。中部第四系之下为变质岩类岩石。岩心完整，裂隙不发育，含水较贫乏。唯风化带含有较丰富的风化裂隙水。东部第四系之下，广泛分布中生代“红层”。含水量贫乏为相对隔水层。</w:t>
      </w:r>
    </w:p>
    <w:p w14:paraId="3BB53D2E">
      <w:pPr>
        <w:pStyle w:val="4"/>
      </w:pPr>
      <w:r>
        <w:rPr>
          <w:rFonts w:hint="eastAsia"/>
        </w:rPr>
        <w:t>4.1.6</w:t>
      </w:r>
      <w:r>
        <w:t xml:space="preserve"> </w:t>
      </w:r>
      <w:r>
        <w:rPr>
          <w:rFonts w:hint="eastAsia"/>
        </w:rPr>
        <w:t>土壤与水土流失</w:t>
      </w:r>
    </w:p>
    <w:p w14:paraId="732F409A">
      <w:pPr>
        <w:ind w:firstLine="480"/>
        <w:rPr>
          <w:rFonts w:cs="Calibri"/>
          <w:szCs w:val="24"/>
        </w:rPr>
      </w:pPr>
      <w:r>
        <w:rPr>
          <w:rFonts w:cs="Calibri"/>
          <w:szCs w:val="24"/>
        </w:rPr>
        <w:t>矿区第四系分布广泛，主要为亚粘土、粘土夹泥灰岩和砂土，厚度32-157m，成土母质多为岩类风化物。</w:t>
      </w:r>
    </w:p>
    <w:p w14:paraId="76CE5797">
      <w:pPr>
        <w:ind w:firstLine="480"/>
        <w:rPr>
          <w:rFonts w:cs="Calibri"/>
          <w:szCs w:val="24"/>
        </w:rPr>
      </w:pPr>
      <w:r>
        <w:rPr>
          <w:rFonts w:cs="Calibri"/>
          <w:szCs w:val="24"/>
        </w:rPr>
        <w:t>区域土壤类型以黄棕壤土类和水稻土类为主。其中黄棕壤土类分布于岗地、丘陵，成土母质为下蜀系黄土及多种岩石风化物，心土层粘化作用明显，呈黄棕色，棱块状或棱柱状结构，微酸到中性，土层较厚，上覆枯枝落叶层；水稻土主要分布于平原区的水稻田，是地带性和非地带性土壤经人们长期水耕熟化发育而成，质地轻壤至轻粘。从整个土壤剖面分析来看，未有异常有机物和重金属超标现象。</w:t>
      </w:r>
    </w:p>
    <w:p w14:paraId="6503419A">
      <w:pPr>
        <w:ind w:firstLine="480"/>
        <w:rPr>
          <w:rFonts w:cs="Calibri"/>
          <w:szCs w:val="24"/>
        </w:rPr>
      </w:pPr>
      <w:r>
        <w:rPr>
          <w:rFonts w:cs="Calibri"/>
          <w:szCs w:val="24"/>
        </w:rPr>
        <w:t>矿区土壤平均有机质1.16%，全氮0.078%，速效磷9.2ppm，速效钾114ppm。总的情况是氮磷俱缺，有机质偏低，有效钾含量略高。</w:t>
      </w:r>
    </w:p>
    <w:p w14:paraId="0F905827">
      <w:pPr>
        <w:ind w:firstLine="480"/>
      </w:pPr>
      <w:r>
        <w:rPr>
          <w:rFonts w:cs="Calibri"/>
          <w:szCs w:val="24"/>
        </w:rPr>
        <w:t>项目所在区域为经济较单一的农业耕作区，经过多年的建设发展，已形成较为完整的田、林、路、沟、渠的网格化格局，现状水土流失轻微。2003年以来，伴随着周边大昌矿业、诺谱矿业、金安矿业、环山矿业的施工建设，地面扰动、植被破坏、基础开挖、土石临时堆放、弃土弃渣等施工面裸露问题严重，局部区域侵蚀模数将由原来的微度上升至轻度侵蚀。</w:t>
      </w:r>
    </w:p>
    <w:p w14:paraId="1D94D089">
      <w:pPr>
        <w:pStyle w:val="3"/>
      </w:pPr>
      <w:bookmarkStart w:id="37" w:name="_Toc85213502"/>
      <w:r>
        <w:rPr>
          <w:rFonts w:hint="eastAsia"/>
        </w:rPr>
        <w:t>4.2</w:t>
      </w:r>
      <w:r>
        <w:t xml:space="preserve"> </w:t>
      </w:r>
      <w:r>
        <w:rPr>
          <w:rFonts w:hint="eastAsia"/>
        </w:rPr>
        <w:t>环境保护目标变化</w:t>
      </w:r>
      <w:bookmarkEnd w:id="37"/>
    </w:p>
    <w:p w14:paraId="2DE18F95">
      <w:pPr>
        <w:pStyle w:val="4"/>
      </w:pPr>
      <w:r>
        <w:rPr>
          <w:rFonts w:hint="eastAsia"/>
        </w:rPr>
        <w:t>4.2.1</w:t>
      </w:r>
      <w:r>
        <w:t xml:space="preserve"> </w:t>
      </w:r>
      <w:r>
        <w:rPr>
          <w:rFonts w:hint="eastAsia"/>
        </w:rPr>
        <w:t>环境空气保护目标变化</w:t>
      </w:r>
    </w:p>
    <w:p w14:paraId="6763F7E8">
      <w:pPr>
        <w:ind w:firstLine="480"/>
      </w:pPr>
      <w:r>
        <w:rPr>
          <w:rFonts w:hint="eastAsia"/>
        </w:rPr>
        <w:t>与环评及验收阶段相比，后评价阶段环境空气保护目标基本没变，环境空气保护目标情况如下表4.2-1，环境空气保护目标见图4.2-1。</w:t>
      </w:r>
    </w:p>
    <w:p w14:paraId="531C6FBD">
      <w:pPr>
        <w:pStyle w:val="4"/>
      </w:pPr>
      <w:r>
        <w:rPr>
          <w:rFonts w:hint="eastAsia"/>
        </w:rPr>
        <w:t>4.2.2</w:t>
      </w:r>
      <w:r>
        <w:t xml:space="preserve"> </w:t>
      </w:r>
      <w:r>
        <w:rPr>
          <w:rFonts w:hint="eastAsia"/>
        </w:rPr>
        <w:t>地表水环境保护目标变化</w:t>
      </w:r>
    </w:p>
    <w:p w14:paraId="354C20E9">
      <w:pPr>
        <w:ind w:firstLine="480"/>
      </w:pPr>
      <w:r>
        <w:rPr>
          <w:rFonts w:hint="eastAsia"/>
        </w:rPr>
        <w:t>与环评及验收阶段相比，后评价阶段地表水环境保护目标未发生变化。</w:t>
      </w:r>
    </w:p>
    <w:p w14:paraId="474FC510">
      <w:pPr>
        <w:ind w:firstLine="480"/>
      </w:pPr>
      <w:r>
        <w:rPr>
          <w:rFonts w:hint="eastAsia"/>
        </w:rPr>
        <w:t>根据地表水导则，地表水保护目标包括饮用水水源保护区、饮用水取水口，涉水的自然保护区、风景名胜区，重要湿地、重点保护与珍稀水生生物的栖息地、重要水生生物的自然产卵场及索饵场、越冬场和洄游通道，天然渔场等渔业水体，以及水产种质资源保护区等。</w:t>
      </w:r>
    </w:p>
    <w:p w14:paraId="292A88E0">
      <w:pPr>
        <w:ind w:firstLine="480"/>
      </w:pPr>
      <w:r>
        <w:rPr>
          <w:rFonts w:hint="eastAsia"/>
        </w:rPr>
        <w:t>本项目周边地表水为沿岗河及</w:t>
      </w:r>
      <w:r>
        <w:rPr>
          <w:szCs w:val="24"/>
        </w:rPr>
        <w:t>陈大庄沟支流</w:t>
      </w:r>
      <w:r>
        <w:rPr>
          <w:rFonts w:hint="eastAsia"/>
        </w:rPr>
        <w:t>，无饮用水功能，周边无其他需要特别保护的地表水体。根据环评报告，主要将项目周边地表水体作为环境保护目标，本次后评价也可将周边水体作为环境保护目标，具体情况见下表4.2-2和图4.2-2。</w:t>
      </w:r>
    </w:p>
    <w:p w14:paraId="0C3F7D95">
      <w:pPr>
        <w:pStyle w:val="18"/>
        <w:ind w:firstLine="482"/>
        <w:jc w:val="center"/>
        <w:rPr>
          <w:b/>
          <w:bCs/>
          <w:sz w:val="24"/>
          <w:szCs w:val="24"/>
        </w:rPr>
      </w:pPr>
      <w:r>
        <w:rPr>
          <w:rFonts w:hint="eastAsia"/>
          <w:b/>
          <w:bCs/>
          <w:sz w:val="24"/>
          <w:szCs w:val="24"/>
        </w:rPr>
        <w:t>表4.2-2</w:t>
      </w:r>
      <w:r>
        <w:rPr>
          <w:b/>
          <w:bCs/>
          <w:sz w:val="24"/>
          <w:szCs w:val="24"/>
        </w:rPr>
        <w:t xml:space="preserve">  </w:t>
      </w:r>
      <w:r>
        <w:rPr>
          <w:rFonts w:hint="eastAsia"/>
          <w:b/>
          <w:bCs/>
          <w:sz w:val="24"/>
          <w:szCs w:val="24"/>
        </w:rPr>
        <w:t>地表水环境保护目标</w:t>
      </w:r>
    </w:p>
    <w:tbl>
      <w:tblPr>
        <w:tblStyle w:val="32"/>
        <w:tblW w:w="894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442"/>
        <w:gridCol w:w="987"/>
        <w:gridCol w:w="658"/>
        <w:gridCol w:w="1167"/>
        <w:gridCol w:w="1481"/>
        <w:gridCol w:w="1750"/>
        <w:gridCol w:w="1756"/>
        <w:gridCol w:w="704"/>
      </w:tblGrid>
      <w:tr w14:paraId="31427E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92" w:hRule="atLeast"/>
          <w:jc w:val="center"/>
        </w:trPr>
        <w:tc>
          <w:tcPr>
            <w:tcW w:w="442" w:type="dxa"/>
            <w:tcBorders>
              <w:left w:val="single" w:color="000000" w:sz="10" w:space="0"/>
            </w:tcBorders>
            <w:textDirection w:val="tbRlV"/>
            <w:vAlign w:val="center"/>
          </w:tcPr>
          <w:p w14:paraId="32992AB8">
            <w:pPr>
              <w:pStyle w:val="18"/>
              <w:ind w:firstLine="0" w:firstLineChars="0"/>
              <w:rPr>
                <w:b/>
                <w:bCs/>
                <w:szCs w:val="24"/>
              </w:rPr>
            </w:pPr>
            <w:r>
              <w:rPr>
                <w:b/>
                <w:bCs/>
                <w:szCs w:val="24"/>
              </w:rPr>
              <w:t>序 号</w:t>
            </w:r>
          </w:p>
        </w:tc>
        <w:tc>
          <w:tcPr>
            <w:tcW w:w="987" w:type="dxa"/>
            <w:vAlign w:val="center"/>
          </w:tcPr>
          <w:p w14:paraId="39089489">
            <w:pPr>
              <w:pStyle w:val="18"/>
              <w:ind w:firstLine="0" w:firstLineChars="0"/>
              <w:rPr>
                <w:b/>
                <w:bCs/>
                <w:szCs w:val="24"/>
              </w:rPr>
            </w:pPr>
            <w:r>
              <w:rPr>
                <w:b/>
                <w:bCs/>
                <w:szCs w:val="24"/>
              </w:rPr>
              <w:t>保护目 标名称</w:t>
            </w:r>
          </w:p>
        </w:tc>
        <w:tc>
          <w:tcPr>
            <w:tcW w:w="658" w:type="dxa"/>
            <w:vAlign w:val="center"/>
          </w:tcPr>
          <w:p w14:paraId="19370E62">
            <w:pPr>
              <w:pStyle w:val="18"/>
              <w:ind w:firstLine="0" w:firstLineChars="0"/>
              <w:rPr>
                <w:b/>
                <w:bCs/>
                <w:szCs w:val="24"/>
              </w:rPr>
            </w:pPr>
            <w:r>
              <w:rPr>
                <w:b/>
                <w:bCs/>
                <w:szCs w:val="24"/>
              </w:rPr>
              <w:t>规模</w:t>
            </w:r>
          </w:p>
        </w:tc>
        <w:tc>
          <w:tcPr>
            <w:tcW w:w="1167" w:type="dxa"/>
            <w:vAlign w:val="center"/>
          </w:tcPr>
          <w:p w14:paraId="702F8B6F">
            <w:pPr>
              <w:pStyle w:val="18"/>
              <w:ind w:firstLine="0" w:firstLineChars="0"/>
              <w:rPr>
                <w:b/>
                <w:bCs/>
                <w:szCs w:val="24"/>
              </w:rPr>
            </w:pPr>
            <w:r>
              <w:rPr>
                <w:b/>
                <w:bCs/>
                <w:szCs w:val="24"/>
              </w:rPr>
              <w:t>相对场地</w:t>
            </w:r>
          </w:p>
        </w:tc>
        <w:tc>
          <w:tcPr>
            <w:tcW w:w="1481" w:type="dxa"/>
            <w:vAlign w:val="center"/>
          </w:tcPr>
          <w:p w14:paraId="6B050640">
            <w:pPr>
              <w:pStyle w:val="18"/>
              <w:ind w:firstLine="0" w:firstLineChars="0"/>
              <w:rPr>
                <w:b/>
                <w:bCs/>
                <w:szCs w:val="24"/>
              </w:rPr>
            </w:pPr>
            <w:r>
              <w:rPr>
                <w:b/>
                <w:bCs/>
                <w:szCs w:val="24"/>
              </w:rPr>
              <w:t>相对位置</w:t>
            </w:r>
          </w:p>
        </w:tc>
        <w:tc>
          <w:tcPr>
            <w:tcW w:w="1750" w:type="dxa"/>
            <w:vAlign w:val="center"/>
          </w:tcPr>
          <w:p w14:paraId="3ACDB8DD">
            <w:pPr>
              <w:pStyle w:val="18"/>
              <w:ind w:firstLine="0" w:firstLineChars="0"/>
              <w:rPr>
                <w:b/>
                <w:bCs/>
                <w:szCs w:val="24"/>
              </w:rPr>
            </w:pPr>
            <w:r>
              <w:rPr>
                <w:b/>
                <w:bCs/>
                <w:szCs w:val="24"/>
              </w:rPr>
              <w:t>环评阶段保护要 求</w:t>
            </w:r>
          </w:p>
        </w:tc>
        <w:tc>
          <w:tcPr>
            <w:tcW w:w="1756" w:type="dxa"/>
            <w:vAlign w:val="center"/>
          </w:tcPr>
          <w:p w14:paraId="0139DA9E">
            <w:pPr>
              <w:pStyle w:val="18"/>
              <w:ind w:firstLine="0" w:firstLineChars="0"/>
              <w:rPr>
                <w:b/>
                <w:bCs/>
                <w:szCs w:val="24"/>
              </w:rPr>
            </w:pPr>
            <w:r>
              <w:rPr>
                <w:b/>
                <w:bCs/>
                <w:szCs w:val="24"/>
              </w:rPr>
              <w:t>后评价阶段保护 要求</w:t>
            </w:r>
          </w:p>
        </w:tc>
        <w:tc>
          <w:tcPr>
            <w:tcW w:w="704" w:type="dxa"/>
            <w:tcBorders>
              <w:right w:val="single" w:color="000000" w:sz="10" w:space="0"/>
            </w:tcBorders>
            <w:vAlign w:val="center"/>
          </w:tcPr>
          <w:p w14:paraId="23849B31">
            <w:pPr>
              <w:pStyle w:val="18"/>
              <w:ind w:firstLine="0" w:firstLineChars="0"/>
              <w:rPr>
                <w:b/>
                <w:bCs/>
                <w:szCs w:val="24"/>
              </w:rPr>
            </w:pPr>
            <w:r>
              <w:rPr>
                <w:b/>
                <w:bCs/>
                <w:szCs w:val="24"/>
              </w:rPr>
              <w:t>变化 情况</w:t>
            </w:r>
          </w:p>
        </w:tc>
      </w:tr>
      <w:tr w14:paraId="64E485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56" w:hRule="atLeast"/>
          <w:jc w:val="center"/>
        </w:trPr>
        <w:tc>
          <w:tcPr>
            <w:tcW w:w="442" w:type="dxa"/>
            <w:tcBorders>
              <w:left w:val="single" w:color="000000" w:sz="10" w:space="0"/>
            </w:tcBorders>
            <w:vAlign w:val="center"/>
          </w:tcPr>
          <w:p w14:paraId="5F03341D">
            <w:pPr>
              <w:pStyle w:val="18"/>
              <w:ind w:firstLine="0" w:firstLineChars="0"/>
              <w:rPr>
                <w:szCs w:val="24"/>
              </w:rPr>
            </w:pPr>
            <w:r>
              <w:rPr>
                <w:szCs w:val="24"/>
              </w:rPr>
              <w:t>1</w:t>
            </w:r>
          </w:p>
        </w:tc>
        <w:tc>
          <w:tcPr>
            <w:tcW w:w="987" w:type="dxa"/>
            <w:vAlign w:val="center"/>
          </w:tcPr>
          <w:p w14:paraId="18F31CA2">
            <w:pPr>
              <w:pStyle w:val="18"/>
              <w:ind w:firstLine="0" w:firstLineChars="0"/>
              <w:rPr>
                <w:szCs w:val="24"/>
              </w:rPr>
            </w:pPr>
            <w:r>
              <w:rPr>
                <w:szCs w:val="24"/>
              </w:rPr>
              <w:t>沿岗河</w:t>
            </w:r>
          </w:p>
        </w:tc>
        <w:tc>
          <w:tcPr>
            <w:tcW w:w="658" w:type="dxa"/>
            <w:vAlign w:val="center"/>
          </w:tcPr>
          <w:p w14:paraId="419E37C9">
            <w:pPr>
              <w:pStyle w:val="18"/>
              <w:ind w:firstLine="0" w:firstLineChars="0"/>
              <w:rPr>
                <w:szCs w:val="24"/>
              </w:rPr>
            </w:pPr>
            <w:r>
              <w:rPr>
                <w:szCs w:val="24"/>
              </w:rPr>
              <w:t>小河</w:t>
            </w:r>
          </w:p>
        </w:tc>
        <w:tc>
          <w:tcPr>
            <w:tcW w:w="1167" w:type="dxa"/>
            <w:vAlign w:val="center"/>
          </w:tcPr>
          <w:p w14:paraId="6DCEF80D">
            <w:pPr>
              <w:pStyle w:val="18"/>
              <w:ind w:firstLine="0" w:firstLineChars="0"/>
              <w:rPr>
                <w:szCs w:val="24"/>
              </w:rPr>
            </w:pPr>
            <w:r>
              <w:rPr>
                <w:szCs w:val="24"/>
              </w:rPr>
              <w:t>尾矿库</w:t>
            </w:r>
          </w:p>
        </w:tc>
        <w:tc>
          <w:tcPr>
            <w:tcW w:w="1481" w:type="dxa"/>
            <w:vAlign w:val="center"/>
          </w:tcPr>
          <w:p w14:paraId="380F095A">
            <w:pPr>
              <w:pStyle w:val="18"/>
              <w:ind w:firstLine="0" w:firstLineChars="0"/>
              <w:rPr>
                <w:szCs w:val="24"/>
              </w:rPr>
            </w:pPr>
            <w:r>
              <w:rPr>
                <w:szCs w:val="24"/>
              </w:rPr>
              <w:t>东侧约 4.7km</w:t>
            </w:r>
          </w:p>
        </w:tc>
        <w:tc>
          <w:tcPr>
            <w:tcW w:w="1750" w:type="dxa"/>
            <w:vMerge w:val="restart"/>
            <w:tcBorders>
              <w:bottom w:val="nil"/>
            </w:tcBorders>
            <w:vAlign w:val="center"/>
          </w:tcPr>
          <w:p w14:paraId="33E69AA3">
            <w:pPr>
              <w:pStyle w:val="18"/>
              <w:ind w:firstLine="0" w:firstLineChars="0"/>
              <w:rPr>
                <w:szCs w:val="24"/>
              </w:rPr>
            </w:pPr>
            <w:r>
              <w:rPr>
                <w:szCs w:val="24"/>
              </w:rPr>
              <w:t>（GB3838-2002）</w:t>
            </w:r>
          </w:p>
          <w:p w14:paraId="30C729FF">
            <w:pPr>
              <w:pStyle w:val="18"/>
              <w:ind w:firstLine="0" w:firstLineChars="0"/>
              <w:rPr>
                <w:szCs w:val="24"/>
              </w:rPr>
            </w:pPr>
            <w:r>
              <w:rPr>
                <w:szCs w:val="24"/>
              </w:rPr>
              <w:t>地表水环境Ⅲ类</w:t>
            </w:r>
          </w:p>
          <w:p w14:paraId="63A2D9C0">
            <w:pPr>
              <w:pStyle w:val="18"/>
              <w:ind w:firstLine="0" w:firstLineChars="0"/>
              <w:rPr>
                <w:szCs w:val="24"/>
              </w:rPr>
            </w:pPr>
            <w:r>
              <w:rPr>
                <w:szCs w:val="24"/>
              </w:rPr>
              <w:t>标准</w:t>
            </w:r>
          </w:p>
        </w:tc>
        <w:tc>
          <w:tcPr>
            <w:tcW w:w="1756" w:type="dxa"/>
            <w:vMerge w:val="restart"/>
            <w:tcBorders>
              <w:bottom w:val="nil"/>
            </w:tcBorders>
            <w:vAlign w:val="center"/>
          </w:tcPr>
          <w:p w14:paraId="79888AD7">
            <w:pPr>
              <w:pStyle w:val="18"/>
              <w:ind w:firstLine="0" w:firstLineChars="0"/>
              <w:rPr>
                <w:szCs w:val="24"/>
              </w:rPr>
            </w:pPr>
            <w:r>
              <w:rPr>
                <w:szCs w:val="24"/>
              </w:rPr>
              <w:t>（GB3838-2002）</w:t>
            </w:r>
          </w:p>
          <w:p w14:paraId="0643501F">
            <w:pPr>
              <w:pStyle w:val="18"/>
              <w:ind w:firstLine="0" w:firstLineChars="0"/>
              <w:rPr>
                <w:szCs w:val="24"/>
              </w:rPr>
            </w:pPr>
            <w:r>
              <w:rPr>
                <w:szCs w:val="24"/>
              </w:rPr>
              <w:t>地表水环境Ⅲ类</w:t>
            </w:r>
          </w:p>
          <w:p w14:paraId="5F656C08">
            <w:pPr>
              <w:pStyle w:val="18"/>
              <w:ind w:firstLine="0" w:firstLineChars="0"/>
              <w:rPr>
                <w:szCs w:val="24"/>
              </w:rPr>
            </w:pPr>
            <w:r>
              <w:rPr>
                <w:szCs w:val="24"/>
              </w:rPr>
              <w:t>标准</w:t>
            </w:r>
          </w:p>
        </w:tc>
        <w:tc>
          <w:tcPr>
            <w:tcW w:w="704" w:type="dxa"/>
            <w:vMerge w:val="restart"/>
            <w:tcBorders>
              <w:bottom w:val="nil"/>
              <w:right w:val="single" w:color="000000" w:sz="10" w:space="0"/>
            </w:tcBorders>
            <w:vAlign w:val="center"/>
          </w:tcPr>
          <w:p w14:paraId="50EE66A4">
            <w:pPr>
              <w:pStyle w:val="18"/>
              <w:ind w:firstLine="0" w:firstLineChars="0"/>
              <w:rPr>
                <w:szCs w:val="24"/>
              </w:rPr>
            </w:pPr>
            <w:r>
              <w:rPr>
                <w:szCs w:val="24"/>
              </w:rPr>
              <w:t>无变 化</w:t>
            </w:r>
          </w:p>
        </w:tc>
      </w:tr>
      <w:tr w14:paraId="14517F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52" w:hRule="atLeast"/>
          <w:jc w:val="center"/>
        </w:trPr>
        <w:tc>
          <w:tcPr>
            <w:tcW w:w="442" w:type="dxa"/>
            <w:tcBorders>
              <w:left w:val="single" w:color="000000" w:sz="10" w:space="0"/>
            </w:tcBorders>
            <w:vAlign w:val="center"/>
          </w:tcPr>
          <w:p w14:paraId="2DE0B837">
            <w:pPr>
              <w:pStyle w:val="18"/>
              <w:ind w:firstLine="0" w:firstLineChars="0"/>
              <w:rPr>
                <w:szCs w:val="24"/>
              </w:rPr>
            </w:pPr>
            <w:r>
              <w:rPr>
                <w:szCs w:val="24"/>
              </w:rPr>
              <w:t>2</w:t>
            </w:r>
          </w:p>
        </w:tc>
        <w:tc>
          <w:tcPr>
            <w:tcW w:w="987" w:type="dxa"/>
            <w:vAlign w:val="center"/>
          </w:tcPr>
          <w:p w14:paraId="2107E03D">
            <w:pPr>
              <w:pStyle w:val="18"/>
              <w:ind w:firstLine="0" w:firstLineChars="0"/>
              <w:rPr>
                <w:szCs w:val="24"/>
              </w:rPr>
            </w:pPr>
            <w:r>
              <w:rPr>
                <w:szCs w:val="24"/>
              </w:rPr>
              <w:t>陈大庄 沟支流</w:t>
            </w:r>
          </w:p>
        </w:tc>
        <w:tc>
          <w:tcPr>
            <w:tcW w:w="658" w:type="dxa"/>
            <w:vAlign w:val="center"/>
          </w:tcPr>
          <w:p w14:paraId="463237DC">
            <w:pPr>
              <w:pStyle w:val="18"/>
              <w:ind w:firstLine="0" w:firstLineChars="0"/>
              <w:rPr>
                <w:szCs w:val="24"/>
              </w:rPr>
            </w:pPr>
            <w:r>
              <w:rPr>
                <w:szCs w:val="24"/>
              </w:rPr>
              <w:t>小河</w:t>
            </w:r>
          </w:p>
        </w:tc>
        <w:tc>
          <w:tcPr>
            <w:tcW w:w="1167" w:type="dxa"/>
            <w:vAlign w:val="center"/>
          </w:tcPr>
          <w:p w14:paraId="0F95D981">
            <w:pPr>
              <w:pStyle w:val="18"/>
              <w:ind w:firstLine="0" w:firstLineChars="0"/>
              <w:rPr>
                <w:szCs w:val="24"/>
              </w:rPr>
            </w:pPr>
            <w:r>
              <w:rPr>
                <w:szCs w:val="24"/>
              </w:rPr>
              <w:t>尾矿库</w:t>
            </w:r>
          </w:p>
        </w:tc>
        <w:tc>
          <w:tcPr>
            <w:tcW w:w="1481" w:type="dxa"/>
            <w:vAlign w:val="center"/>
          </w:tcPr>
          <w:p w14:paraId="02C5D088">
            <w:pPr>
              <w:pStyle w:val="18"/>
              <w:ind w:firstLine="0" w:firstLineChars="0"/>
              <w:rPr>
                <w:szCs w:val="24"/>
              </w:rPr>
            </w:pPr>
            <w:r>
              <w:rPr>
                <w:szCs w:val="24"/>
              </w:rPr>
              <w:t>西北侧约 60m</w:t>
            </w:r>
          </w:p>
        </w:tc>
        <w:tc>
          <w:tcPr>
            <w:tcW w:w="1750" w:type="dxa"/>
            <w:vMerge w:val="continue"/>
            <w:tcBorders>
              <w:top w:val="nil"/>
            </w:tcBorders>
            <w:vAlign w:val="center"/>
          </w:tcPr>
          <w:p w14:paraId="79DD9A64">
            <w:pPr>
              <w:pStyle w:val="18"/>
              <w:ind w:firstLine="0" w:firstLineChars="0"/>
              <w:rPr>
                <w:szCs w:val="24"/>
              </w:rPr>
            </w:pPr>
          </w:p>
        </w:tc>
        <w:tc>
          <w:tcPr>
            <w:tcW w:w="1756" w:type="dxa"/>
            <w:vMerge w:val="continue"/>
            <w:tcBorders>
              <w:top w:val="nil"/>
            </w:tcBorders>
            <w:vAlign w:val="center"/>
          </w:tcPr>
          <w:p w14:paraId="4578D5E2">
            <w:pPr>
              <w:pStyle w:val="18"/>
              <w:ind w:firstLine="0" w:firstLineChars="0"/>
              <w:rPr>
                <w:szCs w:val="24"/>
              </w:rPr>
            </w:pPr>
          </w:p>
        </w:tc>
        <w:tc>
          <w:tcPr>
            <w:tcW w:w="704" w:type="dxa"/>
            <w:vMerge w:val="continue"/>
            <w:tcBorders>
              <w:top w:val="nil"/>
              <w:right w:val="single" w:color="000000" w:sz="10" w:space="0"/>
            </w:tcBorders>
            <w:vAlign w:val="center"/>
          </w:tcPr>
          <w:p w14:paraId="47B20AB4">
            <w:pPr>
              <w:pStyle w:val="18"/>
              <w:ind w:firstLine="360"/>
              <w:jc w:val="center"/>
              <w:rPr>
                <w:szCs w:val="24"/>
              </w:rPr>
            </w:pPr>
          </w:p>
        </w:tc>
      </w:tr>
    </w:tbl>
    <w:p w14:paraId="1438A442">
      <w:pPr>
        <w:pStyle w:val="18"/>
        <w:ind w:firstLine="482"/>
        <w:jc w:val="center"/>
        <w:rPr>
          <w:b/>
          <w:bCs/>
          <w:sz w:val="24"/>
          <w:szCs w:val="24"/>
        </w:rPr>
      </w:pPr>
    </w:p>
    <w:p w14:paraId="03EDD0B0">
      <w:pPr>
        <w:ind w:firstLine="480"/>
        <w:sectPr>
          <w:pgSz w:w="11906" w:h="16838"/>
          <w:pgMar w:top="1440" w:right="1797" w:bottom="1440" w:left="1797" w:header="851" w:footer="992" w:gutter="0"/>
          <w:cols w:space="425" w:num="1"/>
          <w:docGrid w:type="lines" w:linePitch="312" w:charSpace="0"/>
        </w:sectPr>
      </w:pPr>
    </w:p>
    <w:p w14:paraId="7A9DE65F">
      <w:pPr>
        <w:spacing w:before="32" w:beforeLines="10" w:after="32" w:afterLines="10" w:line="400" w:lineRule="exact"/>
        <w:ind w:firstLine="0" w:firstLineChars="0"/>
        <w:jc w:val="center"/>
        <w:rPr>
          <w:rFonts w:cs="Times New Roman"/>
          <w:b/>
          <w:snapToGrid w:val="0"/>
          <w:kern w:val="24"/>
          <w:szCs w:val="24"/>
        </w:rPr>
      </w:pPr>
      <w:r>
        <w:rPr>
          <w:rFonts w:hint="eastAsia" w:cs="Times New Roman"/>
          <w:b/>
          <w:snapToGrid w:val="0"/>
          <w:kern w:val="24"/>
          <w:szCs w:val="24"/>
        </w:rPr>
        <w:t>表4.2-1  环境空气保护目标一览表</w:t>
      </w:r>
    </w:p>
    <w:tbl>
      <w:tblPr>
        <w:tblStyle w:val="139"/>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60"/>
        <w:gridCol w:w="1084"/>
        <w:gridCol w:w="971"/>
        <w:gridCol w:w="999"/>
        <w:gridCol w:w="1296"/>
        <w:gridCol w:w="613"/>
        <w:gridCol w:w="871"/>
        <w:gridCol w:w="741"/>
        <w:gridCol w:w="583"/>
      </w:tblGrid>
      <w:tr w14:paraId="61DD92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jc w:val="center"/>
        </w:trPr>
        <w:tc>
          <w:tcPr>
            <w:tcW w:w="715" w:type="pct"/>
            <w:vMerge w:val="restart"/>
          </w:tcPr>
          <w:p w14:paraId="48BE1777">
            <w:pPr>
              <w:spacing w:before="276" w:line="230" w:lineRule="auto"/>
              <w:ind w:firstLine="0" w:firstLineChars="0"/>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t>名称</w:t>
            </w:r>
          </w:p>
        </w:tc>
        <w:tc>
          <w:tcPr>
            <w:tcW w:w="1137" w:type="pct"/>
            <w:gridSpan w:val="2"/>
          </w:tcPr>
          <w:p w14:paraId="3F9711F0">
            <w:pPr>
              <w:spacing w:before="276" w:line="228" w:lineRule="auto"/>
              <w:ind w:firstLine="0" w:firstLineChars="0"/>
              <w:jc w:val="cente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t>坐标</w:t>
            </w:r>
          </w:p>
        </w:tc>
        <w:tc>
          <w:tcPr>
            <w:tcW w:w="618" w:type="pct"/>
            <w:vMerge w:val="restart"/>
          </w:tcPr>
          <w:p w14:paraId="2197F8A2">
            <w:pPr>
              <w:spacing w:before="276" w:line="228" w:lineRule="auto"/>
              <w:ind w:firstLine="0" w:firstLineChars="0"/>
              <w:jc w:val="cente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t>保护对象</w:t>
            </w:r>
          </w:p>
        </w:tc>
        <w:tc>
          <w:tcPr>
            <w:tcW w:w="772" w:type="pct"/>
            <w:vMerge w:val="restart"/>
          </w:tcPr>
          <w:p w14:paraId="5E2A2D86">
            <w:pPr>
              <w:spacing w:before="277" w:line="228" w:lineRule="auto"/>
              <w:ind w:firstLine="0" w:firstLineChars="0"/>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t>环境功能区</w:t>
            </w:r>
          </w:p>
        </w:tc>
        <w:tc>
          <w:tcPr>
            <w:tcW w:w="386" w:type="pct"/>
            <w:vMerge w:val="restart"/>
          </w:tcPr>
          <w:p w14:paraId="1321633F">
            <w:pPr>
              <w:spacing w:before="277" w:line="228" w:lineRule="auto"/>
              <w:ind w:firstLine="0" w:firstLineChars="0"/>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t>相对场地</w:t>
            </w:r>
          </w:p>
        </w:tc>
        <w:tc>
          <w:tcPr>
            <w:tcW w:w="541" w:type="pct"/>
            <w:vMerge w:val="restart"/>
          </w:tcPr>
          <w:p w14:paraId="02E91B24">
            <w:pPr>
              <w:spacing w:before="139" w:line="268" w:lineRule="auto"/>
              <w:ind w:firstLine="0" w:firstLineChars="0"/>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hint="eastAsia" w:cs="Times New Roman"/>
                <w:snapToGrid w:val="0"/>
                <w:color w:val="000000"/>
                <w:spacing w:val="5"/>
                <w:kern w:val="0"/>
                <w:sz w:val="21"/>
                <w:szCs w:val="21"/>
                <w14:textOutline w14:w="3797" w14:cap="sq" w14:cmpd="sng" w14:algn="ctr">
                  <w14:solidFill>
                    <w14:srgbClr w14:val="000000"/>
                  </w14:solidFill>
                  <w14:prstDash w14:val="solid"/>
                  <w14:bevel/>
                </w14:textOutline>
              </w:rPr>
              <w:t>规模（户数/人口）</w:t>
            </w:r>
          </w:p>
        </w:tc>
        <w:tc>
          <w:tcPr>
            <w:tcW w:w="463" w:type="pct"/>
            <w:vMerge w:val="restart"/>
          </w:tcPr>
          <w:p w14:paraId="43C2F0D8">
            <w:pPr>
              <w:spacing w:before="139" w:line="268" w:lineRule="auto"/>
              <w:ind w:firstLine="0" w:firstLineChars="0"/>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t>相对厂址方位</w:t>
            </w:r>
          </w:p>
        </w:tc>
        <w:tc>
          <w:tcPr>
            <w:tcW w:w="368" w:type="pct"/>
            <w:vMerge w:val="restart"/>
          </w:tcPr>
          <w:p w14:paraId="289E743A">
            <w:pPr>
              <w:spacing w:before="277" w:line="228" w:lineRule="auto"/>
              <w:ind w:firstLine="0" w:firstLineChars="0"/>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t>相对距离 /m</w:t>
            </w:r>
          </w:p>
        </w:tc>
      </w:tr>
      <w:tr w14:paraId="6AB7D2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57" w:hRule="atLeast"/>
          <w:jc w:val="center"/>
        </w:trPr>
        <w:tc>
          <w:tcPr>
            <w:tcW w:w="715" w:type="pct"/>
            <w:vMerge w:val="continue"/>
          </w:tcPr>
          <w:p w14:paraId="0C5602D1">
            <w:pPr>
              <w:ind w:firstLine="420"/>
              <w:rPr>
                <w:rFonts w:cs="Times New Roman"/>
                <w:snapToGrid w:val="0"/>
                <w:color w:val="000000"/>
                <w:kern w:val="0"/>
                <w:sz w:val="21"/>
                <w:szCs w:val="21"/>
              </w:rPr>
            </w:pPr>
          </w:p>
        </w:tc>
        <w:tc>
          <w:tcPr>
            <w:tcW w:w="597" w:type="pct"/>
          </w:tcPr>
          <w:p w14:paraId="5AB6C9D1">
            <w:pPr>
              <w:spacing w:before="276" w:line="228" w:lineRule="auto"/>
              <w:ind w:firstLine="0" w:firstLineChars="0"/>
              <w:jc w:val="cente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t>经度</w:t>
            </w:r>
          </w:p>
        </w:tc>
        <w:tc>
          <w:tcPr>
            <w:tcW w:w="540" w:type="pct"/>
          </w:tcPr>
          <w:p w14:paraId="3169321D">
            <w:pPr>
              <w:spacing w:before="276" w:line="228" w:lineRule="auto"/>
              <w:ind w:firstLine="0" w:firstLineChars="0"/>
              <w:jc w:val="cente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pPr>
            <w:r>
              <w:rPr>
                <w:rFonts w:cs="Times New Roman"/>
                <w:snapToGrid w:val="0"/>
                <w:color w:val="000000"/>
                <w:spacing w:val="5"/>
                <w:kern w:val="0"/>
                <w:sz w:val="21"/>
                <w:szCs w:val="21"/>
                <w14:textOutline w14:w="3797" w14:cap="sq" w14:cmpd="sng" w14:algn="ctr">
                  <w14:solidFill>
                    <w14:srgbClr w14:val="000000"/>
                  </w14:solidFill>
                  <w14:prstDash w14:val="solid"/>
                  <w14:bevel/>
                </w14:textOutline>
              </w:rPr>
              <w:t>纬度</w:t>
            </w:r>
          </w:p>
        </w:tc>
        <w:tc>
          <w:tcPr>
            <w:tcW w:w="618" w:type="pct"/>
            <w:vMerge w:val="continue"/>
          </w:tcPr>
          <w:p w14:paraId="2BB45E8C">
            <w:pPr>
              <w:ind w:firstLine="420"/>
              <w:rPr>
                <w:rFonts w:cs="Times New Roman"/>
                <w:snapToGrid w:val="0"/>
                <w:color w:val="000000"/>
                <w:kern w:val="0"/>
                <w:sz w:val="21"/>
                <w:szCs w:val="21"/>
              </w:rPr>
            </w:pPr>
          </w:p>
        </w:tc>
        <w:tc>
          <w:tcPr>
            <w:tcW w:w="772" w:type="pct"/>
            <w:vMerge w:val="continue"/>
          </w:tcPr>
          <w:p w14:paraId="419BFCCC">
            <w:pPr>
              <w:ind w:firstLine="420"/>
              <w:rPr>
                <w:rFonts w:cs="Times New Roman"/>
                <w:snapToGrid w:val="0"/>
                <w:color w:val="000000"/>
                <w:kern w:val="0"/>
                <w:sz w:val="21"/>
                <w:szCs w:val="21"/>
              </w:rPr>
            </w:pPr>
          </w:p>
        </w:tc>
        <w:tc>
          <w:tcPr>
            <w:tcW w:w="386" w:type="pct"/>
            <w:vMerge w:val="continue"/>
          </w:tcPr>
          <w:p w14:paraId="183DF315">
            <w:pPr>
              <w:ind w:firstLine="420"/>
              <w:rPr>
                <w:rFonts w:cs="Times New Roman"/>
                <w:snapToGrid w:val="0"/>
                <w:color w:val="000000"/>
                <w:kern w:val="0"/>
                <w:sz w:val="21"/>
                <w:szCs w:val="21"/>
              </w:rPr>
            </w:pPr>
          </w:p>
        </w:tc>
        <w:tc>
          <w:tcPr>
            <w:tcW w:w="541" w:type="pct"/>
            <w:vMerge w:val="continue"/>
          </w:tcPr>
          <w:p w14:paraId="1BA31F5C">
            <w:pPr>
              <w:ind w:firstLine="420"/>
              <w:rPr>
                <w:rFonts w:cs="Arial"/>
                <w:snapToGrid w:val="0"/>
                <w:color w:val="000000"/>
                <w:kern w:val="0"/>
                <w:sz w:val="21"/>
                <w:szCs w:val="21"/>
              </w:rPr>
            </w:pPr>
          </w:p>
        </w:tc>
        <w:tc>
          <w:tcPr>
            <w:tcW w:w="463" w:type="pct"/>
            <w:vMerge w:val="continue"/>
          </w:tcPr>
          <w:p w14:paraId="5BF6BEC6">
            <w:pPr>
              <w:ind w:firstLine="420"/>
              <w:rPr>
                <w:rFonts w:cs="Times New Roman"/>
                <w:snapToGrid w:val="0"/>
                <w:color w:val="000000"/>
                <w:kern w:val="0"/>
                <w:sz w:val="21"/>
                <w:szCs w:val="21"/>
              </w:rPr>
            </w:pPr>
          </w:p>
        </w:tc>
        <w:tc>
          <w:tcPr>
            <w:tcW w:w="368" w:type="pct"/>
            <w:vMerge w:val="continue"/>
          </w:tcPr>
          <w:p w14:paraId="24018E2B">
            <w:pPr>
              <w:ind w:firstLine="420"/>
              <w:rPr>
                <w:rFonts w:cs="Times New Roman"/>
                <w:snapToGrid w:val="0"/>
                <w:color w:val="000000"/>
                <w:kern w:val="0"/>
                <w:sz w:val="21"/>
                <w:szCs w:val="21"/>
              </w:rPr>
            </w:pPr>
          </w:p>
        </w:tc>
      </w:tr>
      <w:tr w14:paraId="01037F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15" w:type="pct"/>
          </w:tcPr>
          <w:p w14:paraId="2903F80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孟家前楼</w:t>
            </w:r>
          </w:p>
        </w:tc>
        <w:tc>
          <w:tcPr>
            <w:tcW w:w="597" w:type="pct"/>
          </w:tcPr>
          <w:p w14:paraId="184FE4F0">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115.970842</w:t>
            </w:r>
          </w:p>
        </w:tc>
        <w:tc>
          <w:tcPr>
            <w:tcW w:w="540" w:type="pct"/>
          </w:tcPr>
          <w:p w14:paraId="4C0E9956">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32.430953</w:t>
            </w:r>
          </w:p>
        </w:tc>
        <w:tc>
          <w:tcPr>
            <w:tcW w:w="618" w:type="pct"/>
          </w:tcPr>
          <w:p w14:paraId="671D6363">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6D7AC36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19A80D1C">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尾矿库</w:t>
            </w:r>
          </w:p>
        </w:tc>
        <w:tc>
          <w:tcPr>
            <w:tcW w:w="541" w:type="pct"/>
          </w:tcPr>
          <w:p w14:paraId="5F0B9CD9">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29/93</w:t>
            </w:r>
          </w:p>
        </w:tc>
        <w:tc>
          <w:tcPr>
            <w:tcW w:w="463" w:type="pct"/>
          </w:tcPr>
          <w:p w14:paraId="5B8D1B1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SW</w:t>
            </w:r>
          </w:p>
        </w:tc>
        <w:tc>
          <w:tcPr>
            <w:tcW w:w="368" w:type="pct"/>
          </w:tcPr>
          <w:p w14:paraId="4F54BDD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520</w:t>
            </w:r>
          </w:p>
        </w:tc>
      </w:tr>
      <w:tr w14:paraId="73E214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7E516D5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腰庄</w:t>
            </w:r>
          </w:p>
        </w:tc>
        <w:tc>
          <w:tcPr>
            <w:tcW w:w="597" w:type="pct"/>
          </w:tcPr>
          <w:p w14:paraId="14DD76EF">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115.977687</w:t>
            </w:r>
          </w:p>
        </w:tc>
        <w:tc>
          <w:tcPr>
            <w:tcW w:w="540" w:type="pct"/>
          </w:tcPr>
          <w:p w14:paraId="0F286E4B">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32.417006</w:t>
            </w:r>
          </w:p>
        </w:tc>
        <w:tc>
          <w:tcPr>
            <w:tcW w:w="618" w:type="pct"/>
          </w:tcPr>
          <w:p w14:paraId="1D1BE0F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5191C2D6">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5FEC6F8C">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南辅助井</w:t>
            </w:r>
          </w:p>
        </w:tc>
        <w:tc>
          <w:tcPr>
            <w:tcW w:w="541" w:type="pct"/>
          </w:tcPr>
          <w:p w14:paraId="0C80259B">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72/232</w:t>
            </w:r>
          </w:p>
        </w:tc>
        <w:tc>
          <w:tcPr>
            <w:tcW w:w="463" w:type="pct"/>
          </w:tcPr>
          <w:p w14:paraId="2B2F5352">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SW</w:t>
            </w:r>
          </w:p>
        </w:tc>
        <w:tc>
          <w:tcPr>
            <w:tcW w:w="368" w:type="pct"/>
          </w:tcPr>
          <w:p w14:paraId="519C4A7A">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370</w:t>
            </w:r>
          </w:p>
        </w:tc>
      </w:tr>
      <w:tr w14:paraId="088542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43362E81">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薛圩</w:t>
            </w:r>
          </w:p>
        </w:tc>
        <w:tc>
          <w:tcPr>
            <w:tcW w:w="597" w:type="pct"/>
          </w:tcPr>
          <w:p w14:paraId="10A2D86B">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115.975778</w:t>
            </w:r>
          </w:p>
        </w:tc>
        <w:tc>
          <w:tcPr>
            <w:tcW w:w="540" w:type="pct"/>
          </w:tcPr>
          <w:p w14:paraId="52553445">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32.410955</w:t>
            </w:r>
          </w:p>
        </w:tc>
        <w:tc>
          <w:tcPr>
            <w:tcW w:w="618" w:type="pct"/>
          </w:tcPr>
          <w:p w14:paraId="29C32C23">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3F80F1DD">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50CB7923">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南风井</w:t>
            </w:r>
          </w:p>
        </w:tc>
        <w:tc>
          <w:tcPr>
            <w:tcW w:w="541" w:type="pct"/>
          </w:tcPr>
          <w:p w14:paraId="28F302FE">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71/218</w:t>
            </w:r>
          </w:p>
        </w:tc>
        <w:tc>
          <w:tcPr>
            <w:tcW w:w="463" w:type="pct"/>
          </w:tcPr>
          <w:p w14:paraId="0DC6847F">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SW</w:t>
            </w:r>
          </w:p>
        </w:tc>
        <w:tc>
          <w:tcPr>
            <w:tcW w:w="368" w:type="pct"/>
          </w:tcPr>
          <w:p w14:paraId="13D5B4C9">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200</w:t>
            </w:r>
          </w:p>
        </w:tc>
      </w:tr>
      <w:tr w14:paraId="5A5DE3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7B5FE299">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张家夏楼</w:t>
            </w:r>
          </w:p>
        </w:tc>
        <w:tc>
          <w:tcPr>
            <w:tcW w:w="597" w:type="pct"/>
          </w:tcPr>
          <w:p w14:paraId="2884EFA9">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115.968954</w:t>
            </w:r>
          </w:p>
        </w:tc>
        <w:tc>
          <w:tcPr>
            <w:tcW w:w="540" w:type="pct"/>
          </w:tcPr>
          <w:p w14:paraId="0EEAE56A">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32.445212</w:t>
            </w:r>
          </w:p>
        </w:tc>
        <w:tc>
          <w:tcPr>
            <w:tcW w:w="618" w:type="pct"/>
          </w:tcPr>
          <w:p w14:paraId="646FBDC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2DCFF321">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1DAEF42F">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选厂</w:t>
            </w:r>
          </w:p>
        </w:tc>
        <w:tc>
          <w:tcPr>
            <w:tcW w:w="541" w:type="pct"/>
          </w:tcPr>
          <w:p w14:paraId="5BDA7595">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 108</w:t>
            </w:r>
          </w:p>
        </w:tc>
        <w:tc>
          <w:tcPr>
            <w:tcW w:w="463" w:type="pct"/>
          </w:tcPr>
          <w:p w14:paraId="66DDAC0B">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NW</w:t>
            </w:r>
          </w:p>
        </w:tc>
        <w:tc>
          <w:tcPr>
            <w:tcW w:w="368" w:type="pct"/>
          </w:tcPr>
          <w:p w14:paraId="611E16CF">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2300</w:t>
            </w:r>
          </w:p>
        </w:tc>
      </w:tr>
      <w:tr w14:paraId="592415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5EFB2E89">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王旮旯</w:t>
            </w:r>
          </w:p>
        </w:tc>
        <w:tc>
          <w:tcPr>
            <w:tcW w:w="597" w:type="pct"/>
          </w:tcPr>
          <w:p w14:paraId="65351FC6">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115.968106</w:t>
            </w:r>
          </w:p>
        </w:tc>
        <w:tc>
          <w:tcPr>
            <w:tcW w:w="540" w:type="pct"/>
          </w:tcPr>
          <w:p w14:paraId="4210DF3F">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32.435594</w:t>
            </w:r>
          </w:p>
        </w:tc>
        <w:tc>
          <w:tcPr>
            <w:tcW w:w="618" w:type="pct"/>
          </w:tcPr>
          <w:p w14:paraId="1C515871">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77BAB7BF">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51280C47">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选厂</w:t>
            </w:r>
          </w:p>
        </w:tc>
        <w:tc>
          <w:tcPr>
            <w:tcW w:w="541" w:type="pct"/>
          </w:tcPr>
          <w:p w14:paraId="086BDD3B">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62/ 192</w:t>
            </w:r>
          </w:p>
        </w:tc>
        <w:tc>
          <w:tcPr>
            <w:tcW w:w="463" w:type="pct"/>
          </w:tcPr>
          <w:p w14:paraId="2D12E751">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NW</w:t>
            </w:r>
          </w:p>
        </w:tc>
        <w:tc>
          <w:tcPr>
            <w:tcW w:w="368" w:type="pct"/>
          </w:tcPr>
          <w:p w14:paraId="4940E1D2">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2000</w:t>
            </w:r>
          </w:p>
        </w:tc>
      </w:tr>
      <w:tr w14:paraId="388320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58598BAB">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西张郢子</w:t>
            </w:r>
          </w:p>
        </w:tc>
        <w:tc>
          <w:tcPr>
            <w:tcW w:w="597" w:type="pct"/>
          </w:tcPr>
          <w:p w14:paraId="7E4FF37D">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115.984940</w:t>
            </w:r>
          </w:p>
        </w:tc>
        <w:tc>
          <w:tcPr>
            <w:tcW w:w="540" w:type="pct"/>
          </w:tcPr>
          <w:p w14:paraId="5C3CF07A">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32.449750</w:t>
            </w:r>
          </w:p>
        </w:tc>
        <w:tc>
          <w:tcPr>
            <w:tcW w:w="618" w:type="pct"/>
          </w:tcPr>
          <w:p w14:paraId="28E2721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123F497A">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20F2897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选厂</w:t>
            </w:r>
          </w:p>
        </w:tc>
        <w:tc>
          <w:tcPr>
            <w:tcW w:w="541" w:type="pct"/>
          </w:tcPr>
          <w:p w14:paraId="139154C8">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60/ 185</w:t>
            </w:r>
          </w:p>
        </w:tc>
        <w:tc>
          <w:tcPr>
            <w:tcW w:w="463" w:type="pct"/>
          </w:tcPr>
          <w:p w14:paraId="496E445D">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N</w:t>
            </w:r>
          </w:p>
        </w:tc>
        <w:tc>
          <w:tcPr>
            <w:tcW w:w="368" w:type="pct"/>
          </w:tcPr>
          <w:p w14:paraId="2641771B">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2133</w:t>
            </w:r>
          </w:p>
        </w:tc>
      </w:tr>
      <w:tr w14:paraId="1DC4BB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1971530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雷庄子</w:t>
            </w:r>
          </w:p>
        </w:tc>
        <w:tc>
          <w:tcPr>
            <w:tcW w:w="597" w:type="pct"/>
          </w:tcPr>
          <w:p w14:paraId="2B8A6E16">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115.980176</w:t>
            </w:r>
          </w:p>
        </w:tc>
        <w:tc>
          <w:tcPr>
            <w:tcW w:w="540" w:type="pct"/>
          </w:tcPr>
          <w:p w14:paraId="78AE0D38">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32.444987</w:t>
            </w:r>
          </w:p>
        </w:tc>
        <w:tc>
          <w:tcPr>
            <w:tcW w:w="618" w:type="pct"/>
          </w:tcPr>
          <w:p w14:paraId="483E054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0E5CFF83">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20C2F718">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尾矿库</w:t>
            </w:r>
          </w:p>
        </w:tc>
        <w:tc>
          <w:tcPr>
            <w:tcW w:w="541" w:type="pct"/>
          </w:tcPr>
          <w:p w14:paraId="728E1787">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29/90</w:t>
            </w:r>
          </w:p>
        </w:tc>
        <w:tc>
          <w:tcPr>
            <w:tcW w:w="463" w:type="pct"/>
          </w:tcPr>
          <w:p w14:paraId="50297EA4">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N</w:t>
            </w:r>
          </w:p>
        </w:tc>
        <w:tc>
          <w:tcPr>
            <w:tcW w:w="368" w:type="pct"/>
          </w:tcPr>
          <w:p w14:paraId="62EC494B">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930</w:t>
            </w:r>
          </w:p>
        </w:tc>
      </w:tr>
      <w:tr w14:paraId="5A6D03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1F64B2F6">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张家南围</w:t>
            </w:r>
          </w:p>
        </w:tc>
        <w:tc>
          <w:tcPr>
            <w:tcW w:w="597" w:type="pct"/>
          </w:tcPr>
          <w:p w14:paraId="75324FE5">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115.989897</w:t>
            </w:r>
          </w:p>
        </w:tc>
        <w:tc>
          <w:tcPr>
            <w:tcW w:w="540" w:type="pct"/>
          </w:tcPr>
          <w:p w14:paraId="262FFDCD">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32.445266</w:t>
            </w:r>
          </w:p>
        </w:tc>
        <w:tc>
          <w:tcPr>
            <w:tcW w:w="618" w:type="pct"/>
          </w:tcPr>
          <w:p w14:paraId="1A2873D2">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1CF00AAB">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3FD6119F">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选厂</w:t>
            </w:r>
          </w:p>
        </w:tc>
        <w:tc>
          <w:tcPr>
            <w:tcW w:w="541" w:type="pct"/>
          </w:tcPr>
          <w:p w14:paraId="126ECFE4">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28/88</w:t>
            </w:r>
          </w:p>
        </w:tc>
        <w:tc>
          <w:tcPr>
            <w:tcW w:w="463" w:type="pct"/>
          </w:tcPr>
          <w:p w14:paraId="402A0A1C">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NE</w:t>
            </w:r>
          </w:p>
        </w:tc>
        <w:tc>
          <w:tcPr>
            <w:tcW w:w="368" w:type="pct"/>
          </w:tcPr>
          <w:p w14:paraId="27D2BB6D">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1725</w:t>
            </w:r>
          </w:p>
        </w:tc>
      </w:tr>
      <w:tr w14:paraId="57FA9E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23306EA9">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下园</w:t>
            </w:r>
          </w:p>
        </w:tc>
        <w:tc>
          <w:tcPr>
            <w:tcW w:w="597" w:type="pct"/>
          </w:tcPr>
          <w:p w14:paraId="14120DF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115.997214</w:t>
            </w:r>
          </w:p>
        </w:tc>
        <w:tc>
          <w:tcPr>
            <w:tcW w:w="540" w:type="pct"/>
          </w:tcPr>
          <w:p w14:paraId="13AE2B33">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32.447519</w:t>
            </w:r>
          </w:p>
        </w:tc>
        <w:tc>
          <w:tcPr>
            <w:tcW w:w="618" w:type="pct"/>
          </w:tcPr>
          <w:p w14:paraId="1BBC0A0A">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17D9D230">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1A6149E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选厂</w:t>
            </w:r>
          </w:p>
        </w:tc>
        <w:tc>
          <w:tcPr>
            <w:tcW w:w="541" w:type="pct"/>
          </w:tcPr>
          <w:p w14:paraId="215C6A20">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21/65</w:t>
            </w:r>
          </w:p>
        </w:tc>
        <w:tc>
          <w:tcPr>
            <w:tcW w:w="463" w:type="pct"/>
          </w:tcPr>
          <w:p w14:paraId="71600D3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NE</w:t>
            </w:r>
          </w:p>
        </w:tc>
        <w:tc>
          <w:tcPr>
            <w:tcW w:w="368" w:type="pct"/>
          </w:tcPr>
          <w:p w14:paraId="0CE8BF2B">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2221</w:t>
            </w:r>
          </w:p>
        </w:tc>
      </w:tr>
      <w:tr w14:paraId="31EC90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715" w:type="pct"/>
          </w:tcPr>
          <w:p w14:paraId="44A251F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庙西</w:t>
            </w:r>
          </w:p>
        </w:tc>
        <w:tc>
          <w:tcPr>
            <w:tcW w:w="597" w:type="pct"/>
          </w:tcPr>
          <w:p w14:paraId="222EF4B4">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115.991034</w:t>
            </w:r>
          </w:p>
        </w:tc>
        <w:tc>
          <w:tcPr>
            <w:tcW w:w="540" w:type="pct"/>
          </w:tcPr>
          <w:p w14:paraId="7E6E68EA">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32.437605</w:t>
            </w:r>
          </w:p>
        </w:tc>
        <w:tc>
          <w:tcPr>
            <w:tcW w:w="618" w:type="pct"/>
          </w:tcPr>
          <w:p w14:paraId="6CBBDCCE">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7E12B827">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2F2FB0F9">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选厂</w:t>
            </w:r>
          </w:p>
        </w:tc>
        <w:tc>
          <w:tcPr>
            <w:tcW w:w="541" w:type="pct"/>
          </w:tcPr>
          <w:p w14:paraId="53A4FD39">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21/76</w:t>
            </w:r>
          </w:p>
        </w:tc>
        <w:tc>
          <w:tcPr>
            <w:tcW w:w="463" w:type="pct"/>
          </w:tcPr>
          <w:p w14:paraId="7B935975">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NE</w:t>
            </w:r>
          </w:p>
        </w:tc>
        <w:tc>
          <w:tcPr>
            <w:tcW w:w="368" w:type="pct"/>
          </w:tcPr>
          <w:p w14:paraId="5EDBD0F8">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930</w:t>
            </w:r>
          </w:p>
        </w:tc>
      </w:tr>
      <w:tr w14:paraId="00EF57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715" w:type="pct"/>
          </w:tcPr>
          <w:p w14:paraId="5B6FCF72">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庙东庄</w:t>
            </w:r>
          </w:p>
        </w:tc>
        <w:tc>
          <w:tcPr>
            <w:tcW w:w="597" w:type="pct"/>
          </w:tcPr>
          <w:p w14:paraId="6B761F8E">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115.998544</w:t>
            </w:r>
          </w:p>
        </w:tc>
        <w:tc>
          <w:tcPr>
            <w:tcW w:w="540" w:type="pct"/>
          </w:tcPr>
          <w:p w14:paraId="2DA56DF1">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32.435417</w:t>
            </w:r>
          </w:p>
        </w:tc>
        <w:tc>
          <w:tcPr>
            <w:tcW w:w="618" w:type="pct"/>
          </w:tcPr>
          <w:p w14:paraId="3E778AFF">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0B1C2751">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521CF743">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选厂</w:t>
            </w:r>
          </w:p>
        </w:tc>
        <w:tc>
          <w:tcPr>
            <w:tcW w:w="541" w:type="pct"/>
          </w:tcPr>
          <w:p w14:paraId="3C469EF4">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23/75</w:t>
            </w:r>
          </w:p>
        </w:tc>
        <w:tc>
          <w:tcPr>
            <w:tcW w:w="463" w:type="pct"/>
          </w:tcPr>
          <w:p w14:paraId="7C4CD9C4">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NE</w:t>
            </w:r>
          </w:p>
        </w:tc>
        <w:tc>
          <w:tcPr>
            <w:tcW w:w="368" w:type="pct"/>
          </w:tcPr>
          <w:p w14:paraId="2B4B4052">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1139</w:t>
            </w:r>
          </w:p>
        </w:tc>
      </w:tr>
      <w:tr w14:paraId="71C844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78EAFEE2">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范桥乡前楼小学</w:t>
            </w:r>
          </w:p>
        </w:tc>
        <w:tc>
          <w:tcPr>
            <w:tcW w:w="597" w:type="pct"/>
          </w:tcPr>
          <w:p w14:paraId="6A4125A7">
            <w:pPr>
              <w:spacing w:before="72" w:line="191"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115.970971</w:t>
            </w:r>
          </w:p>
        </w:tc>
        <w:tc>
          <w:tcPr>
            <w:tcW w:w="540" w:type="pct"/>
          </w:tcPr>
          <w:p w14:paraId="604E5F4B">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32.436490</w:t>
            </w:r>
          </w:p>
        </w:tc>
        <w:tc>
          <w:tcPr>
            <w:tcW w:w="618" w:type="pct"/>
          </w:tcPr>
          <w:p w14:paraId="39AAA21A">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6219A1D3">
            <w:pPr>
              <w:spacing w:before="72" w:line="23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0C62087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尾矿库</w:t>
            </w:r>
          </w:p>
        </w:tc>
        <w:tc>
          <w:tcPr>
            <w:tcW w:w="541" w:type="pct"/>
          </w:tcPr>
          <w:p w14:paraId="27EAF3BA">
            <w:pPr>
              <w:spacing w:before="72" w:line="190" w:lineRule="auto"/>
              <w:ind w:firstLine="0" w:firstLineChars="0"/>
              <w:jc w:val="center"/>
              <w:rPr>
                <w:rFonts w:cs="Times New Roman"/>
                <w:snapToGrid w:val="0"/>
                <w:color w:val="000000"/>
                <w:spacing w:val="8"/>
                <w:kern w:val="0"/>
                <w:sz w:val="21"/>
                <w:szCs w:val="21"/>
              </w:rPr>
            </w:pPr>
            <w:r>
              <w:rPr>
                <w:rFonts w:hint="eastAsia" w:cs="Times New Roman"/>
                <w:snapToGrid w:val="0"/>
                <w:color w:val="000000"/>
                <w:spacing w:val="8"/>
                <w:kern w:val="0"/>
                <w:sz w:val="21"/>
                <w:szCs w:val="21"/>
              </w:rPr>
              <w:t>约5</w:t>
            </w:r>
            <w:r>
              <w:rPr>
                <w:rFonts w:cs="Times New Roman"/>
                <w:snapToGrid w:val="0"/>
                <w:color w:val="000000"/>
                <w:spacing w:val="8"/>
                <w:kern w:val="0"/>
                <w:sz w:val="21"/>
                <w:szCs w:val="21"/>
              </w:rPr>
              <w:t>00</w:t>
            </w:r>
            <w:r>
              <w:rPr>
                <w:rFonts w:hint="eastAsia" w:cs="Times New Roman"/>
                <w:snapToGrid w:val="0"/>
                <w:color w:val="000000"/>
                <w:spacing w:val="8"/>
                <w:kern w:val="0"/>
                <w:sz w:val="21"/>
                <w:szCs w:val="21"/>
              </w:rPr>
              <w:t>人</w:t>
            </w:r>
          </w:p>
        </w:tc>
        <w:tc>
          <w:tcPr>
            <w:tcW w:w="463" w:type="pct"/>
          </w:tcPr>
          <w:p w14:paraId="7B94F923">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WNW</w:t>
            </w:r>
          </w:p>
        </w:tc>
        <w:tc>
          <w:tcPr>
            <w:tcW w:w="368" w:type="pct"/>
          </w:tcPr>
          <w:p w14:paraId="1D26BA5D">
            <w:pPr>
              <w:spacing w:before="72" w:line="190"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600</w:t>
            </w:r>
          </w:p>
        </w:tc>
      </w:tr>
      <w:tr w14:paraId="35631F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2B0BC1DB">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双沟</w:t>
            </w:r>
          </w:p>
        </w:tc>
        <w:tc>
          <w:tcPr>
            <w:tcW w:w="597" w:type="pct"/>
          </w:tcPr>
          <w:p w14:paraId="7D18B28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115.962517</w:t>
            </w:r>
          </w:p>
        </w:tc>
        <w:tc>
          <w:tcPr>
            <w:tcW w:w="540" w:type="pct"/>
          </w:tcPr>
          <w:p w14:paraId="3785687E">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32.430057</w:t>
            </w:r>
          </w:p>
        </w:tc>
        <w:tc>
          <w:tcPr>
            <w:tcW w:w="618" w:type="pct"/>
          </w:tcPr>
          <w:p w14:paraId="14066B0A">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55451A20">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57082001">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尾矿库</w:t>
            </w:r>
          </w:p>
        </w:tc>
        <w:tc>
          <w:tcPr>
            <w:tcW w:w="541" w:type="pct"/>
          </w:tcPr>
          <w:p w14:paraId="6DC0B328">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21/76</w:t>
            </w:r>
          </w:p>
        </w:tc>
        <w:tc>
          <w:tcPr>
            <w:tcW w:w="463" w:type="pct"/>
          </w:tcPr>
          <w:p w14:paraId="14A5FBD9">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WSW</w:t>
            </w:r>
          </w:p>
        </w:tc>
        <w:tc>
          <w:tcPr>
            <w:tcW w:w="368" w:type="pct"/>
          </w:tcPr>
          <w:p w14:paraId="3EBB601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1240</w:t>
            </w:r>
          </w:p>
        </w:tc>
      </w:tr>
      <w:tr w14:paraId="2CE49A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36C74766">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王土楼子</w:t>
            </w:r>
          </w:p>
        </w:tc>
        <w:tc>
          <w:tcPr>
            <w:tcW w:w="597" w:type="pct"/>
          </w:tcPr>
          <w:p w14:paraId="160AE4AE">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115.961101</w:t>
            </w:r>
          </w:p>
        </w:tc>
        <w:tc>
          <w:tcPr>
            <w:tcW w:w="540" w:type="pct"/>
          </w:tcPr>
          <w:p w14:paraId="3AF3ABC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32.428185</w:t>
            </w:r>
          </w:p>
        </w:tc>
        <w:tc>
          <w:tcPr>
            <w:tcW w:w="618" w:type="pct"/>
          </w:tcPr>
          <w:p w14:paraId="31118620">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08534023">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7CD02F4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尾矿库</w:t>
            </w:r>
          </w:p>
        </w:tc>
        <w:tc>
          <w:tcPr>
            <w:tcW w:w="541" w:type="pct"/>
          </w:tcPr>
          <w:p w14:paraId="59B2388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28/83</w:t>
            </w:r>
          </w:p>
        </w:tc>
        <w:tc>
          <w:tcPr>
            <w:tcW w:w="463" w:type="pct"/>
          </w:tcPr>
          <w:p w14:paraId="252F00B0">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WSW</w:t>
            </w:r>
          </w:p>
        </w:tc>
        <w:tc>
          <w:tcPr>
            <w:tcW w:w="368" w:type="pct"/>
          </w:tcPr>
          <w:p w14:paraId="173A2686">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1460</w:t>
            </w:r>
          </w:p>
        </w:tc>
      </w:tr>
      <w:tr w14:paraId="3BADFF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58FC8738">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万前村</w:t>
            </w:r>
          </w:p>
        </w:tc>
        <w:tc>
          <w:tcPr>
            <w:tcW w:w="597" w:type="pct"/>
          </w:tcPr>
          <w:p w14:paraId="6ADC5060">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115.970821</w:t>
            </w:r>
          </w:p>
        </w:tc>
        <w:tc>
          <w:tcPr>
            <w:tcW w:w="540" w:type="pct"/>
          </w:tcPr>
          <w:p w14:paraId="2104555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32.427456</w:t>
            </w:r>
          </w:p>
        </w:tc>
        <w:tc>
          <w:tcPr>
            <w:tcW w:w="618" w:type="pct"/>
          </w:tcPr>
          <w:p w14:paraId="3E4A6B6E">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480834BA">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7DDB8E4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尾矿库</w:t>
            </w:r>
          </w:p>
        </w:tc>
        <w:tc>
          <w:tcPr>
            <w:tcW w:w="541" w:type="pct"/>
          </w:tcPr>
          <w:p w14:paraId="6AEDF0F0">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26/80</w:t>
            </w:r>
          </w:p>
        </w:tc>
        <w:tc>
          <w:tcPr>
            <w:tcW w:w="463" w:type="pct"/>
          </w:tcPr>
          <w:p w14:paraId="45411B67">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SW</w:t>
            </w:r>
          </w:p>
        </w:tc>
        <w:tc>
          <w:tcPr>
            <w:tcW w:w="368" w:type="pct"/>
          </w:tcPr>
          <w:p w14:paraId="6DC50DC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598</w:t>
            </w:r>
          </w:p>
        </w:tc>
      </w:tr>
      <w:tr w14:paraId="5B48DB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1D396A27">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邓行</w:t>
            </w:r>
          </w:p>
        </w:tc>
        <w:tc>
          <w:tcPr>
            <w:tcW w:w="597" w:type="pct"/>
          </w:tcPr>
          <w:p w14:paraId="3EAA283E">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115.971078</w:t>
            </w:r>
          </w:p>
        </w:tc>
        <w:tc>
          <w:tcPr>
            <w:tcW w:w="540" w:type="pct"/>
          </w:tcPr>
          <w:p w14:paraId="20D6B6B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32.424345</w:t>
            </w:r>
          </w:p>
        </w:tc>
        <w:tc>
          <w:tcPr>
            <w:tcW w:w="618" w:type="pct"/>
          </w:tcPr>
          <w:p w14:paraId="682BEB9C">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77FA9FC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64D17D6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选厂</w:t>
            </w:r>
          </w:p>
        </w:tc>
        <w:tc>
          <w:tcPr>
            <w:tcW w:w="541" w:type="pct"/>
          </w:tcPr>
          <w:p w14:paraId="53C48AB2">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25/80</w:t>
            </w:r>
          </w:p>
        </w:tc>
        <w:tc>
          <w:tcPr>
            <w:tcW w:w="463" w:type="pct"/>
          </w:tcPr>
          <w:p w14:paraId="3609A3EF">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SW</w:t>
            </w:r>
          </w:p>
        </w:tc>
        <w:tc>
          <w:tcPr>
            <w:tcW w:w="368" w:type="pct"/>
          </w:tcPr>
          <w:p w14:paraId="2AE2D66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990</w:t>
            </w:r>
          </w:p>
        </w:tc>
      </w:tr>
      <w:tr w14:paraId="106009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152631C1">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王油坊</w:t>
            </w:r>
          </w:p>
        </w:tc>
        <w:tc>
          <w:tcPr>
            <w:tcW w:w="597" w:type="pct"/>
          </w:tcPr>
          <w:p w14:paraId="754F7581">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115.974876</w:t>
            </w:r>
          </w:p>
        </w:tc>
        <w:tc>
          <w:tcPr>
            <w:tcW w:w="540" w:type="pct"/>
          </w:tcPr>
          <w:p w14:paraId="045BBF2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32.414581</w:t>
            </w:r>
          </w:p>
        </w:tc>
        <w:tc>
          <w:tcPr>
            <w:tcW w:w="618" w:type="pct"/>
          </w:tcPr>
          <w:p w14:paraId="4EC0837F">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4A817A8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64473DC6">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南风井</w:t>
            </w:r>
          </w:p>
        </w:tc>
        <w:tc>
          <w:tcPr>
            <w:tcW w:w="541" w:type="pct"/>
          </w:tcPr>
          <w:p w14:paraId="1C19CADF">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21/65</w:t>
            </w:r>
          </w:p>
        </w:tc>
        <w:tc>
          <w:tcPr>
            <w:tcW w:w="463" w:type="pct"/>
          </w:tcPr>
          <w:p w14:paraId="24887CBE">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NW</w:t>
            </w:r>
          </w:p>
        </w:tc>
        <w:tc>
          <w:tcPr>
            <w:tcW w:w="368" w:type="pct"/>
          </w:tcPr>
          <w:p w14:paraId="2326538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470</w:t>
            </w:r>
          </w:p>
        </w:tc>
      </w:tr>
      <w:tr w14:paraId="515E18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4F58BBE7">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南八大家</w:t>
            </w:r>
          </w:p>
        </w:tc>
        <w:tc>
          <w:tcPr>
            <w:tcW w:w="597" w:type="pct"/>
          </w:tcPr>
          <w:p w14:paraId="1A2D6F4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115.984672</w:t>
            </w:r>
          </w:p>
        </w:tc>
        <w:tc>
          <w:tcPr>
            <w:tcW w:w="540" w:type="pct"/>
          </w:tcPr>
          <w:p w14:paraId="5C13A367">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32.409925</w:t>
            </w:r>
          </w:p>
        </w:tc>
        <w:tc>
          <w:tcPr>
            <w:tcW w:w="618" w:type="pct"/>
          </w:tcPr>
          <w:p w14:paraId="78709CBA">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13398482">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209D294C">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南风井</w:t>
            </w:r>
          </w:p>
        </w:tc>
        <w:tc>
          <w:tcPr>
            <w:tcW w:w="541" w:type="pct"/>
          </w:tcPr>
          <w:p w14:paraId="484619AE">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25/80</w:t>
            </w:r>
          </w:p>
        </w:tc>
        <w:tc>
          <w:tcPr>
            <w:tcW w:w="463" w:type="pct"/>
          </w:tcPr>
          <w:p w14:paraId="4454169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E</w:t>
            </w:r>
          </w:p>
        </w:tc>
        <w:tc>
          <w:tcPr>
            <w:tcW w:w="368" w:type="pct"/>
          </w:tcPr>
          <w:p w14:paraId="68F31AF5">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253</w:t>
            </w:r>
          </w:p>
        </w:tc>
      </w:tr>
      <w:tr w14:paraId="56827E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21D0456A">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前郢和后郢</w:t>
            </w:r>
          </w:p>
        </w:tc>
        <w:tc>
          <w:tcPr>
            <w:tcW w:w="597" w:type="pct"/>
          </w:tcPr>
          <w:p w14:paraId="4E03B96A">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115.987204</w:t>
            </w:r>
          </w:p>
        </w:tc>
        <w:tc>
          <w:tcPr>
            <w:tcW w:w="540" w:type="pct"/>
          </w:tcPr>
          <w:p w14:paraId="7FED0367">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32.407747</w:t>
            </w:r>
          </w:p>
        </w:tc>
        <w:tc>
          <w:tcPr>
            <w:tcW w:w="618" w:type="pct"/>
          </w:tcPr>
          <w:p w14:paraId="42A875D6">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53BD707A">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2590DB1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南风井</w:t>
            </w:r>
          </w:p>
        </w:tc>
        <w:tc>
          <w:tcPr>
            <w:tcW w:w="541" w:type="pct"/>
          </w:tcPr>
          <w:p w14:paraId="4131512D">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63/ 191</w:t>
            </w:r>
          </w:p>
        </w:tc>
        <w:tc>
          <w:tcPr>
            <w:tcW w:w="463" w:type="pct"/>
          </w:tcPr>
          <w:p w14:paraId="1C040D0F">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SE</w:t>
            </w:r>
          </w:p>
        </w:tc>
        <w:tc>
          <w:tcPr>
            <w:tcW w:w="368" w:type="pct"/>
          </w:tcPr>
          <w:p w14:paraId="6275A687">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632</w:t>
            </w:r>
          </w:p>
        </w:tc>
      </w:tr>
      <w:tr w14:paraId="75F994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672BBAD3">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范桥</w:t>
            </w:r>
          </w:p>
        </w:tc>
        <w:tc>
          <w:tcPr>
            <w:tcW w:w="597" w:type="pct"/>
          </w:tcPr>
          <w:p w14:paraId="13AB30A2">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115.992279</w:t>
            </w:r>
          </w:p>
        </w:tc>
        <w:tc>
          <w:tcPr>
            <w:tcW w:w="540" w:type="pct"/>
          </w:tcPr>
          <w:p w14:paraId="2975739F">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32.412285</w:t>
            </w:r>
          </w:p>
        </w:tc>
        <w:tc>
          <w:tcPr>
            <w:tcW w:w="618" w:type="pct"/>
          </w:tcPr>
          <w:p w14:paraId="19E15A27">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754C574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0CBCC863">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南辅助井</w:t>
            </w:r>
          </w:p>
        </w:tc>
        <w:tc>
          <w:tcPr>
            <w:tcW w:w="541" w:type="pct"/>
          </w:tcPr>
          <w:p w14:paraId="41603B08">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58/ 175</w:t>
            </w:r>
          </w:p>
        </w:tc>
        <w:tc>
          <w:tcPr>
            <w:tcW w:w="463" w:type="pct"/>
          </w:tcPr>
          <w:p w14:paraId="23C57D2C">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SE</w:t>
            </w:r>
          </w:p>
        </w:tc>
        <w:tc>
          <w:tcPr>
            <w:tcW w:w="368" w:type="pct"/>
          </w:tcPr>
          <w:p w14:paraId="6A5FBD99">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912</w:t>
            </w:r>
          </w:p>
        </w:tc>
      </w:tr>
      <w:tr w14:paraId="369375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715" w:type="pct"/>
          </w:tcPr>
          <w:p w14:paraId="02CCD230">
            <w:pPr>
              <w:spacing w:before="72" w:line="228" w:lineRule="auto"/>
              <w:ind w:firstLine="0" w:firstLineChars="0"/>
              <w:jc w:val="center"/>
              <w:rPr>
                <w:rFonts w:cs="Times New Roman"/>
                <w:snapToGrid w:val="0"/>
                <w:color w:val="000000"/>
                <w:spacing w:val="8"/>
                <w:kern w:val="0"/>
                <w:sz w:val="21"/>
                <w:szCs w:val="21"/>
              </w:rPr>
            </w:pPr>
            <w:r>
              <w:rPr>
                <w:rFonts w:hint="eastAsia" w:cs="Times New Roman"/>
                <w:snapToGrid w:val="0"/>
                <w:color w:val="000000"/>
                <w:spacing w:val="8"/>
                <w:kern w:val="0"/>
                <w:sz w:val="21"/>
                <w:szCs w:val="21"/>
              </w:rPr>
              <w:t>移民安置区</w:t>
            </w:r>
          </w:p>
        </w:tc>
        <w:tc>
          <w:tcPr>
            <w:tcW w:w="597" w:type="pct"/>
          </w:tcPr>
          <w:p w14:paraId="06A82AB9">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115.994656</w:t>
            </w:r>
          </w:p>
        </w:tc>
        <w:tc>
          <w:tcPr>
            <w:tcW w:w="540" w:type="pct"/>
          </w:tcPr>
          <w:p w14:paraId="7C7B9FEC">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32.425456</w:t>
            </w:r>
          </w:p>
        </w:tc>
        <w:tc>
          <w:tcPr>
            <w:tcW w:w="618" w:type="pct"/>
          </w:tcPr>
          <w:p w14:paraId="2DB311B8">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人群</w:t>
            </w:r>
          </w:p>
        </w:tc>
        <w:tc>
          <w:tcPr>
            <w:tcW w:w="772" w:type="pct"/>
          </w:tcPr>
          <w:p w14:paraId="49BB8740">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GB3095-2012 二级</w:t>
            </w:r>
          </w:p>
        </w:tc>
        <w:tc>
          <w:tcPr>
            <w:tcW w:w="386" w:type="pct"/>
          </w:tcPr>
          <w:p w14:paraId="3A408010">
            <w:pPr>
              <w:spacing w:before="72" w:line="228" w:lineRule="auto"/>
              <w:ind w:firstLine="0" w:firstLineChars="0"/>
              <w:jc w:val="center"/>
              <w:rPr>
                <w:rFonts w:cs="Times New Roman"/>
                <w:snapToGrid w:val="0"/>
                <w:color w:val="000000"/>
                <w:spacing w:val="8"/>
                <w:kern w:val="0"/>
                <w:sz w:val="21"/>
                <w:szCs w:val="21"/>
              </w:rPr>
            </w:pPr>
            <w:r>
              <w:rPr>
                <w:rFonts w:hint="eastAsia" w:cs="Times New Roman"/>
                <w:snapToGrid w:val="0"/>
                <w:color w:val="000000"/>
                <w:spacing w:val="8"/>
                <w:kern w:val="0"/>
                <w:sz w:val="21"/>
                <w:szCs w:val="21"/>
              </w:rPr>
              <w:t>选厂</w:t>
            </w:r>
          </w:p>
        </w:tc>
        <w:tc>
          <w:tcPr>
            <w:tcW w:w="541" w:type="pct"/>
          </w:tcPr>
          <w:p w14:paraId="577DA92C">
            <w:pPr>
              <w:spacing w:before="72" w:line="228" w:lineRule="auto"/>
              <w:ind w:firstLine="0" w:firstLineChars="0"/>
              <w:jc w:val="center"/>
              <w:rPr>
                <w:rFonts w:cs="Times New Roman"/>
                <w:snapToGrid w:val="0"/>
                <w:color w:val="000000"/>
                <w:spacing w:val="8"/>
                <w:kern w:val="0"/>
                <w:sz w:val="21"/>
                <w:szCs w:val="21"/>
              </w:rPr>
            </w:pPr>
            <w:r>
              <w:rPr>
                <w:rFonts w:hint="eastAsia" w:cs="Times New Roman"/>
                <w:snapToGrid w:val="0"/>
                <w:color w:val="000000"/>
                <w:spacing w:val="8"/>
                <w:kern w:val="0"/>
                <w:sz w:val="21"/>
                <w:szCs w:val="21"/>
              </w:rPr>
              <w:t>6</w:t>
            </w:r>
            <w:r>
              <w:rPr>
                <w:rFonts w:cs="Times New Roman"/>
                <w:snapToGrid w:val="0"/>
                <w:color w:val="000000"/>
                <w:spacing w:val="8"/>
                <w:kern w:val="0"/>
                <w:sz w:val="21"/>
                <w:szCs w:val="21"/>
              </w:rPr>
              <w:t>4/251</w:t>
            </w:r>
          </w:p>
        </w:tc>
        <w:tc>
          <w:tcPr>
            <w:tcW w:w="463" w:type="pct"/>
          </w:tcPr>
          <w:p w14:paraId="0ACFE224">
            <w:pPr>
              <w:spacing w:before="72" w:line="228" w:lineRule="auto"/>
              <w:ind w:firstLine="0" w:firstLineChars="0"/>
              <w:jc w:val="center"/>
              <w:rPr>
                <w:rFonts w:cs="Times New Roman"/>
                <w:snapToGrid w:val="0"/>
                <w:color w:val="000000"/>
                <w:spacing w:val="8"/>
                <w:kern w:val="0"/>
                <w:sz w:val="21"/>
                <w:szCs w:val="21"/>
              </w:rPr>
            </w:pPr>
            <w:r>
              <w:rPr>
                <w:rFonts w:cs="Times New Roman"/>
                <w:snapToGrid w:val="0"/>
                <w:color w:val="000000"/>
                <w:spacing w:val="8"/>
                <w:kern w:val="0"/>
                <w:sz w:val="21"/>
                <w:szCs w:val="21"/>
              </w:rPr>
              <w:t>SE</w:t>
            </w:r>
          </w:p>
        </w:tc>
        <w:tc>
          <w:tcPr>
            <w:tcW w:w="368" w:type="pct"/>
          </w:tcPr>
          <w:p w14:paraId="64233ACB">
            <w:pPr>
              <w:spacing w:before="72" w:line="228" w:lineRule="auto"/>
              <w:ind w:firstLine="0" w:firstLineChars="0"/>
              <w:jc w:val="center"/>
              <w:rPr>
                <w:rFonts w:cs="Times New Roman"/>
                <w:snapToGrid w:val="0"/>
                <w:color w:val="000000"/>
                <w:spacing w:val="8"/>
                <w:kern w:val="0"/>
                <w:sz w:val="21"/>
                <w:szCs w:val="21"/>
              </w:rPr>
            </w:pPr>
            <w:r>
              <w:rPr>
                <w:rFonts w:hint="eastAsia" w:cs="Times New Roman"/>
                <w:snapToGrid w:val="0"/>
                <w:color w:val="000000"/>
                <w:spacing w:val="8"/>
                <w:kern w:val="0"/>
                <w:sz w:val="21"/>
                <w:szCs w:val="21"/>
              </w:rPr>
              <w:t>1</w:t>
            </w:r>
            <w:r>
              <w:rPr>
                <w:rFonts w:cs="Times New Roman"/>
                <w:snapToGrid w:val="0"/>
                <w:color w:val="000000"/>
                <w:spacing w:val="8"/>
                <w:kern w:val="0"/>
                <w:sz w:val="21"/>
                <w:szCs w:val="21"/>
              </w:rPr>
              <w:t>63</w:t>
            </w:r>
          </w:p>
        </w:tc>
      </w:tr>
    </w:tbl>
    <w:p w14:paraId="6BE406A4">
      <w:pPr>
        <w:ind w:firstLine="480"/>
      </w:pPr>
    </w:p>
    <w:p w14:paraId="358EAD2B">
      <w:pPr>
        <w:widowControl/>
        <w:spacing w:line="240" w:lineRule="auto"/>
        <w:ind w:firstLine="0" w:firstLineChars="0"/>
        <w:jc w:val="left"/>
      </w:pPr>
      <w:r>
        <w:br w:type="page"/>
      </w:r>
    </w:p>
    <w:p w14:paraId="58AEED00">
      <w:pPr>
        <w:ind w:firstLine="480"/>
        <w:sectPr>
          <w:pgSz w:w="11906" w:h="16838"/>
          <w:pgMar w:top="1440" w:right="1797" w:bottom="1440" w:left="1797" w:header="851" w:footer="992" w:gutter="0"/>
          <w:cols w:space="425" w:num="1"/>
          <w:docGrid w:type="lines" w:linePitch="326" w:charSpace="0"/>
        </w:sectPr>
      </w:pPr>
    </w:p>
    <w:p w14:paraId="7578E0D4">
      <w:pPr>
        <w:ind w:firstLine="480"/>
        <w:jc w:val="center"/>
      </w:pPr>
      <w:r>
        <w:drawing>
          <wp:inline distT="0" distB="0" distL="0" distR="0">
            <wp:extent cx="7248525" cy="4791075"/>
            <wp:effectExtent l="0" t="0" r="9525" b="9525"/>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48"/>
                    <a:stretch>
                      <a:fillRect/>
                    </a:stretch>
                  </pic:blipFill>
                  <pic:spPr>
                    <a:xfrm>
                      <a:off x="0" y="0"/>
                      <a:ext cx="7248862" cy="4791298"/>
                    </a:xfrm>
                    <a:prstGeom prst="rect">
                      <a:avLst/>
                    </a:prstGeom>
                  </pic:spPr>
                </pic:pic>
              </a:graphicData>
            </a:graphic>
          </wp:inline>
        </w:drawing>
      </w:r>
    </w:p>
    <w:p w14:paraId="18846B3A">
      <w:pPr>
        <w:spacing w:before="24" w:beforeLines="10" w:after="24" w:afterLines="10" w:line="400" w:lineRule="exact"/>
        <w:ind w:firstLine="0" w:firstLineChars="0"/>
        <w:jc w:val="center"/>
        <w:rPr>
          <w:rFonts w:cs="Times New Roman"/>
          <w:b/>
          <w:snapToGrid w:val="0"/>
          <w:kern w:val="24"/>
          <w:szCs w:val="24"/>
        </w:rPr>
      </w:pPr>
      <w:r>
        <w:rPr>
          <w:rFonts w:cs="Times New Roman"/>
          <w:b/>
          <w:snapToGrid w:val="0"/>
          <w:kern w:val="24"/>
          <w:szCs w:val="24"/>
        </w:rPr>
        <w:t>图 4.2-1  大气环境保护目标图</w:t>
      </w:r>
    </w:p>
    <w:p w14:paraId="422749E1">
      <w:pPr>
        <w:ind w:firstLine="480"/>
        <w:jc w:val="center"/>
      </w:pPr>
      <w:r>
        <w:drawing>
          <wp:inline distT="0" distB="0" distL="0" distR="0">
            <wp:extent cx="6724650" cy="4629150"/>
            <wp:effectExtent l="0" t="0" r="0" b="0"/>
            <wp:docPr id="1613380368" name="IM 109"/>
            <wp:cNvGraphicFramePr/>
            <a:graphic xmlns:a="http://schemas.openxmlformats.org/drawingml/2006/main">
              <a:graphicData uri="http://schemas.openxmlformats.org/drawingml/2006/picture">
                <pic:pic xmlns:pic="http://schemas.openxmlformats.org/drawingml/2006/picture">
                  <pic:nvPicPr>
                    <pic:cNvPr id="1613380368" name="IM 109"/>
                    <pic:cNvPicPr/>
                  </pic:nvPicPr>
                  <pic:blipFill>
                    <a:blip r:embed="rId17"/>
                    <a:stretch>
                      <a:fillRect/>
                    </a:stretch>
                  </pic:blipFill>
                  <pic:spPr>
                    <a:xfrm>
                      <a:off x="0" y="0"/>
                      <a:ext cx="6725466" cy="4629712"/>
                    </a:xfrm>
                    <a:prstGeom prst="rect">
                      <a:avLst/>
                    </a:prstGeom>
                  </pic:spPr>
                </pic:pic>
              </a:graphicData>
            </a:graphic>
          </wp:inline>
        </w:drawing>
      </w:r>
    </w:p>
    <w:p w14:paraId="6CCA70D4">
      <w:pPr>
        <w:spacing w:before="24" w:beforeLines="10" w:after="24" w:afterLines="10" w:line="400" w:lineRule="exact"/>
        <w:ind w:firstLine="0" w:firstLineChars="0"/>
        <w:jc w:val="center"/>
        <w:rPr>
          <w:rFonts w:cs="Times New Roman"/>
          <w:b/>
          <w:snapToGrid w:val="0"/>
          <w:kern w:val="24"/>
          <w:szCs w:val="24"/>
        </w:rPr>
      </w:pPr>
      <w:r>
        <w:rPr>
          <w:rFonts w:cs="Times New Roman"/>
          <w:b/>
          <w:snapToGrid w:val="0"/>
          <w:kern w:val="24"/>
          <w:szCs w:val="24"/>
        </w:rPr>
        <w:t>图 4.2-</w:t>
      </w:r>
      <w:r>
        <w:rPr>
          <w:rFonts w:hint="eastAsia" w:cs="Times New Roman"/>
          <w:b/>
          <w:snapToGrid w:val="0"/>
          <w:kern w:val="24"/>
          <w:szCs w:val="24"/>
        </w:rPr>
        <w:t>2</w:t>
      </w:r>
      <w:r>
        <w:rPr>
          <w:rFonts w:cs="Times New Roman"/>
          <w:b/>
          <w:snapToGrid w:val="0"/>
          <w:kern w:val="24"/>
          <w:szCs w:val="24"/>
        </w:rPr>
        <w:t xml:space="preserve">  </w:t>
      </w:r>
      <w:r>
        <w:rPr>
          <w:rFonts w:hint="eastAsia" w:cs="Times New Roman"/>
          <w:b/>
          <w:snapToGrid w:val="0"/>
          <w:kern w:val="24"/>
          <w:szCs w:val="24"/>
        </w:rPr>
        <w:t>地表水</w:t>
      </w:r>
      <w:r>
        <w:rPr>
          <w:rFonts w:cs="Times New Roman"/>
          <w:b/>
          <w:snapToGrid w:val="0"/>
          <w:kern w:val="24"/>
          <w:szCs w:val="24"/>
        </w:rPr>
        <w:t>环境保护目标图</w:t>
      </w:r>
    </w:p>
    <w:p w14:paraId="37344F14">
      <w:pPr>
        <w:ind w:firstLine="480"/>
        <w:jc w:val="center"/>
      </w:pPr>
    </w:p>
    <w:p w14:paraId="5BAEFF6F">
      <w:pPr>
        <w:ind w:firstLine="480"/>
        <w:sectPr>
          <w:pgSz w:w="16838" w:h="11906" w:orient="landscape"/>
          <w:pgMar w:top="1797" w:right="1440" w:bottom="1797" w:left="1440" w:header="851" w:footer="992" w:gutter="0"/>
          <w:cols w:space="425" w:num="1"/>
          <w:docGrid w:linePitch="326" w:charSpace="0"/>
        </w:sectPr>
      </w:pPr>
    </w:p>
    <w:p w14:paraId="0FE11808">
      <w:pPr>
        <w:pStyle w:val="4"/>
      </w:pPr>
      <w:r>
        <w:rPr>
          <w:rFonts w:hint="eastAsia"/>
        </w:rPr>
        <w:t>4.2.3</w:t>
      </w:r>
      <w:r>
        <w:t xml:space="preserve"> </w:t>
      </w:r>
      <w:r>
        <w:rPr>
          <w:rFonts w:hint="eastAsia"/>
        </w:rPr>
        <w:t>地下水环境保护目标变化</w:t>
      </w:r>
    </w:p>
    <w:p w14:paraId="10F8E229">
      <w:pPr>
        <w:ind w:firstLine="480"/>
      </w:pPr>
      <w:r>
        <w:rPr>
          <w:rFonts w:hint="eastAsia"/>
        </w:rPr>
        <w:t>与环评及验收阶段相比，后评价阶段地下水环境保护目标未发生变化。地下水环境保护目标主要为潜水含水层和项目周边的分散式地下饮用水水源地。</w:t>
      </w:r>
    </w:p>
    <w:p w14:paraId="6E2FCDB5">
      <w:pPr>
        <w:pStyle w:val="4"/>
      </w:pPr>
      <w:r>
        <w:rPr>
          <w:rFonts w:hint="eastAsia"/>
        </w:rPr>
        <w:t>4.2.4</w:t>
      </w:r>
      <w:r>
        <w:t xml:space="preserve"> </w:t>
      </w:r>
      <w:r>
        <w:rPr>
          <w:rFonts w:hint="eastAsia"/>
        </w:rPr>
        <w:t>土壤环境保护目标变化</w:t>
      </w:r>
    </w:p>
    <w:p w14:paraId="769F2061">
      <w:pPr>
        <w:ind w:firstLine="480"/>
      </w:pPr>
      <w:r>
        <w:rPr>
          <w:rFonts w:hint="eastAsia"/>
        </w:rPr>
        <w:t>环评及验收阶段无土壤环境保护目标，后评价阶段土壤环境保护目标主要为项目区域内的土壤环境，保护其环境质量满足相应环境功能要求。</w:t>
      </w:r>
    </w:p>
    <w:p w14:paraId="2F62C894">
      <w:pPr>
        <w:pStyle w:val="4"/>
      </w:pPr>
      <w:r>
        <w:rPr>
          <w:rFonts w:hint="eastAsia"/>
        </w:rPr>
        <w:t>4.2.5</w:t>
      </w:r>
      <w:r>
        <w:t xml:space="preserve"> </w:t>
      </w:r>
      <w:r>
        <w:rPr>
          <w:rFonts w:hint="eastAsia"/>
        </w:rPr>
        <w:t>声环境保护目标变化</w:t>
      </w:r>
    </w:p>
    <w:p w14:paraId="1A785D98">
      <w:pPr>
        <w:ind w:firstLine="480"/>
      </w:pPr>
      <w:r>
        <w:rPr>
          <w:rFonts w:hint="eastAsia"/>
        </w:rPr>
        <w:t>与环评及验收阶段相比，后评价阶段声环境保护目标基本未变化。声环境保护目标变化情况如下表4.2-4，声环境保护目标见图4.2-3。</w:t>
      </w:r>
    </w:p>
    <w:p w14:paraId="18E5FC70">
      <w:pPr>
        <w:spacing w:before="24" w:beforeLines="10" w:after="24" w:afterLines="10" w:line="400" w:lineRule="exact"/>
        <w:ind w:firstLine="0" w:firstLineChars="0"/>
        <w:jc w:val="center"/>
        <w:rPr>
          <w:b/>
          <w:snapToGrid w:val="0"/>
          <w:kern w:val="24"/>
        </w:rPr>
      </w:pPr>
      <w:r>
        <w:rPr>
          <w:rFonts w:hint="eastAsia"/>
          <w:b/>
          <w:snapToGrid w:val="0"/>
          <w:kern w:val="24"/>
        </w:rPr>
        <w:t>表4.2-4  环境保护目标一览表</w:t>
      </w:r>
    </w:p>
    <w:tbl>
      <w:tblPr>
        <w:tblStyle w:val="139"/>
        <w:tblW w:w="894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68"/>
        <w:gridCol w:w="1094"/>
        <w:gridCol w:w="1105"/>
        <w:gridCol w:w="1241"/>
        <w:gridCol w:w="1301"/>
        <w:gridCol w:w="1316"/>
        <w:gridCol w:w="1077"/>
        <w:gridCol w:w="1143"/>
      </w:tblGrid>
      <w:tr w14:paraId="37CE16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jc w:val="center"/>
        </w:trPr>
        <w:tc>
          <w:tcPr>
            <w:tcW w:w="668" w:type="dxa"/>
            <w:tcBorders>
              <w:left w:val="single" w:color="000000" w:sz="10" w:space="0"/>
            </w:tcBorders>
            <w:vAlign w:val="center"/>
          </w:tcPr>
          <w:p w14:paraId="6E8287F1">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序号</w:t>
            </w:r>
          </w:p>
        </w:tc>
        <w:tc>
          <w:tcPr>
            <w:tcW w:w="1094" w:type="dxa"/>
            <w:vAlign w:val="center"/>
          </w:tcPr>
          <w:p w14:paraId="20A61666">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名称</w:t>
            </w:r>
          </w:p>
        </w:tc>
        <w:tc>
          <w:tcPr>
            <w:tcW w:w="1105" w:type="dxa"/>
            <w:vAlign w:val="center"/>
          </w:tcPr>
          <w:p w14:paraId="1EB6059F">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保护对象</w:t>
            </w:r>
          </w:p>
        </w:tc>
        <w:tc>
          <w:tcPr>
            <w:tcW w:w="1241" w:type="dxa"/>
            <w:vAlign w:val="center"/>
          </w:tcPr>
          <w:p w14:paraId="480271F0">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保护内容</w:t>
            </w:r>
          </w:p>
        </w:tc>
        <w:tc>
          <w:tcPr>
            <w:tcW w:w="1301" w:type="dxa"/>
            <w:vAlign w:val="center"/>
          </w:tcPr>
          <w:p w14:paraId="20D9E17A">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相对场地</w:t>
            </w:r>
          </w:p>
        </w:tc>
        <w:tc>
          <w:tcPr>
            <w:tcW w:w="1316" w:type="dxa"/>
            <w:vAlign w:val="center"/>
          </w:tcPr>
          <w:p w14:paraId="61ABBE44">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相对位置</w:t>
            </w:r>
          </w:p>
        </w:tc>
        <w:tc>
          <w:tcPr>
            <w:tcW w:w="1077" w:type="dxa"/>
            <w:vAlign w:val="center"/>
          </w:tcPr>
          <w:p w14:paraId="14AF1258">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保护要求</w:t>
            </w:r>
          </w:p>
        </w:tc>
        <w:tc>
          <w:tcPr>
            <w:tcW w:w="1143" w:type="dxa"/>
            <w:tcBorders>
              <w:right w:val="single" w:color="000000" w:sz="10" w:space="0"/>
            </w:tcBorders>
            <w:vAlign w:val="center"/>
          </w:tcPr>
          <w:p w14:paraId="1B5F7311">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变化情况</w:t>
            </w:r>
          </w:p>
        </w:tc>
      </w:tr>
      <w:tr w14:paraId="109830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668" w:type="dxa"/>
            <w:tcBorders>
              <w:left w:val="single" w:color="000000" w:sz="10" w:space="0"/>
            </w:tcBorders>
            <w:vAlign w:val="center"/>
          </w:tcPr>
          <w:p w14:paraId="783DAB2E">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1</w:t>
            </w:r>
          </w:p>
        </w:tc>
        <w:tc>
          <w:tcPr>
            <w:tcW w:w="1094" w:type="dxa"/>
            <w:vAlign w:val="center"/>
          </w:tcPr>
          <w:p w14:paraId="70DCEE08">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元华圩</w:t>
            </w:r>
          </w:p>
        </w:tc>
        <w:tc>
          <w:tcPr>
            <w:tcW w:w="1105" w:type="dxa"/>
            <w:vAlign w:val="center"/>
          </w:tcPr>
          <w:p w14:paraId="66A49F84">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241" w:type="dxa"/>
            <w:vAlign w:val="center"/>
          </w:tcPr>
          <w:p w14:paraId="54887979">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01" w:type="dxa"/>
            <w:vAlign w:val="center"/>
          </w:tcPr>
          <w:p w14:paraId="12A8EDBA">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16" w:type="dxa"/>
            <w:vAlign w:val="center"/>
          </w:tcPr>
          <w:p w14:paraId="75B4B915">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077" w:type="dxa"/>
            <w:vMerge w:val="restart"/>
            <w:tcBorders>
              <w:bottom w:val="nil"/>
            </w:tcBorders>
            <w:vAlign w:val="center"/>
          </w:tcPr>
          <w:p w14:paraId="64E07B1D">
            <w:pPr>
              <w:spacing w:line="240" w:lineRule="auto"/>
              <w:ind w:left="236" w:right="109" w:firstLine="0" w:firstLineChars="0"/>
              <w:jc w:val="center"/>
              <w:rPr>
                <w:rFonts w:cstheme="minorBidi"/>
                <w:snapToGrid w:val="0"/>
                <w:color w:val="auto"/>
                <w:kern w:val="2"/>
                <w:sz w:val="21"/>
                <w:szCs w:val="20"/>
              </w:rPr>
            </w:pPr>
            <w:r>
              <w:rPr>
                <w:rFonts w:cstheme="minorBidi"/>
                <w:snapToGrid w:val="0"/>
                <w:color w:val="auto"/>
                <w:kern w:val="2"/>
                <w:sz w:val="21"/>
                <w:szCs w:val="20"/>
              </w:rPr>
              <w:t>《声环境 质量标</w:t>
            </w:r>
          </w:p>
          <w:p w14:paraId="12DFFAB4">
            <w:pPr>
              <w:spacing w:line="240" w:lineRule="auto"/>
              <w:ind w:left="119" w:right="97" w:firstLine="0" w:firstLineChars="0"/>
              <w:jc w:val="center"/>
              <w:rPr>
                <w:rFonts w:cstheme="minorBidi"/>
                <w:snapToGrid w:val="0"/>
                <w:color w:val="auto"/>
                <w:kern w:val="2"/>
                <w:sz w:val="21"/>
                <w:szCs w:val="20"/>
              </w:rPr>
            </w:pPr>
            <w:r>
              <w:rPr>
                <w:rFonts w:cstheme="minorBidi"/>
                <w:snapToGrid w:val="0"/>
                <w:color w:val="auto"/>
                <w:kern w:val="2"/>
                <w:sz w:val="21"/>
                <w:szCs w:val="20"/>
              </w:rPr>
              <w:t>准》  （GB3096 -2008）中 2 类标准</w:t>
            </w:r>
          </w:p>
        </w:tc>
        <w:tc>
          <w:tcPr>
            <w:tcW w:w="1143" w:type="dxa"/>
            <w:tcBorders>
              <w:right w:val="single" w:color="000000" w:sz="10" w:space="0"/>
            </w:tcBorders>
            <w:vAlign w:val="center"/>
          </w:tcPr>
          <w:p w14:paraId="35A185D6">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已搬迁</w:t>
            </w:r>
          </w:p>
        </w:tc>
      </w:tr>
      <w:tr w14:paraId="29355F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668" w:type="dxa"/>
            <w:tcBorders>
              <w:left w:val="single" w:color="000000" w:sz="10" w:space="0"/>
            </w:tcBorders>
            <w:vAlign w:val="center"/>
          </w:tcPr>
          <w:p w14:paraId="39818703">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2</w:t>
            </w:r>
          </w:p>
        </w:tc>
        <w:tc>
          <w:tcPr>
            <w:tcW w:w="1094" w:type="dxa"/>
            <w:vAlign w:val="center"/>
          </w:tcPr>
          <w:p w14:paraId="392548CB">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孟家前楼</w:t>
            </w:r>
          </w:p>
        </w:tc>
        <w:tc>
          <w:tcPr>
            <w:tcW w:w="1105" w:type="dxa"/>
            <w:vAlign w:val="center"/>
          </w:tcPr>
          <w:p w14:paraId="66667141">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人群</w:t>
            </w:r>
          </w:p>
        </w:tc>
        <w:tc>
          <w:tcPr>
            <w:tcW w:w="1241" w:type="dxa"/>
            <w:vAlign w:val="center"/>
          </w:tcPr>
          <w:p w14:paraId="0313BED5">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32户 148人</w:t>
            </w:r>
          </w:p>
        </w:tc>
        <w:tc>
          <w:tcPr>
            <w:tcW w:w="1301" w:type="dxa"/>
            <w:vAlign w:val="center"/>
          </w:tcPr>
          <w:p w14:paraId="278C9A4B">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北辅助井</w:t>
            </w:r>
          </w:p>
        </w:tc>
        <w:tc>
          <w:tcPr>
            <w:tcW w:w="1316" w:type="dxa"/>
            <w:vAlign w:val="center"/>
          </w:tcPr>
          <w:p w14:paraId="5807E977">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西南 190 米</w:t>
            </w:r>
          </w:p>
        </w:tc>
        <w:tc>
          <w:tcPr>
            <w:tcW w:w="1077" w:type="dxa"/>
            <w:vMerge w:val="continue"/>
            <w:tcBorders>
              <w:top w:val="nil"/>
              <w:bottom w:val="nil"/>
            </w:tcBorders>
            <w:vAlign w:val="center"/>
          </w:tcPr>
          <w:p w14:paraId="4294703E">
            <w:pPr>
              <w:spacing w:line="240" w:lineRule="auto"/>
              <w:ind w:firstLine="0" w:firstLineChars="0"/>
              <w:jc w:val="center"/>
              <w:rPr>
                <w:rFonts w:cstheme="minorBidi"/>
                <w:snapToGrid w:val="0"/>
                <w:color w:val="auto"/>
                <w:kern w:val="2"/>
                <w:sz w:val="21"/>
                <w:szCs w:val="20"/>
              </w:rPr>
            </w:pPr>
          </w:p>
        </w:tc>
        <w:tc>
          <w:tcPr>
            <w:tcW w:w="1143" w:type="dxa"/>
            <w:tcBorders>
              <w:right w:val="single" w:color="000000" w:sz="10" w:space="0"/>
            </w:tcBorders>
            <w:vAlign w:val="center"/>
          </w:tcPr>
          <w:p w14:paraId="53A2D795">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部分搬迁</w:t>
            </w:r>
          </w:p>
        </w:tc>
      </w:tr>
      <w:tr w14:paraId="6D7B5E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668" w:type="dxa"/>
            <w:tcBorders>
              <w:left w:val="single" w:color="000000" w:sz="10" w:space="0"/>
            </w:tcBorders>
            <w:vAlign w:val="center"/>
          </w:tcPr>
          <w:p w14:paraId="7FACBC30">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3</w:t>
            </w:r>
          </w:p>
        </w:tc>
        <w:tc>
          <w:tcPr>
            <w:tcW w:w="1094" w:type="dxa"/>
            <w:vAlign w:val="center"/>
          </w:tcPr>
          <w:p w14:paraId="20BC8223">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朱家老圩</w:t>
            </w:r>
          </w:p>
        </w:tc>
        <w:tc>
          <w:tcPr>
            <w:tcW w:w="1105" w:type="dxa"/>
            <w:vAlign w:val="center"/>
          </w:tcPr>
          <w:p w14:paraId="7AD94690">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241" w:type="dxa"/>
            <w:vAlign w:val="center"/>
          </w:tcPr>
          <w:p w14:paraId="7C74F7F2">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01" w:type="dxa"/>
            <w:vAlign w:val="center"/>
          </w:tcPr>
          <w:p w14:paraId="2E590603">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16" w:type="dxa"/>
            <w:vAlign w:val="center"/>
          </w:tcPr>
          <w:p w14:paraId="284867C0">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077" w:type="dxa"/>
            <w:vMerge w:val="continue"/>
            <w:tcBorders>
              <w:top w:val="nil"/>
              <w:bottom w:val="nil"/>
            </w:tcBorders>
            <w:vAlign w:val="center"/>
          </w:tcPr>
          <w:p w14:paraId="7CC0EF3D">
            <w:pPr>
              <w:spacing w:line="240" w:lineRule="auto"/>
              <w:ind w:firstLine="0" w:firstLineChars="0"/>
              <w:jc w:val="center"/>
              <w:rPr>
                <w:rFonts w:cstheme="minorBidi"/>
                <w:snapToGrid w:val="0"/>
                <w:color w:val="auto"/>
                <w:kern w:val="2"/>
                <w:sz w:val="21"/>
                <w:szCs w:val="20"/>
              </w:rPr>
            </w:pPr>
          </w:p>
        </w:tc>
        <w:tc>
          <w:tcPr>
            <w:tcW w:w="1143" w:type="dxa"/>
            <w:tcBorders>
              <w:right w:val="single" w:color="000000" w:sz="10" w:space="0"/>
            </w:tcBorders>
            <w:vAlign w:val="center"/>
          </w:tcPr>
          <w:p w14:paraId="10A6E3BC">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已搬迁</w:t>
            </w:r>
          </w:p>
        </w:tc>
      </w:tr>
      <w:tr w14:paraId="141673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668" w:type="dxa"/>
            <w:tcBorders>
              <w:left w:val="single" w:color="000000" w:sz="10" w:space="0"/>
            </w:tcBorders>
            <w:vAlign w:val="center"/>
          </w:tcPr>
          <w:p w14:paraId="30E1EE69">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4</w:t>
            </w:r>
          </w:p>
        </w:tc>
        <w:tc>
          <w:tcPr>
            <w:tcW w:w="1094" w:type="dxa"/>
            <w:vAlign w:val="center"/>
          </w:tcPr>
          <w:p w14:paraId="66840D2E">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腰庄</w:t>
            </w:r>
          </w:p>
        </w:tc>
        <w:tc>
          <w:tcPr>
            <w:tcW w:w="1105" w:type="dxa"/>
            <w:vAlign w:val="center"/>
          </w:tcPr>
          <w:p w14:paraId="72FA9226">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人群</w:t>
            </w:r>
          </w:p>
        </w:tc>
        <w:tc>
          <w:tcPr>
            <w:tcW w:w="1241" w:type="dxa"/>
            <w:vAlign w:val="center"/>
          </w:tcPr>
          <w:p w14:paraId="11C59FFD">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27户 140人</w:t>
            </w:r>
          </w:p>
        </w:tc>
        <w:tc>
          <w:tcPr>
            <w:tcW w:w="1301" w:type="dxa"/>
            <w:vAlign w:val="center"/>
          </w:tcPr>
          <w:p w14:paraId="65975AD7">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南辅助井</w:t>
            </w:r>
          </w:p>
        </w:tc>
        <w:tc>
          <w:tcPr>
            <w:tcW w:w="1316" w:type="dxa"/>
            <w:vAlign w:val="center"/>
          </w:tcPr>
          <w:p w14:paraId="7A84D134">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西南 370 米</w:t>
            </w:r>
          </w:p>
        </w:tc>
        <w:tc>
          <w:tcPr>
            <w:tcW w:w="1077" w:type="dxa"/>
            <w:vMerge w:val="continue"/>
            <w:tcBorders>
              <w:top w:val="nil"/>
              <w:bottom w:val="nil"/>
            </w:tcBorders>
            <w:vAlign w:val="center"/>
          </w:tcPr>
          <w:p w14:paraId="545AB5B2">
            <w:pPr>
              <w:spacing w:line="240" w:lineRule="auto"/>
              <w:ind w:firstLine="0" w:firstLineChars="0"/>
              <w:jc w:val="center"/>
              <w:rPr>
                <w:rFonts w:cstheme="minorBidi"/>
                <w:snapToGrid w:val="0"/>
                <w:color w:val="auto"/>
                <w:kern w:val="2"/>
                <w:sz w:val="21"/>
                <w:szCs w:val="20"/>
              </w:rPr>
            </w:pPr>
          </w:p>
        </w:tc>
        <w:tc>
          <w:tcPr>
            <w:tcW w:w="1143" w:type="dxa"/>
            <w:tcBorders>
              <w:right w:val="single" w:color="000000" w:sz="10" w:space="0"/>
            </w:tcBorders>
            <w:vAlign w:val="center"/>
          </w:tcPr>
          <w:p w14:paraId="36F9469B">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无变化</w:t>
            </w:r>
          </w:p>
        </w:tc>
      </w:tr>
      <w:tr w14:paraId="255728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668" w:type="dxa"/>
            <w:tcBorders>
              <w:left w:val="single" w:color="000000" w:sz="10" w:space="0"/>
            </w:tcBorders>
            <w:vAlign w:val="center"/>
          </w:tcPr>
          <w:p w14:paraId="3C49F779">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5</w:t>
            </w:r>
          </w:p>
        </w:tc>
        <w:tc>
          <w:tcPr>
            <w:tcW w:w="1094" w:type="dxa"/>
            <w:vAlign w:val="center"/>
          </w:tcPr>
          <w:p w14:paraId="7CA7A6AF">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薛圩</w:t>
            </w:r>
          </w:p>
        </w:tc>
        <w:tc>
          <w:tcPr>
            <w:tcW w:w="1105" w:type="dxa"/>
            <w:vAlign w:val="center"/>
          </w:tcPr>
          <w:p w14:paraId="46B27D96">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人群</w:t>
            </w:r>
          </w:p>
        </w:tc>
        <w:tc>
          <w:tcPr>
            <w:tcW w:w="1241" w:type="dxa"/>
            <w:vAlign w:val="center"/>
          </w:tcPr>
          <w:p w14:paraId="4888C0A1">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39户217人</w:t>
            </w:r>
          </w:p>
        </w:tc>
        <w:tc>
          <w:tcPr>
            <w:tcW w:w="1301" w:type="dxa"/>
            <w:vAlign w:val="center"/>
          </w:tcPr>
          <w:p w14:paraId="4152B1DC">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南风井</w:t>
            </w:r>
          </w:p>
        </w:tc>
        <w:tc>
          <w:tcPr>
            <w:tcW w:w="1316" w:type="dxa"/>
            <w:vAlign w:val="center"/>
          </w:tcPr>
          <w:p w14:paraId="1C7E28CE">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西南 200 米</w:t>
            </w:r>
          </w:p>
        </w:tc>
        <w:tc>
          <w:tcPr>
            <w:tcW w:w="1077" w:type="dxa"/>
            <w:vMerge w:val="continue"/>
            <w:tcBorders>
              <w:top w:val="nil"/>
              <w:bottom w:val="nil"/>
            </w:tcBorders>
            <w:vAlign w:val="center"/>
          </w:tcPr>
          <w:p w14:paraId="2EF01F2F">
            <w:pPr>
              <w:spacing w:line="240" w:lineRule="auto"/>
              <w:ind w:firstLine="0" w:firstLineChars="0"/>
              <w:jc w:val="center"/>
              <w:rPr>
                <w:rFonts w:cstheme="minorBidi"/>
                <w:snapToGrid w:val="0"/>
                <w:color w:val="auto"/>
                <w:kern w:val="2"/>
                <w:sz w:val="21"/>
                <w:szCs w:val="20"/>
              </w:rPr>
            </w:pPr>
          </w:p>
        </w:tc>
        <w:tc>
          <w:tcPr>
            <w:tcW w:w="1143" w:type="dxa"/>
            <w:tcBorders>
              <w:right w:val="single" w:color="000000" w:sz="10" w:space="0"/>
            </w:tcBorders>
            <w:vAlign w:val="center"/>
          </w:tcPr>
          <w:p w14:paraId="4CE91854">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无变化</w:t>
            </w:r>
          </w:p>
        </w:tc>
      </w:tr>
      <w:tr w14:paraId="16D073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668" w:type="dxa"/>
            <w:tcBorders>
              <w:left w:val="single" w:color="000000" w:sz="10" w:space="0"/>
            </w:tcBorders>
            <w:vAlign w:val="center"/>
          </w:tcPr>
          <w:p w14:paraId="1BBC9C58">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6</w:t>
            </w:r>
          </w:p>
        </w:tc>
        <w:tc>
          <w:tcPr>
            <w:tcW w:w="1094" w:type="dxa"/>
            <w:vAlign w:val="center"/>
          </w:tcPr>
          <w:p w14:paraId="2DC6A8FF">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陈庄</w:t>
            </w:r>
          </w:p>
        </w:tc>
        <w:tc>
          <w:tcPr>
            <w:tcW w:w="1105" w:type="dxa"/>
            <w:vAlign w:val="center"/>
          </w:tcPr>
          <w:p w14:paraId="394E0DFD">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241" w:type="dxa"/>
            <w:vAlign w:val="center"/>
          </w:tcPr>
          <w:p w14:paraId="027B641A">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01" w:type="dxa"/>
            <w:vAlign w:val="center"/>
          </w:tcPr>
          <w:p w14:paraId="52BBEDF8">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16" w:type="dxa"/>
            <w:vAlign w:val="center"/>
          </w:tcPr>
          <w:p w14:paraId="0EA5299A">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077" w:type="dxa"/>
            <w:vMerge w:val="continue"/>
            <w:tcBorders>
              <w:top w:val="nil"/>
              <w:bottom w:val="nil"/>
            </w:tcBorders>
            <w:vAlign w:val="center"/>
          </w:tcPr>
          <w:p w14:paraId="7139AFA4">
            <w:pPr>
              <w:spacing w:line="240" w:lineRule="auto"/>
              <w:ind w:firstLine="0" w:firstLineChars="0"/>
              <w:jc w:val="center"/>
              <w:rPr>
                <w:rFonts w:cstheme="minorBidi"/>
                <w:snapToGrid w:val="0"/>
                <w:color w:val="auto"/>
                <w:kern w:val="2"/>
                <w:sz w:val="21"/>
                <w:szCs w:val="20"/>
              </w:rPr>
            </w:pPr>
          </w:p>
        </w:tc>
        <w:tc>
          <w:tcPr>
            <w:tcW w:w="1143" w:type="dxa"/>
            <w:tcBorders>
              <w:right w:val="single" w:color="000000" w:sz="10" w:space="0"/>
            </w:tcBorders>
            <w:vAlign w:val="center"/>
          </w:tcPr>
          <w:p w14:paraId="4D141758">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已搬迁</w:t>
            </w:r>
          </w:p>
        </w:tc>
      </w:tr>
      <w:tr w14:paraId="320138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668" w:type="dxa"/>
            <w:tcBorders>
              <w:left w:val="single" w:color="000000" w:sz="10" w:space="0"/>
            </w:tcBorders>
            <w:vAlign w:val="center"/>
          </w:tcPr>
          <w:p w14:paraId="55DA524C">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7</w:t>
            </w:r>
          </w:p>
        </w:tc>
        <w:tc>
          <w:tcPr>
            <w:tcW w:w="1094" w:type="dxa"/>
            <w:vAlign w:val="center"/>
          </w:tcPr>
          <w:p w14:paraId="33941DA1">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王圩</w:t>
            </w:r>
          </w:p>
        </w:tc>
        <w:tc>
          <w:tcPr>
            <w:tcW w:w="1105" w:type="dxa"/>
            <w:vAlign w:val="center"/>
          </w:tcPr>
          <w:p w14:paraId="5441722B">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241" w:type="dxa"/>
            <w:vAlign w:val="center"/>
          </w:tcPr>
          <w:p w14:paraId="6DC5BCCD">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01" w:type="dxa"/>
            <w:vAlign w:val="center"/>
          </w:tcPr>
          <w:p w14:paraId="55E8F4DD">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16" w:type="dxa"/>
            <w:vAlign w:val="center"/>
          </w:tcPr>
          <w:p w14:paraId="6506ADCE">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077" w:type="dxa"/>
            <w:vMerge w:val="continue"/>
            <w:tcBorders>
              <w:top w:val="nil"/>
              <w:bottom w:val="nil"/>
            </w:tcBorders>
            <w:vAlign w:val="center"/>
          </w:tcPr>
          <w:p w14:paraId="4C46AAC7">
            <w:pPr>
              <w:spacing w:line="240" w:lineRule="auto"/>
              <w:ind w:firstLine="0" w:firstLineChars="0"/>
              <w:jc w:val="center"/>
              <w:rPr>
                <w:rFonts w:cstheme="minorBidi"/>
                <w:snapToGrid w:val="0"/>
                <w:color w:val="auto"/>
                <w:kern w:val="2"/>
                <w:sz w:val="21"/>
                <w:szCs w:val="20"/>
              </w:rPr>
            </w:pPr>
          </w:p>
        </w:tc>
        <w:tc>
          <w:tcPr>
            <w:tcW w:w="1143" w:type="dxa"/>
            <w:tcBorders>
              <w:right w:val="single" w:color="000000" w:sz="10" w:space="0"/>
            </w:tcBorders>
            <w:vAlign w:val="center"/>
          </w:tcPr>
          <w:p w14:paraId="4E126032">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已搬迁</w:t>
            </w:r>
          </w:p>
        </w:tc>
      </w:tr>
      <w:tr w14:paraId="1B0C20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jc w:val="center"/>
        </w:trPr>
        <w:tc>
          <w:tcPr>
            <w:tcW w:w="668" w:type="dxa"/>
            <w:tcBorders>
              <w:left w:val="single" w:color="000000" w:sz="10" w:space="0"/>
            </w:tcBorders>
            <w:vAlign w:val="center"/>
          </w:tcPr>
          <w:p w14:paraId="73D12FE7">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8</w:t>
            </w:r>
          </w:p>
        </w:tc>
        <w:tc>
          <w:tcPr>
            <w:tcW w:w="1094" w:type="dxa"/>
            <w:vAlign w:val="center"/>
          </w:tcPr>
          <w:p w14:paraId="3B27AC8D">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黄塘</w:t>
            </w:r>
          </w:p>
        </w:tc>
        <w:tc>
          <w:tcPr>
            <w:tcW w:w="1105" w:type="dxa"/>
            <w:vAlign w:val="center"/>
          </w:tcPr>
          <w:p w14:paraId="7C136BF8">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241" w:type="dxa"/>
            <w:vAlign w:val="center"/>
          </w:tcPr>
          <w:p w14:paraId="102205A1">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01" w:type="dxa"/>
            <w:vAlign w:val="center"/>
          </w:tcPr>
          <w:p w14:paraId="043EA0C6">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316" w:type="dxa"/>
            <w:vAlign w:val="center"/>
          </w:tcPr>
          <w:p w14:paraId="71AA70A4">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w:t>
            </w:r>
          </w:p>
        </w:tc>
        <w:tc>
          <w:tcPr>
            <w:tcW w:w="1077" w:type="dxa"/>
            <w:vMerge w:val="continue"/>
            <w:tcBorders>
              <w:top w:val="nil"/>
            </w:tcBorders>
            <w:vAlign w:val="center"/>
          </w:tcPr>
          <w:p w14:paraId="32B043EE">
            <w:pPr>
              <w:spacing w:line="240" w:lineRule="auto"/>
              <w:ind w:firstLine="0" w:firstLineChars="0"/>
              <w:jc w:val="center"/>
              <w:rPr>
                <w:rFonts w:cstheme="minorBidi"/>
                <w:snapToGrid w:val="0"/>
                <w:color w:val="auto"/>
                <w:kern w:val="2"/>
                <w:sz w:val="21"/>
                <w:szCs w:val="20"/>
              </w:rPr>
            </w:pPr>
          </w:p>
        </w:tc>
        <w:tc>
          <w:tcPr>
            <w:tcW w:w="1143" w:type="dxa"/>
            <w:tcBorders>
              <w:right w:val="single" w:color="000000" w:sz="10" w:space="0"/>
            </w:tcBorders>
            <w:vAlign w:val="center"/>
          </w:tcPr>
          <w:p w14:paraId="2F2AE125">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已搬迁</w:t>
            </w:r>
          </w:p>
        </w:tc>
      </w:tr>
    </w:tbl>
    <w:p w14:paraId="3B996544">
      <w:pPr>
        <w:ind w:firstLine="480"/>
      </w:pPr>
      <w:r>
        <w:drawing>
          <wp:inline distT="0" distB="0" distL="0" distR="0">
            <wp:extent cx="5278120" cy="4357370"/>
            <wp:effectExtent l="0" t="0" r="0" b="5080"/>
            <wp:docPr id="1111315536" name="IM 110"/>
            <wp:cNvGraphicFramePr/>
            <a:graphic xmlns:a="http://schemas.openxmlformats.org/drawingml/2006/main">
              <a:graphicData uri="http://schemas.openxmlformats.org/drawingml/2006/picture">
                <pic:pic xmlns:pic="http://schemas.openxmlformats.org/drawingml/2006/picture">
                  <pic:nvPicPr>
                    <pic:cNvPr id="1111315536" name="IM 110"/>
                    <pic:cNvPicPr/>
                  </pic:nvPicPr>
                  <pic:blipFill>
                    <a:blip r:embed="rId49"/>
                    <a:stretch>
                      <a:fillRect/>
                    </a:stretch>
                  </pic:blipFill>
                  <pic:spPr>
                    <a:xfrm>
                      <a:off x="0" y="0"/>
                      <a:ext cx="5278120" cy="4357861"/>
                    </a:xfrm>
                    <a:prstGeom prst="rect">
                      <a:avLst/>
                    </a:prstGeom>
                  </pic:spPr>
                </pic:pic>
              </a:graphicData>
            </a:graphic>
          </wp:inline>
        </w:drawing>
      </w:r>
    </w:p>
    <w:p w14:paraId="760953F7">
      <w:pPr>
        <w:ind w:firstLine="482"/>
        <w:jc w:val="center"/>
      </w:pPr>
      <w:r>
        <w:rPr>
          <w:rFonts w:cs="Times New Roman"/>
          <w:b/>
          <w:snapToGrid w:val="0"/>
          <w:kern w:val="24"/>
          <w:szCs w:val="24"/>
        </w:rPr>
        <w:t>图 4.2-</w:t>
      </w:r>
      <w:r>
        <w:rPr>
          <w:rFonts w:hint="eastAsia" w:cs="Times New Roman"/>
          <w:b/>
          <w:snapToGrid w:val="0"/>
          <w:kern w:val="24"/>
          <w:szCs w:val="24"/>
        </w:rPr>
        <w:t>3</w:t>
      </w:r>
      <w:r>
        <w:rPr>
          <w:rFonts w:cs="Times New Roman"/>
          <w:b/>
          <w:snapToGrid w:val="0"/>
          <w:kern w:val="24"/>
          <w:szCs w:val="24"/>
        </w:rPr>
        <w:t xml:space="preserve">  </w:t>
      </w:r>
      <w:r>
        <w:rPr>
          <w:rFonts w:hint="eastAsia" w:cs="Times New Roman"/>
          <w:b/>
          <w:snapToGrid w:val="0"/>
          <w:kern w:val="24"/>
          <w:szCs w:val="24"/>
        </w:rPr>
        <w:t>声</w:t>
      </w:r>
      <w:r>
        <w:rPr>
          <w:rFonts w:cs="Times New Roman"/>
          <w:b/>
          <w:snapToGrid w:val="0"/>
          <w:kern w:val="24"/>
          <w:szCs w:val="24"/>
        </w:rPr>
        <w:t>环境保护目标图</w:t>
      </w:r>
    </w:p>
    <w:p w14:paraId="42AFDC94">
      <w:pPr>
        <w:pStyle w:val="4"/>
      </w:pPr>
      <w:r>
        <w:rPr>
          <w:rFonts w:hint="eastAsia"/>
        </w:rPr>
        <w:t>4.2.6</w:t>
      </w:r>
      <w:r>
        <w:t xml:space="preserve"> </w:t>
      </w:r>
      <w:r>
        <w:rPr>
          <w:rFonts w:hint="eastAsia"/>
        </w:rPr>
        <w:t>环境风险保护目标</w:t>
      </w:r>
    </w:p>
    <w:p w14:paraId="7F6D12B8">
      <w:pPr>
        <w:ind w:firstLine="480"/>
      </w:pPr>
      <w:r>
        <w:t>环评及验收阶段未设置环境风险保护目标，后评价阶段环境风险保护目标主要 为尾矿库周边的村庄</w:t>
      </w:r>
      <w:r>
        <w:rPr>
          <w:rFonts w:hint="eastAsia"/>
        </w:rPr>
        <w:t>。项目环境风险保护目标主要为尾矿库周边的村庄，主要保护目标如下表4.2-5和图4.2-6。</w:t>
      </w:r>
    </w:p>
    <w:p w14:paraId="7E3DB61B">
      <w:pPr>
        <w:spacing w:before="24" w:beforeLines="10" w:after="24" w:afterLines="10" w:line="400" w:lineRule="exact"/>
        <w:ind w:firstLine="0" w:firstLineChars="0"/>
        <w:jc w:val="center"/>
        <w:rPr>
          <w:b/>
          <w:snapToGrid w:val="0"/>
          <w:kern w:val="24"/>
        </w:rPr>
      </w:pPr>
      <w:r>
        <w:rPr>
          <w:rFonts w:hint="eastAsia"/>
          <w:b/>
          <w:snapToGrid w:val="0"/>
          <w:kern w:val="24"/>
        </w:rPr>
        <w:t>表4.2-5</w:t>
      </w:r>
      <w:r>
        <w:rPr>
          <w:b/>
          <w:snapToGrid w:val="0"/>
          <w:kern w:val="24"/>
        </w:rPr>
        <w:t xml:space="preserve">  </w:t>
      </w:r>
      <w:r>
        <w:rPr>
          <w:rFonts w:hint="eastAsia"/>
          <w:b/>
          <w:snapToGrid w:val="0"/>
          <w:kern w:val="24"/>
        </w:rPr>
        <w:t>环境风险保护目标变化情况表</w:t>
      </w:r>
    </w:p>
    <w:tbl>
      <w:tblPr>
        <w:tblStyle w:val="139"/>
        <w:tblW w:w="894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42"/>
        <w:gridCol w:w="1134"/>
        <w:gridCol w:w="1204"/>
        <w:gridCol w:w="1361"/>
        <w:gridCol w:w="1152"/>
        <w:gridCol w:w="1192"/>
        <w:gridCol w:w="1248"/>
        <w:gridCol w:w="1111"/>
      </w:tblGrid>
      <w:tr w14:paraId="58689E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jc w:val="center"/>
        </w:trPr>
        <w:tc>
          <w:tcPr>
            <w:tcW w:w="542" w:type="dxa"/>
            <w:tcBorders>
              <w:left w:val="single" w:color="000000" w:sz="10" w:space="0"/>
            </w:tcBorders>
            <w:vAlign w:val="center"/>
          </w:tcPr>
          <w:p w14:paraId="220392EA">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序号</w:t>
            </w:r>
          </w:p>
        </w:tc>
        <w:tc>
          <w:tcPr>
            <w:tcW w:w="1134" w:type="dxa"/>
            <w:vAlign w:val="center"/>
          </w:tcPr>
          <w:p w14:paraId="7E27E82E">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名称</w:t>
            </w:r>
          </w:p>
        </w:tc>
        <w:tc>
          <w:tcPr>
            <w:tcW w:w="1204" w:type="dxa"/>
            <w:vAlign w:val="center"/>
          </w:tcPr>
          <w:p w14:paraId="5C03305C">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保护对象</w:t>
            </w:r>
          </w:p>
        </w:tc>
        <w:tc>
          <w:tcPr>
            <w:tcW w:w="1361" w:type="dxa"/>
            <w:vAlign w:val="center"/>
          </w:tcPr>
          <w:p w14:paraId="016318CF">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保护内容</w:t>
            </w:r>
          </w:p>
        </w:tc>
        <w:tc>
          <w:tcPr>
            <w:tcW w:w="1152" w:type="dxa"/>
            <w:vAlign w:val="center"/>
          </w:tcPr>
          <w:p w14:paraId="51BB7971">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相对场地</w:t>
            </w:r>
          </w:p>
        </w:tc>
        <w:tc>
          <w:tcPr>
            <w:tcW w:w="1192" w:type="dxa"/>
            <w:vAlign w:val="center"/>
          </w:tcPr>
          <w:p w14:paraId="202EBF64">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相对位置</w:t>
            </w:r>
          </w:p>
        </w:tc>
        <w:tc>
          <w:tcPr>
            <w:tcW w:w="1248" w:type="dxa"/>
            <w:vAlign w:val="center"/>
          </w:tcPr>
          <w:p w14:paraId="3C712E61">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保护要求</w:t>
            </w:r>
          </w:p>
        </w:tc>
        <w:tc>
          <w:tcPr>
            <w:tcW w:w="1111" w:type="dxa"/>
            <w:tcBorders>
              <w:right w:val="single" w:color="000000" w:sz="10" w:space="0"/>
            </w:tcBorders>
            <w:vAlign w:val="center"/>
          </w:tcPr>
          <w:p w14:paraId="5D0D0AEA">
            <w:pPr>
              <w:spacing w:line="240" w:lineRule="auto"/>
              <w:ind w:firstLine="0" w:firstLineChars="0"/>
              <w:jc w:val="center"/>
              <w:rPr>
                <w:rFonts w:cstheme="minorBidi"/>
                <w:b/>
                <w:bCs/>
                <w:snapToGrid w:val="0"/>
                <w:color w:val="auto"/>
                <w:kern w:val="2"/>
                <w:sz w:val="21"/>
                <w:szCs w:val="20"/>
              </w:rPr>
            </w:pPr>
            <w:r>
              <w:rPr>
                <w:rFonts w:cstheme="minorBidi"/>
                <w:b/>
                <w:bCs/>
                <w:snapToGrid w:val="0"/>
                <w:color w:val="auto"/>
                <w:kern w:val="2"/>
                <w:sz w:val="21"/>
                <w:szCs w:val="20"/>
              </w:rPr>
              <w:t>变化情况</w:t>
            </w:r>
          </w:p>
        </w:tc>
      </w:tr>
      <w:tr w14:paraId="76D12B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542" w:type="dxa"/>
            <w:tcBorders>
              <w:left w:val="single" w:color="000000" w:sz="10" w:space="0"/>
            </w:tcBorders>
            <w:vAlign w:val="center"/>
          </w:tcPr>
          <w:p w14:paraId="4090D43E">
            <w:pPr>
              <w:spacing w:line="240" w:lineRule="auto"/>
              <w:ind w:firstLine="0" w:firstLineChars="0"/>
              <w:jc w:val="center"/>
              <w:rPr>
                <w:rFonts w:cstheme="minorBidi"/>
                <w:snapToGrid w:val="0"/>
                <w:color w:val="auto"/>
                <w:kern w:val="2"/>
                <w:sz w:val="21"/>
                <w:szCs w:val="20"/>
              </w:rPr>
            </w:pPr>
            <w:r>
              <w:rPr>
                <w:rFonts w:hint="eastAsia" w:cstheme="minorBidi"/>
                <w:snapToGrid w:val="0"/>
                <w:color w:val="auto"/>
                <w:kern w:val="2"/>
                <w:sz w:val="21"/>
                <w:szCs w:val="20"/>
              </w:rPr>
              <w:t>1</w:t>
            </w:r>
          </w:p>
        </w:tc>
        <w:tc>
          <w:tcPr>
            <w:tcW w:w="1134" w:type="dxa"/>
            <w:vAlign w:val="center"/>
          </w:tcPr>
          <w:p w14:paraId="0F2B22AC">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王旮沓</w:t>
            </w:r>
          </w:p>
        </w:tc>
        <w:tc>
          <w:tcPr>
            <w:tcW w:w="1204" w:type="dxa"/>
            <w:vMerge w:val="restart"/>
            <w:tcBorders>
              <w:bottom w:val="nil"/>
            </w:tcBorders>
            <w:vAlign w:val="center"/>
          </w:tcPr>
          <w:p w14:paraId="7F8CDE01">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人群</w:t>
            </w:r>
          </w:p>
        </w:tc>
        <w:tc>
          <w:tcPr>
            <w:tcW w:w="1361" w:type="dxa"/>
            <w:vAlign w:val="center"/>
          </w:tcPr>
          <w:p w14:paraId="5A2DBD94">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17 户 87 人</w:t>
            </w:r>
          </w:p>
        </w:tc>
        <w:tc>
          <w:tcPr>
            <w:tcW w:w="1152" w:type="dxa"/>
            <w:vMerge w:val="restart"/>
            <w:tcBorders>
              <w:bottom w:val="nil"/>
            </w:tcBorders>
            <w:vAlign w:val="center"/>
          </w:tcPr>
          <w:p w14:paraId="230E43C6">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尾矿库</w:t>
            </w:r>
          </w:p>
        </w:tc>
        <w:tc>
          <w:tcPr>
            <w:tcW w:w="1192" w:type="dxa"/>
            <w:vAlign w:val="center"/>
          </w:tcPr>
          <w:p w14:paraId="754AB67A">
            <w:pPr>
              <w:spacing w:line="240" w:lineRule="auto"/>
              <w:ind w:right="172" w:firstLine="0" w:firstLineChars="0"/>
              <w:jc w:val="center"/>
              <w:rPr>
                <w:rFonts w:cstheme="minorBidi"/>
                <w:snapToGrid w:val="0"/>
                <w:color w:val="auto"/>
                <w:kern w:val="2"/>
                <w:sz w:val="21"/>
                <w:szCs w:val="20"/>
              </w:rPr>
            </w:pPr>
            <w:r>
              <w:rPr>
                <w:rFonts w:cstheme="minorBidi"/>
                <w:snapToGrid w:val="0"/>
                <w:color w:val="auto"/>
                <w:kern w:val="2"/>
                <w:sz w:val="21"/>
                <w:szCs w:val="20"/>
              </w:rPr>
              <w:t>西北偏西 833m</w:t>
            </w:r>
          </w:p>
        </w:tc>
        <w:tc>
          <w:tcPr>
            <w:tcW w:w="1248" w:type="dxa"/>
            <w:vMerge w:val="restart"/>
            <w:tcBorders>
              <w:bottom w:val="nil"/>
            </w:tcBorders>
            <w:vAlign w:val="center"/>
          </w:tcPr>
          <w:p w14:paraId="279E52DE">
            <w:pPr>
              <w:spacing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避免尾矿库溃坝对存在造成影响</w:t>
            </w:r>
          </w:p>
        </w:tc>
        <w:tc>
          <w:tcPr>
            <w:tcW w:w="1111" w:type="dxa"/>
            <w:vMerge w:val="restart"/>
            <w:tcBorders>
              <w:bottom w:val="nil"/>
              <w:right w:val="single" w:color="000000" w:sz="10" w:space="0"/>
            </w:tcBorders>
            <w:vAlign w:val="center"/>
          </w:tcPr>
          <w:p w14:paraId="7A10EFEC">
            <w:pPr>
              <w:spacing w:line="240" w:lineRule="auto"/>
              <w:ind w:left="145" w:right="118" w:firstLine="0" w:firstLineChars="0"/>
              <w:jc w:val="center"/>
              <w:rPr>
                <w:rFonts w:cstheme="minorBidi"/>
                <w:snapToGrid w:val="0"/>
                <w:color w:val="auto"/>
                <w:kern w:val="2"/>
                <w:sz w:val="21"/>
                <w:szCs w:val="20"/>
              </w:rPr>
            </w:pPr>
            <w:r>
              <w:rPr>
                <w:rFonts w:cstheme="minorBidi"/>
                <w:snapToGrid w:val="0"/>
                <w:color w:val="auto"/>
                <w:kern w:val="2"/>
                <w:sz w:val="21"/>
                <w:szCs w:val="20"/>
              </w:rPr>
              <w:t>环评及验收阶段未设置环境 风险保护目标</w:t>
            </w:r>
          </w:p>
        </w:tc>
      </w:tr>
      <w:tr w14:paraId="146F0B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3" w:hRule="atLeast"/>
          <w:jc w:val="center"/>
        </w:trPr>
        <w:tc>
          <w:tcPr>
            <w:tcW w:w="542" w:type="dxa"/>
            <w:tcBorders>
              <w:left w:val="single" w:color="000000" w:sz="10" w:space="0"/>
            </w:tcBorders>
            <w:vAlign w:val="center"/>
          </w:tcPr>
          <w:p w14:paraId="7993E8B0">
            <w:pPr>
              <w:spacing w:before="65" w:line="240" w:lineRule="auto"/>
              <w:ind w:firstLine="0" w:firstLineChars="0"/>
              <w:jc w:val="center"/>
              <w:rPr>
                <w:rFonts w:cstheme="minorBidi"/>
                <w:snapToGrid w:val="0"/>
                <w:color w:val="auto"/>
                <w:kern w:val="2"/>
                <w:sz w:val="21"/>
                <w:szCs w:val="20"/>
              </w:rPr>
            </w:pPr>
            <w:r>
              <w:rPr>
                <w:rFonts w:hint="eastAsia" w:cstheme="minorBidi"/>
                <w:snapToGrid w:val="0"/>
                <w:color w:val="auto"/>
                <w:kern w:val="2"/>
                <w:sz w:val="21"/>
                <w:szCs w:val="20"/>
              </w:rPr>
              <w:t>2</w:t>
            </w:r>
          </w:p>
        </w:tc>
        <w:tc>
          <w:tcPr>
            <w:tcW w:w="1134" w:type="dxa"/>
            <w:vAlign w:val="center"/>
          </w:tcPr>
          <w:p w14:paraId="3A52AC43">
            <w:pPr>
              <w:spacing w:before="299"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孟家前楼</w:t>
            </w:r>
          </w:p>
        </w:tc>
        <w:tc>
          <w:tcPr>
            <w:tcW w:w="1204" w:type="dxa"/>
            <w:vMerge w:val="continue"/>
            <w:tcBorders>
              <w:top w:val="nil"/>
            </w:tcBorders>
            <w:vAlign w:val="center"/>
          </w:tcPr>
          <w:p w14:paraId="10A757CA">
            <w:pPr>
              <w:spacing w:line="240" w:lineRule="auto"/>
              <w:ind w:firstLine="0" w:firstLineChars="0"/>
              <w:jc w:val="center"/>
              <w:rPr>
                <w:rFonts w:cstheme="minorBidi"/>
                <w:snapToGrid w:val="0"/>
                <w:color w:val="auto"/>
                <w:kern w:val="2"/>
                <w:sz w:val="21"/>
                <w:szCs w:val="20"/>
              </w:rPr>
            </w:pPr>
          </w:p>
        </w:tc>
        <w:tc>
          <w:tcPr>
            <w:tcW w:w="1361" w:type="dxa"/>
            <w:vAlign w:val="center"/>
          </w:tcPr>
          <w:p w14:paraId="7EDFA4DD">
            <w:pPr>
              <w:spacing w:before="299"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32 户 148 人</w:t>
            </w:r>
          </w:p>
        </w:tc>
        <w:tc>
          <w:tcPr>
            <w:tcW w:w="1152" w:type="dxa"/>
            <w:vMerge w:val="continue"/>
            <w:tcBorders>
              <w:top w:val="nil"/>
            </w:tcBorders>
            <w:vAlign w:val="center"/>
          </w:tcPr>
          <w:p w14:paraId="64C4B33C">
            <w:pPr>
              <w:spacing w:line="240" w:lineRule="auto"/>
              <w:ind w:firstLine="0" w:firstLineChars="0"/>
              <w:jc w:val="center"/>
              <w:rPr>
                <w:rFonts w:cstheme="minorBidi"/>
                <w:snapToGrid w:val="0"/>
                <w:color w:val="auto"/>
                <w:kern w:val="2"/>
                <w:sz w:val="21"/>
                <w:szCs w:val="20"/>
              </w:rPr>
            </w:pPr>
          </w:p>
        </w:tc>
        <w:tc>
          <w:tcPr>
            <w:tcW w:w="1192" w:type="dxa"/>
            <w:vAlign w:val="center"/>
          </w:tcPr>
          <w:p w14:paraId="691CF5DD">
            <w:pPr>
              <w:spacing w:before="299" w:line="240" w:lineRule="auto"/>
              <w:ind w:firstLine="0" w:firstLineChars="0"/>
              <w:jc w:val="center"/>
              <w:rPr>
                <w:rFonts w:cstheme="minorBidi"/>
                <w:snapToGrid w:val="0"/>
                <w:color w:val="auto"/>
                <w:kern w:val="2"/>
                <w:sz w:val="21"/>
                <w:szCs w:val="20"/>
              </w:rPr>
            </w:pPr>
            <w:r>
              <w:rPr>
                <w:rFonts w:cstheme="minorBidi"/>
                <w:snapToGrid w:val="0"/>
                <w:color w:val="auto"/>
                <w:kern w:val="2"/>
                <w:sz w:val="21"/>
                <w:szCs w:val="20"/>
              </w:rPr>
              <w:t>西南520m</w:t>
            </w:r>
          </w:p>
        </w:tc>
        <w:tc>
          <w:tcPr>
            <w:tcW w:w="1248" w:type="dxa"/>
            <w:vMerge w:val="continue"/>
            <w:tcBorders>
              <w:top w:val="nil"/>
            </w:tcBorders>
            <w:vAlign w:val="center"/>
          </w:tcPr>
          <w:p w14:paraId="1710FCCC">
            <w:pPr>
              <w:spacing w:line="240" w:lineRule="auto"/>
              <w:ind w:firstLine="0" w:firstLineChars="0"/>
              <w:jc w:val="center"/>
              <w:rPr>
                <w:rFonts w:cstheme="minorBidi"/>
                <w:snapToGrid w:val="0"/>
                <w:color w:val="auto"/>
                <w:kern w:val="2"/>
                <w:sz w:val="21"/>
                <w:szCs w:val="20"/>
              </w:rPr>
            </w:pPr>
          </w:p>
        </w:tc>
        <w:tc>
          <w:tcPr>
            <w:tcW w:w="1111" w:type="dxa"/>
            <w:vMerge w:val="continue"/>
            <w:tcBorders>
              <w:top w:val="nil"/>
              <w:right w:val="single" w:color="000000" w:sz="10" w:space="0"/>
            </w:tcBorders>
            <w:vAlign w:val="center"/>
          </w:tcPr>
          <w:p w14:paraId="01BEEBF7">
            <w:pPr>
              <w:spacing w:line="240" w:lineRule="auto"/>
              <w:ind w:firstLine="0" w:firstLineChars="0"/>
              <w:jc w:val="center"/>
              <w:rPr>
                <w:rFonts w:cstheme="minorBidi"/>
                <w:snapToGrid w:val="0"/>
                <w:color w:val="auto"/>
                <w:kern w:val="2"/>
                <w:sz w:val="21"/>
                <w:szCs w:val="20"/>
              </w:rPr>
            </w:pPr>
          </w:p>
        </w:tc>
      </w:tr>
    </w:tbl>
    <w:p w14:paraId="6EAAFCFD">
      <w:pPr>
        <w:spacing w:before="24" w:beforeLines="10" w:after="24" w:afterLines="10" w:line="400" w:lineRule="exact"/>
        <w:ind w:firstLine="0" w:firstLineChars="0"/>
        <w:jc w:val="center"/>
        <w:rPr>
          <w:b/>
          <w:snapToGrid w:val="0"/>
          <w:kern w:val="24"/>
        </w:rPr>
      </w:pPr>
      <w:r>
        <w:rPr>
          <w:rFonts w:cs="Times New Roman"/>
          <w:b/>
          <w:snapToGrid w:val="0"/>
          <w:kern w:val="24"/>
          <w:szCs w:val="24"/>
        </w:rPr>
        <w:t>图 4.2-</w:t>
      </w:r>
      <w:r>
        <w:rPr>
          <w:rFonts w:hint="eastAsia" w:cs="Times New Roman"/>
          <w:b/>
          <w:snapToGrid w:val="0"/>
          <w:kern w:val="24"/>
          <w:szCs w:val="24"/>
        </w:rPr>
        <w:t>4</w:t>
      </w:r>
      <w:r>
        <w:rPr>
          <w:rFonts w:cs="Times New Roman"/>
          <w:b/>
          <w:snapToGrid w:val="0"/>
          <w:kern w:val="24"/>
          <w:szCs w:val="24"/>
        </w:rPr>
        <w:t xml:space="preserve">  </w:t>
      </w:r>
      <w:r>
        <w:rPr>
          <w:rFonts w:hint="eastAsia" w:cs="Times New Roman"/>
          <w:b/>
          <w:snapToGrid w:val="0"/>
          <w:kern w:val="24"/>
          <w:szCs w:val="24"/>
        </w:rPr>
        <w:t>环境</w:t>
      </w:r>
      <w:r>
        <w:rPr>
          <w:rFonts w:cs="Times New Roman"/>
          <w:b/>
          <w:snapToGrid w:val="0"/>
          <w:kern w:val="24"/>
          <w:szCs w:val="24"/>
        </w:rPr>
        <w:t>环境保护目标图</w:t>
      </w:r>
      <w:r>
        <w:drawing>
          <wp:anchor distT="0" distB="0" distL="114300" distR="114300" simplePos="0" relativeHeight="251660288" behindDoc="1" locked="0" layoutInCell="1" allowOverlap="1">
            <wp:simplePos x="0" y="0"/>
            <wp:positionH relativeFrom="column">
              <wp:posOffset>-112395</wp:posOffset>
            </wp:positionH>
            <wp:positionV relativeFrom="paragraph">
              <wp:posOffset>95250</wp:posOffset>
            </wp:positionV>
            <wp:extent cx="5278120" cy="4140835"/>
            <wp:effectExtent l="0" t="0" r="0" b="0"/>
            <wp:wrapTight wrapText="bothSides">
              <wp:wrapPolygon>
                <wp:start x="0" y="0"/>
                <wp:lineTo x="0" y="21464"/>
                <wp:lineTo x="21517" y="21464"/>
                <wp:lineTo x="21517" y="0"/>
                <wp:lineTo x="0" y="0"/>
              </wp:wrapPolygon>
            </wp:wrapTight>
            <wp:docPr id="111" name="IM 111"/>
            <wp:cNvGraphicFramePr/>
            <a:graphic xmlns:a="http://schemas.openxmlformats.org/drawingml/2006/main">
              <a:graphicData uri="http://schemas.openxmlformats.org/drawingml/2006/picture">
                <pic:pic xmlns:pic="http://schemas.openxmlformats.org/drawingml/2006/picture">
                  <pic:nvPicPr>
                    <pic:cNvPr id="111" name="IM 111"/>
                    <pic:cNvPicPr/>
                  </pic:nvPicPr>
                  <pic:blipFill>
                    <a:blip r:embed="rId50">
                      <a:extLst>
                        <a:ext uri="{28A0092B-C50C-407E-A947-70E740481C1C}">
                          <a14:useLocalDpi xmlns:a14="http://schemas.microsoft.com/office/drawing/2010/main" val="0"/>
                        </a:ext>
                      </a:extLst>
                    </a:blip>
                    <a:stretch>
                      <a:fillRect/>
                    </a:stretch>
                  </pic:blipFill>
                  <pic:spPr>
                    <a:xfrm>
                      <a:off x="0" y="0"/>
                      <a:ext cx="5278120" cy="4140835"/>
                    </a:xfrm>
                    <a:prstGeom prst="rect">
                      <a:avLst/>
                    </a:prstGeom>
                  </pic:spPr>
                </pic:pic>
              </a:graphicData>
            </a:graphic>
          </wp:anchor>
        </w:drawing>
      </w:r>
    </w:p>
    <w:p w14:paraId="6DB93F5A">
      <w:pPr>
        <w:pStyle w:val="4"/>
      </w:pPr>
      <w:r>
        <w:rPr>
          <w:rFonts w:hint="eastAsia"/>
        </w:rPr>
        <w:t>4.2.7</w:t>
      </w:r>
      <w:r>
        <w:t xml:space="preserve"> </w:t>
      </w:r>
      <w:r>
        <w:rPr>
          <w:rFonts w:hint="eastAsia"/>
        </w:rPr>
        <w:t>生态环境保护目标</w:t>
      </w:r>
    </w:p>
    <w:p w14:paraId="4B2F0344">
      <w:pPr>
        <w:ind w:firstLine="480"/>
      </w:pPr>
      <w:r>
        <w:rPr>
          <w:rFonts w:hint="eastAsia"/>
        </w:rPr>
        <w:t>与环评及验收阶段相比，后评价阶段生态环境保护目标未发生变化。根据《环境影响评价技术导则 生态影响》（HJ19-2011），项目生态环境评价范围内不存在特殊生态敏感区和重要生态敏感区。主要的生态环境保护目标为选厂及尾矿周边的土壤、植被、农业生态环境、地下水文地质环境。</w:t>
      </w:r>
    </w:p>
    <w:p w14:paraId="3E93E016">
      <w:pPr>
        <w:pStyle w:val="4"/>
      </w:pPr>
      <w:r>
        <w:rPr>
          <w:rFonts w:hint="eastAsia"/>
        </w:rPr>
        <w:t>4.2.8</w:t>
      </w:r>
      <w:r>
        <w:t xml:space="preserve"> </w:t>
      </w:r>
      <w:r>
        <w:rPr>
          <w:rFonts w:hint="eastAsia"/>
        </w:rPr>
        <w:t>小结</w:t>
      </w:r>
    </w:p>
    <w:p w14:paraId="45BDBA22">
      <w:pPr>
        <w:ind w:firstLine="480"/>
      </w:pPr>
      <w:r>
        <w:rPr>
          <w:rFonts w:hint="eastAsia"/>
        </w:rPr>
        <w:t>根据与变更环评阶段环境保护目标的比较，项目主要环境保护目标变化情况如下表所示。</w:t>
      </w:r>
    </w:p>
    <w:p w14:paraId="375D7FFD">
      <w:pPr>
        <w:pStyle w:val="18"/>
        <w:ind w:firstLine="360"/>
      </w:pPr>
      <w:r>
        <w:rPr>
          <w:rFonts w:hint="eastAsia"/>
        </w:rPr>
        <w:t>表4.2-6</w:t>
      </w:r>
      <w:r>
        <w:t xml:space="preserve">  </w:t>
      </w:r>
      <w:r>
        <w:rPr>
          <w:rFonts w:hint="eastAsia"/>
        </w:rPr>
        <w:t>环境保护目标变化情况表</w:t>
      </w:r>
    </w:p>
    <w:tbl>
      <w:tblPr>
        <w:tblStyle w:val="33"/>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2874"/>
        <w:gridCol w:w="2076"/>
        <w:gridCol w:w="2076"/>
      </w:tblGrid>
      <w:tr w14:paraId="593120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Align w:val="center"/>
          </w:tcPr>
          <w:p w14:paraId="7D731E87">
            <w:pPr>
              <w:spacing w:line="240" w:lineRule="auto"/>
              <w:ind w:firstLine="0" w:firstLineChars="0"/>
              <w:jc w:val="center"/>
              <w:rPr>
                <w:b/>
                <w:bCs/>
                <w:sz w:val="21"/>
                <w:szCs w:val="20"/>
              </w:rPr>
            </w:pPr>
            <w:r>
              <w:rPr>
                <w:rFonts w:hint="eastAsia"/>
                <w:b/>
                <w:bCs/>
                <w:sz w:val="21"/>
                <w:szCs w:val="20"/>
              </w:rPr>
              <w:t>环境要素</w:t>
            </w:r>
          </w:p>
        </w:tc>
        <w:tc>
          <w:tcPr>
            <w:tcW w:w="2874" w:type="dxa"/>
            <w:vAlign w:val="center"/>
          </w:tcPr>
          <w:p w14:paraId="44672032">
            <w:pPr>
              <w:spacing w:line="240" w:lineRule="auto"/>
              <w:ind w:firstLine="0" w:firstLineChars="0"/>
              <w:jc w:val="center"/>
              <w:rPr>
                <w:b/>
                <w:bCs/>
                <w:sz w:val="21"/>
                <w:szCs w:val="20"/>
              </w:rPr>
            </w:pPr>
            <w:r>
              <w:rPr>
                <w:rFonts w:hint="eastAsia"/>
                <w:b/>
                <w:bCs/>
                <w:sz w:val="21"/>
                <w:szCs w:val="20"/>
              </w:rPr>
              <w:t>目标名称</w:t>
            </w:r>
          </w:p>
        </w:tc>
        <w:tc>
          <w:tcPr>
            <w:tcW w:w="2076" w:type="dxa"/>
            <w:vAlign w:val="center"/>
          </w:tcPr>
          <w:p w14:paraId="434B0172">
            <w:pPr>
              <w:spacing w:line="240" w:lineRule="auto"/>
              <w:ind w:firstLine="0" w:firstLineChars="0"/>
              <w:jc w:val="center"/>
              <w:rPr>
                <w:b/>
                <w:bCs/>
                <w:sz w:val="21"/>
                <w:szCs w:val="20"/>
              </w:rPr>
            </w:pPr>
            <w:r>
              <w:rPr>
                <w:rFonts w:hint="eastAsia"/>
                <w:b/>
                <w:bCs/>
                <w:sz w:val="21"/>
                <w:szCs w:val="20"/>
              </w:rPr>
              <w:t>相对场地</w:t>
            </w:r>
          </w:p>
        </w:tc>
        <w:tc>
          <w:tcPr>
            <w:tcW w:w="2076" w:type="dxa"/>
            <w:vAlign w:val="center"/>
          </w:tcPr>
          <w:p w14:paraId="2F833FBE">
            <w:pPr>
              <w:spacing w:line="240" w:lineRule="auto"/>
              <w:ind w:firstLine="0" w:firstLineChars="0"/>
              <w:jc w:val="center"/>
              <w:rPr>
                <w:b/>
                <w:bCs/>
                <w:sz w:val="21"/>
                <w:szCs w:val="20"/>
              </w:rPr>
            </w:pPr>
            <w:r>
              <w:rPr>
                <w:rFonts w:hint="eastAsia"/>
                <w:b/>
                <w:bCs/>
                <w:sz w:val="21"/>
                <w:szCs w:val="20"/>
              </w:rPr>
              <w:t>变化情况</w:t>
            </w:r>
          </w:p>
        </w:tc>
      </w:tr>
      <w:tr w14:paraId="1CD5F0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restart"/>
            <w:vAlign w:val="center"/>
          </w:tcPr>
          <w:p w14:paraId="4CC7552B">
            <w:pPr>
              <w:spacing w:line="240" w:lineRule="auto"/>
              <w:ind w:firstLine="0" w:firstLineChars="0"/>
              <w:jc w:val="center"/>
              <w:rPr>
                <w:sz w:val="21"/>
                <w:szCs w:val="20"/>
              </w:rPr>
            </w:pPr>
            <w:r>
              <w:rPr>
                <w:rFonts w:hint="eastAsia"/>
                <w:sz w:val="21"/>
                <w:szCs w:val="20"/>
              </w:rPr>
              <w:t>环境空气</w:t>
            </w:r>
          </w:p>
        </w:tc>
        <w:tc>
          <w:tcPr>
            <w:tcW w:w="2874" w:type="dxa"/>
            <w:vAlign w:val="center"/>
          </w:tcPr>
          <w:p w14:paraId="161B2F03">
            <w:pPr>
              <w:spacing w:line="240" w:lineRule="auto"/>
              <w:ind w:firstLine="0" w:firstLineChars="0"/>
              <w:jc w:val="center"/>
              <w:rPr>
                <w:sz w:val="21"/>
                <w:szCs w:val="20"/>
              </w:rPr>
            </w:pPr>
            <w:r>
              <w:rPr>
                <w:rFonts w:hint="eastAsia"/>
                <w:sz w:val="21"/>
                <w:szCs w:val="20"/>
              </w:rPr>
              <w:t>周边2.5km范围内居民点</w:t>
            </w:r>
          </w:p>
        </w:tc>
        <w:tc>
          <w:tcPr>
            <w:tcW w:w="2076" w:type="dxa"/>
            <w:vAlign w:val="center"/>
          </w:tcPr>
          <w:p w14:paraId="2BE73825">
            <w:pPr>
              <w:spacing w:line="240" w:lineRule="auto"/>
              <w:ind w:firstLine="0" w:firstLineChars="0"/>
              <w:jc w:val="center"/>
              <w:rPr>
                <w:sz w:val="21"/>
                <w:szCs w:val="20"/>
              </w:rPr>
            </w:pPr>
            <w:r>
              <w:rPr>
                <w:rFonts w:hint="eastAsia"/>
                <w:sz w:val="21"/>
                <w:szCs w:val="20"/>
              </w:rPr>
              <w:t>采选工业场地</w:t>
            </w:r>
          </w:p>
        </w:tc>
        <w:tc>
          <w:tcPr>
            <w:tcW w:w="2076" w:type="dxa"/>
            <w:vAlign w:val="center"/>
          </w:tcPr>
          <w:p w14:paraId="6061A3CE">
            <w:pPr>
              <w:spacing w:line="240" w:lineRule="auto"/>
              <w:ind w:firstLine="0" w:firstLineChars="0"/>
              <w:jc w:val="center"/>
              <w:rPr>
                <w:sz w:val="21"/>
                <w:szCs w:val="20"/>
              </w:rPr>
            </w:pPr>
            <w:r>
              <w:rPr>
                <w:rFonts w:hint="eastAsia"/>
                <w:sz w:val="21"/>
                <w:szCs w:val="20"/>
              </w:rPr>
              <w:t>未变化</w:t>
            </w:r>
          </w:p>
        </w:tc>
      </w:tr>
      <w:tr w14:paraId="3E01CF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continue"/>
            <w:vAlign w:val="center"/>
          </w:tcPr>
          <w:p w14:paraId="5683AF94">
            <w:pPr>
              <w:spacing w:line="240" w:lineRule="auto"/>
              <w:ind w:firstLine="0" w:firstLineChars="0"/>
              <w:jc w:val="center"/>
              <w:rPr>
                <w:sz w:val="21"/>
                <w:szCs w:val="20"/>
              </w:rPr>
            </w:pPr>
          </w:p>
        </w:tc>
        <w:tc>
          <w:tcPr>
            <w:tcW w:w="2874" w:type="dxa"/>
            <w:vAlign w:val="center"/>
          </w:tcPr>
          <w:p w14:paraId="14F3A912">
            <w:pPr>
              <w:spacing w:line="240" w:lineRule="auto"/>
              <w:ind w:firstLine="0" w:firstLineChars="0"/>
              <w:jc w:val="center"/>
              <w:rPr>
                <w:sz w:val="21"/>
                <w:szCs w:val="20"/>
              </w:rPr>
            </w:pPr>
            <w:r>
              <w:rPr>
                <w:rFonts w:hint="eastAsia"/>
                <w:sz w:val="21"/>
                <w:szCs w:val="20"/>
              </w:rPr>
              <w:t>周边500m范围内居民点</w:t>
            </w:r>
          </w:p>
        </w:tc>
        <w:tc>
          <w:tcPr>
            <w:tcW w:w="2076" w:type="dxa"/>
            <w:vAlign w:val="center"/>
          </w:tcPr>
          <w:p w14:paraId="62A9C505">
            <w:pPr>
              <w:spacing w:line="240" w:lineRule="auto"/>
              <w:ind w:firstLine="0" w:firstLineChars="0"/>
              <w:jc w:val="center"/>
              <w:rPr>
                <w:sz w:val="21"/>
                <w:szCs w:val="20"/>
              </w:rPr>
            </w:pPr>
            <w:r>
              <w:rPr>
                <w:rFonts w:hint="eastAsia"/>
                <w:sz w:val="21"/>
                <w:szCs w:val="20"/>
              </w:rPr>
              <w:t>尾矿库</w:t>
            </w:r>
          </w:p>
        </w:tc>
        <w:tc>
          <w:tcPr>
            <w:tcW w:w="2076" w:type="dxa"/>
            <w:vAlign w:val="center"/>
          </w:tcPr>
          <w:p w14:paraId="25F83479">
            <w:pPr>
              <w:spacing w:line="240" w:lineRule="auto"/>
              <w:ind w:firstLine="0" w:firstLineChars="0"/>
              <w:jc w:val="center"/>
              <w:rPr>
                <w:sz w:val="21"/>
                <w:szCs w:val="20"/>
              </w:rPr>
            </w:pPr>
            <w:r>
              <w:rPr>
                <w:rFonts w:hint="eastAsia"/>
                <w:sz w:val="21"/>
                <w:szCs w:val="20"/>
              </w:rPr>
              <w:t>未变化</w:t>
            </w:r>
          </w:p>
        </w:tc>
      </w:tr>
      <w:tr w14:paraId="089E06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restart"/>
            <w:vAlign w:val="center"/>
          </w:tcPr>
          <w:p w14:paraId="668C4274">
            <w:pPr>
              <w:spacing w:line="240" w:lineRule="auto"/>
              <w:ind w:firstLine="0" w:firstLineChars="0"/>
              <w:jc w:val="center"/>
              <w:rPr>
                <w:sz w:val="21"/>
                <w:szCs w:val="20"/>
              </w:rPr>
            </w:pPr>
            <w:r>
              <w:rPr>
                <w:rFonts w:hint="eastAsia"/>
                <w:sz w:val="21"/>
                <w:szCs w:val="20"/>
              </w:rPr>
              <w:t>地表水</w:t>
            </w:r>
          </w:p>
        </w:tc>
        <w:tc>
          <w:tcPr>
            <w:tcW w:w="2874" w:type="dxa"/>
            <w:vAlign w:val="center"/>
          </w:tcPr>
          <w:p w14:paraId="2DDE5B72">
            <w:pPr>
              <w:spacing w:line="240" w:lineRule="auto"/>
              <w:ind w:firstLine="0" w:firstLineChars="0"/>
              <w:jc w:val="center"/>
              <w:rPr>
                <w:sz w:val="21"/>
                <w:szCs w:val="20"/>
              </w:rPr>
            </w:pPr>
            <w:r>
              <w:rPr>
                <w:rFonts w:hint="eastAsia"/>
                <w:sz w:val="21"/>
                <w:szCs w:val="20"/>
              </w:rPr>
              <w:t>沿岗河</w:t>
            </w:r>
          </w:p>
        </w:tc>
        <w:tc>
          <w:tcPr>
            <w:tcW w:w="2076" w:type="dxa"/>
            <w:vAlign w:val="center"/>
          </w:tcPr>
          <w:p w14:paraId="4666EF31">
            <w:pPr>
              <w:spacing w:line="240" w:lineRule="auto"/>
              <w:ind w:firstLine="0" w:firstLineChars="0"/>
              <w:jc w:val="center"/>
              <w:rPr>
                <w:sz w:val="21"/>
                <w:szCs w:val="20"/>
              </w:rPr>
            </w:pPr>
            <w:r>
              <w:rPr>
                <w:rFonts w:hint="eastAsia"/>
                <w:sz w:val="21"/>
                <w:szCs w:val="20"/>
              </w:rPr>
              <w:t>采选工业场地</w:t>
            </w:r>
          </w:p>
        </w:tc>
        <w:tc>
          <w:tcPr>
            <w:tcW w:w="2076" w:type="dxa"/>
            <w:vAlign w:val="center"/>
          </w:tcPr>
          <w:p w14:paraId="75F30F47">
            <w:pPr>
              <w:spacing w:line="240" w:lineRule="auto"/>
              <w:ind w:firstLine="0" w:firstLineChars="0"/>
              <w:jc w:val="center"/>
              <w:rPr>
                <w:sz w:val="21"/>
                <w:szCs w:val="20"/>
              </w:rPr>
            </w:pPr>
            <w:r>
              <w:rPr>
                <w:rFonts w:hint="eastAsia"/>
                <w:sz w:val="21"/>
                <w:szCs w:val="20"/>
              </w:rPr>
              <w:t>未变化</w:t>
            </w:r>
          </w:p>
        </w:tc>
      </w:tr>
      <w:tr w14:paraId="030A52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continue"/>
            <w:vAlign w:val="center"/>
          </w:tcPr>
          <w:p w14:paraId="317B021D">
            <w:pPr>
              <w:spacing w:line="240" w:lineRule="auto"/>
              <w:ind w:firstLine="0" w:firstLineChars="0"/>
              <w:jc w:val="center"/>
              <w:rPr>
                <w:sz w:val="21"/>
                <w:szCs w:val="20"/>
              </w:rPr>
            </w:pPr>
          </w:p>
        </w:tc>
        <w:tc>
          <w:tcPr>
            <w:tcW w:w="2874" w:type="dxa"/>
            <w:vAlign w:val="center"/>
          </w:tcPr>
          <w:p w14:paraId="570CEF98">
            <w:pPr>
              <w:spacing w:line="240" w:lineRule="auto"/>
              <w:ind w:firstLine="0" w:firstLineChars="0"/>
              <w:jc w:val="center"/>
              <w:rPr>
                <w:sz w:val="21"/>
                <w:szCs w:val="20"/>
              </w:rPr>
            </w:pPr>
            <w:r>
              <w:rPr>
                <w:rFonts w:hint="eastAsia"/>
                <w:sz w:val="21"/>
                <w:szCs w:val="20"/>
              </w:rPr>
              <w:t>沿岗河</w:t>
            </w:r>
          </w:p>
        </w:tc>
        <w:tc>
          <w:tcPr>
            <w:tcW w:w="2076" w:type="dxa"/>
            <w:vAlign w:val="center"/>
          </w:tcPr>
          <w:p w14:paraId="26508AFD">
            <w:pPr>
              <w:spacing w:line="240" w:lineRule="auto"/>
              <w:ind w:firstLine="0" w:firstLineChars="0"/>
              <w:jc w:val="center"/>
              <w:rPr>
                <w:sz w:val="21"/>
                <w:szCs w:val="20"/>
              </w:rPr>
            </w:pPr>
            <w:r>
              <w:rPr>
                <w:rFonts w:hint="eastAsia"/>
                <w:sz w:val="21"/>
                <w:szCs w:val="20"/>
              </w:rPr>
              <w:t>尾矿库</w:t>
            </w:r>
          </w:p>
        </w:tc>
        <w:tc>
          <w:tcPr>
            <w:tcW w:w="2076" w:type="dxa"/>
            <w:vAlign w:val="center"/>
          </w:tcPr>
          <w:p w14:paraId="7AF0CD8B">
            <w:pPr>
              <w:spacing w:line="240" w:lineRule="auto"/>
              <w:ind w:firstLine="0" w:firstLineChars="0"/>
              <w:jc w:val="center"/>
              <w:rPr>
                <w:sz w:val="21"/>
                <w:szCs w:val="20"/>
              </w:rPr>
            </w:pPr>
            <w:r>
              <w:rPr>
                <w:rFonts w:hint="eastAsia"/>
                <w:sz w:val="21"/>
                <w:szCs w:val="20"/>
              </w:rPr>
              <w:t>未变化</w:t>
            </w:r>
          </w:p>
        </w:tc>
      </w:tr>
      <w:tr w14:paraId="3EA8D9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restart"/>
            <w:vAlign w:val="center"/>
          </w:tcPr>
          <w:p w14:paraId="3E001604">
            <w:pPr>
              <w:spacing w:line="240" w:lineRule="auto"/>
              <w:ind w:firstLine="0" w:firstLineChars="0"/>
              <w:jc w:val="center"/>
              <w:rPr>
                <w:sz w:val="21"/>
                <w:szCs w:val="20"/>
              </w:rPr>
            </w:pPr>
            <w:r>
              <w:rPr>
                <w:rFonts w:hint="eastAsia"/>
                <w:sz w:val="21"/>
                <w:szCs w:val="20"/>
              </w:rPr>
              <w:t>地下水</w:t>
            </w:r>
          </w:p>
        </w:tc>
        <w:tc>
          <w:tcPr>
            <w:tcW w:w="2874" w:type="dxa"/>
            <w:vAlign w:val="center"/>
          </w:tcPr>
          <w:p w14:paraId="245966BB">
            <w:pPr>
              <w:spacing w:line="240" w:lineRule="auto"/>
              <w:ind w:firstLine="0" w:firstLineChars="0"/>
              <w:jc w:val="center"/>
              <w:rPr>
                <w:sz w:val="21"/>
                <w:szCs w:val="20"/>
              </w:rPr>
            </w:pPr>
            <w:r>
              <w:rPr>
                <w:rFonts w:hint="eastAsia"/>
                <w:sz w:val="21"/>
                <w:szCs w:val="20"/>
              </w:rPr>
              <w:t>周边村民自备水井</w:t>
            </w:r>
          </w:p>
        </w:tc>
        <w:tc>
          <w:tcPr>
            <w:tcW w:w="2076" w:type="dxa"/>
            <w:vAlign w:val="center"/>
          </w:tcPr>
          <w:p w14:paraId="14C6E529">
            <w:pPr>
              <w:spacing w:line="240" w:lineRule="auto"/>
              <w:ind w:firstLine="0" w:firstLineChars="0"/>
              <w:jc w:val="center"/>
              <w:rPr>
                <w:sz w:val="21"/>
                <w:szCs w:val="20"/>
              </w:rPr>
            </w:pPr>
            <w:r>
              <w:rPr>
                <w:rFonts w:hint="eastAsia"/>
                <w:sz w:val="21"/>
                <w:szCs w:val="20"/>
              </w:rPr>
              <w:t>采选工业场地</w:t>
            </w:r>
          </w:p>
        </w:tc>
        <w:tc>
          <w:tcPr>
            <w:tcW w:w="2076" w:type="dxa"/>
            <w:vAlign w:val="center"/>
          </w:tcPr>
          <w:p w14:paraId="2D52057A">
            <w:pPr>
              <w:spacing w:line="240" w:lineRule="auto"/>
              <w:ind w:firstLine="0" w:firstLineChars="0"/>
              <w:jc w:val="center"/>
              <w:rPr>
                <w:sz w:val="21"/>
                <w:szCs w:val="20"/>
              </w:rPr>
            </w:pPr>
            <w:r>
              <w:rPr>
                <w:rFonts w:hint="eastAsia"/>
                <w:sz w:val="21"/>
                <w:szCs w:val="20"/>
              </w:rPr>
              <w:t>未变化</w:t>
            </w:r>
          </w:p>
        </w:tc>
      </w:tr>
      <w:tr w14:paraId="52971A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continue"/>
            <w:vAlign w:val="center"/>
          </w:tcPr>
          <w:p w14:paraId="6EBC8926">
            <w:pPr>
              <w:spacing w:line="240" w:lineRule="auto"/>
              <w:ind w:firstLine="0" w:firstLineChars="0"/>
              <w:jc w:val="center"/>
              <w:rPr>
                <w:sz w:val="21"/>
                <w:szCs w:val="20"/>
              </w:rPr>
            </w:pPr>
          </w:p>
        </w:tc>
        <w:tc>
          <w:tcPr>
            <w:tcW w:w="2874" w:type="dxa"/>
            <w:vAlign w:val="center"/>
          </w:tcPr>
          <w:p w14:paraId="51E657E9">
            <w:pPr>
              <w:spacing w:line="240" w:lineRule="auto"/>
              <w:ind w:firstLine="0" w:firstLineChars="0"/>
              <w:jc w:val="center"/>
              <w:rPr>
                <w:sz w:val="21"/>
                <w:szCs w:val="20"/>
              </w:rPr>
            </w:pPr>
            <w:r>
              <w:rPr>
                <w:rFonts w:hint="eastAsia"/>
                <w:sz w:val="21"/>
                <w:szCs w:val="20"/>
              </w:rPr>
              <w:t>周边村民自备水井</w:t>
            </w:r>
          </w:p>
        </w:tc>
        <w:tc>
          <w:tcPr>
            <w:tcW w:w="2076" w:type="dxa"/>
            <w:vAlign w:val="center"/>
          </w:tcPr>
          <w:p w14:paraId="0CC76F12">
            <w:pPr>
              <w:spacing w:line="240" w:lineRule="auto"/>
              <w:ind w:firstLine="0" w:firstLineChars="0"/>
              <w:jc w:val="center"/>
              <w:rPr>
                <w:sz w:val="21"/>
                <w:szCs w:val="20"/>
              </w:rPr>
            </w:pPr>
            <w:r>
              <w:rPr>
                <w:rFonts w:hint="eastAsia"/>
                <w:sz w:val="21"/>
                <w:szCs w:val="20"/>
              </w:rPr>
              <w:t>尾矿库</w:t>
            </w:r>
          </w:p>
        </w:tc>
        <w:tc>
          <w:tcPr>
            <w:tcW w:w="2076" w:type="dxa"/>
            <w:vAlign w:val="center"/>
          </w:tcPr>
          <w:p w14:paraId="59FCCED1">
            <w:pPr>
              <w:spacing w:line="240" w:lineRule="auto"/>
              <w:ind w:firstLine="0" w:firstLineChars="0"/>
              <w:jc w:val="center"/>
              <w:rPr>
                <w:sz w:val="21"/>
                <w:szCs w:val="20"/>
              </w:rPr>
            </w:pPr>
            <w:r>
              <w:rPr>
                <w:rFonts w:hint="eastAsia"/>
                <w:sz w:val="21"/>
                <w:szCs w:val="20"/>
              </w:rPr>
              <w:t>未变化</w:t>
            </w:r>
          </w:p>
        </w:tc>
      </w:tr>
      <w:tr w14:paraId="038486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restart"/>
            <w:vAlign w:val="center"/>
          </w:tcPr>
          <w:p w14:paraId="09E02333">
            <w:pPr>
              <w:spacing w:line="240" w:lineRule="auto"/>
              <w:ind w:firstLine="0" w:firstLineChars="0"/>
              <w:jc w:val="center"/>
              <w:rPr>
                <w:sz w:val="21"/>
                <w:szCs w:val="20"/>
              </w:rPr>
            </w:pPr>
            <w:r>
              <w:rPr>
                <w:rFonts w:hint="eastAsia"/>
                <w:sz w:val="21"/>
                <w:szCs w:val="20"/>
              </w:rPr>
              <w:t>声环境</w:t>
            </w:r>
          </w:p>
        </w:tc>
        <w:tc>
          <w:tcPr>
            <w:tcW w:w="2874" w:type="dxa"/>
            <w:vAlign w:val="center"/>
          </w:tcPr>
          <w:p w14:paraId="76B323AE">
            <w:pPr>
              <w:spacing w:line="240" w:lineRule="auto"/>
              <w:ind w:firstLine="0" w:firstLineChars="0"/>
              <w:jc w:val="center"/>
              <w:rPr>
                <w:sz w:val="21"/>
                <w:szCs w:val="20"/>
              </w:rPr>
            </w:pPr>
            <w:r>
              <w:rPr>
                <w:rFonts w:hint="eastAsia"/>
                <w:sz w:val="21"/>
                <w:szCs w:val="20"/>
              </w:rPr>
              <w:t>周边200m范围内居民点</w:t>
            </w:r>
          </w:p>
        </w:tc>
        <w:tc>
          <w:tcPr>
            <w:tcW w:w="2076" w:type="dxa"/>
            <w:vAlign w:val="center"/>
          </w:tcPr>
          <w:p w14:paraId="516CC757">
            <w:pPr>
              <w:spacing w:line="240" w:lineRule="auto"/>
              <w:ind w:firstLine="0" w:firstLineChars="0"/>
              <w:jc w:val="center"/>
              <w:rPr>
                <w:sz w:val="21"/>
                <w:szCs w:val="20"/>
              </w:rPr>
            </w:pPr>
            <w:r>
              <w:rPr>
                <w:rFonts w:hint="eastAsia"/>
                <w:sz w:val="21"/>
                <w:szCs w:val="20"/>
              </w:rPr>
              <w:t>联合副井</w:t>
            </w:r>
          </w:p>
        </w:tc>
        <w:tc>
          <w:tcPr>
            <w:tcW w:w="2076" w:type="dxa"/>
            <w:vAlign w:val="center"/>
          </w:tcPr>
          <w:p w14:paraId="55283BA2">
            <w:pPr>
              <w:spacing w:line="240" w:lineRule="auto"/>
              <w:ind w:firstLine="0" w:firstLineChars="0"/>
              <w:jc w:val="center"/>
              <w:rPr>
                <w:sz w:val="21"/>
                <w:szCs w:val="20"/>
              </w:rPr>
            </w:pPr>
            <w:r>
              <w:rPr>
                <w:rFonts w:hint="eastAsia"/>
                <w:sz w:val="21"/>
                <w:szCs w:val="20"/>
              </w:rPr>
              <w:t>未变化</w:t>
            </w:r>
          </w:p>
        </w:tc>
      </w:tr>
      <w:tr w14:paraId="6363B7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continue"/>
            <w:vAlign w:val="center"/>
          </w:tcPr>
          <w:p w14:paraId="0E7EE343">
            <w:pPr>
              <w:spacing w:line="240" w:lineRule="auto"/>
              <w:ind w:firstLine="0" w:firstLineChars="0"/>
              <w:jc w:val="center"/>
              <w:rPr>
                <w:sz w:val="21"/>
                <w:szCs w:val="20"/>
              </w:rPr>
            </w:pPr>
          </w:p>
        </w:tc>
        <w:tc>
          <w:tcPr>
            <w:tcW w:w="2874" w:type="dxa"/>
            <w:vAlign w:val="center"/>
          </w:tcPr>
          <w:p w14:paraId="34E1392A">
            <w:pPr>
              <w:spacing w:line="240" w:lineRule="auto"/>
              <w:ind w:firstLine="0" w:firstLineChars="0"/>
              <w:jc w:val="center"/>
              <w:rPr>
                <w:sz w:val="21"/>
                <w:szCs w:val="20"/>
              </w:rPr>
            </w:pPr>
            <w:r>
              <w:rPr>
                <w:rFonts w:hint="eastAsia"/>
                <w:sz w:val="21"/>
                <w:szCs w:val="20"/>
              </w:rPr>
              <w:t>周边200m范围内居民点</w:t>
            </w:r>
          </w:p>
        </w:tc>
        <w:tc>
          <w:tcPr>
            <w:tcW w:w="2076" w:type="dxa"/>
            <w:vAlign w:val="center"/>
          </w:tcPr>
          <w:p w14:paraId="3F5AC019">
            <w:pPr>
              <w:spacing w:line="240" w:lineRule="auto"/>
              <w:ind w:firstLine="0" w:firstLineChars="0"/>
              <w:jc w:val="center"/>
              <w:rPr>
                <w:sz w:val="21"/>
                <w:szCs w:val="20"/>
              </w:rPr>
            </w:pPr>
            <w:r>
              <w:rPr>
                <w:rFonts w:hint="eastAsia"/>
                <w:sz w:val="21"/>
                <w:szCs w:val="20"/>
              </w:rPr>
              <w:t>采选工业场地</w:t>
            </w:r>
          </w:p>
        </w:tc>
        <w:tc>
          <w:tcPr>
            <w:tcW w:w="2076" w:type="dxa"/>
            <w:vAlign w:val="center"/>
          </w:tcPr>
          <w:p w14:paraId="17884FA2">
            <w:pPr>
              <w:spacing w:line="240" w:lineRule="auto"/>
              <w:ind w:firstLine="0" w:firstLineChars="0"/>
              <w:jc w:val="center"/>
              <w:rPr>
                <w:sz w:val="21"/>
                <w:szCs w:val="20"/>
              </w:rPr>
            </w:pPr>
            <w:r>
              <w:rPr>
                <w:rFonts w:hint="eastAsia"/>
                <w:sz w:val="21"/>
                <w:szCs w:val="20"/>
              </w:rPr>
              <w:t>未变化</w:t>
            </w:r>
          </w:p>
        </w:tc>
      </w:tr>
      <w:tr w14:paraId="327805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continue"/>
            <w:vAlign w:val="center"/>
          </w:tcPr>
          <w:p w14:paraId="45B840A3">
            <w:pPr>
              <w:spacing w:line="240" w:lineRule="auto"/>
              <w:ind w:firstLine="0" w:firstLineChars="0"/>
              <w:jc w:val="center"/>
              <w:rPr>
                <w:sz w:val="21"/>
                <w:szCs w:val="20"/>
              </w:rPr>
            </w:pPr>
          </w:p>
        </w:tc>
        <w:tc>
          <w:tcPr>
            <w:tcW w:w="2874" w:type="dxa"/>
            <w:vAlign w:val="center"/>
          </w:tcPr>
          <w:p w14:paraId="48949537">
            <w:pPr>
              <w:spacing w:line="240" w:lineRule="auto"/>
              <w:ind w:firstLine="0" w:firstLineChars="0"/>
              <w:jc w:val="center"/>
              <w:rPr>
                <w:sz w:val="21"/>
                <w:szCs w:val="20"/>
              </w:rPr>
            </w:pPr>
            <w:r>
              <w:rPr>
                <w:rFonts w:hint="eastAsia"/>
                <w:sz w:val="21"/>
                <w:szCs w:val="20"/>
              </w:rPr>
              <w:t>周边200m范围内居民点</w:t>
            </w:r>
          </w:p>
        </w:tc>
        <w:tc>
          <w:tcPr>
            <w:tcW w:w="2076" w:type="dxa"/>
            <w:vAlign w:val="center"/>
          </w:tcPr>
          <w:p w14:paraId="072D3D52">
            <w:pPr>
              <w:spacing w:line="240" w:lineRule="auto"/>
              <w:ind w:firstLine="0" w:firstLineChars="0"/>
              <w:jc w:val="center"/>
              <w:rPr>
                <w:sz w:val="21"/>
                <w:szCs w:val="20"/>
              </w:rPr>
            </w:pPr>
            <w:r>
              <w:rPr>
                <w:rFonts w:hint="eastAsia"/>
                <w:sz w:val="21"/>
                <w:szCs w:val="20"/>
              </w:rPr>
              <w:t>尾矿库</w:t>
            </w:r>
          </w:p>
        </w:tc>
        <w:tc>
          <w:tcPr>
            <w:tcW w:w="2076" w:type="dxa"/>
            <w:vAlign w:val="center"/>
          </w:tcPr>
          <w:p w14:paraId="6D961A33">
            <w:pPr>
              <w:spacing w:line="240" w:lineRule="auto"/>
              <w:ind w:firstLine="0" w:firstLineChars="0"/>
              <w:jc w:val="center"/>
              <w:rPr>
                <w:sz w:val="21"/>
                <w:szCs w:val="20"/>
              </w:rPr>
            </w:pPr>
            <w:r>
              <w:rPr>
                <w:rFonts w:hint="eastAsia"/>
                <w:sz w:val="21"/>
                <w:szCs w:val="20"/>
              </w:rPr>
              <w:t>未变化</w:t>
            </w:r>
          </w:p>
        </w:tc>
      </w:tr>
      <w:tr w14:paraId="4FDD13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Align w:val="center"/>
          </w:tcPr>
          <w:p w14:paraId="7804D054">
            <w:pPr>
              <w:spacing w:line="240" w:lineRule="auto"/>
              <w:ind w:firstLine="0" w:firstLineChars="0"/>
              <w:jc w:val="center"/>
              <w:rPr>
                <w:sz w:val="21"/>
                <w:szCs w:val="20"/>
              </w:rPr>
            </w:pPr>
            <w:r>
              <w:rPr>
                <w:rFonts w:hint="eastAsia"/>
                <w:sz w:val="21"/>
                <w:szCs w:val="20"/>
              </w:rPr>
              <w:t>环境风险</w:t>
            </w:r>
          </w:p>
        </w:tc>
        <w:tc>
          <w:tcPr>
            <w:tcW w:w="2874" w:type="dxa"/>
            <w:vAlign w:val="center"/>
          </w:tcPr>
          <w:p w14:paraId="6BB913D5">
            <w:pPr>
              <w:spacing w:line="240" w:lineRule="auto"/>
              <w:ind w:firstLine="0" w:firstLineChars="0"/>
              <w:jc w:val="center"/>
              <w:rPr>
                <w:sz w:val="21"/>
                <w:szCs w:val="20"/>
              </w:rPr>
            </w:pPr>
            <w:r>
              <w:rPr>
                <w:rFonts w:hint="eastAsia"/>
                <w:sz w:val="21"/>
                <w:szCs w:val="20"/>
              </w:rPr>
              <w:t>周边1km范围内居民点</w:t>
            </w:r>
          </w:p>
        </w:tc>
        <w:tc>
          <w:tcPr>
            <w:tcW w:w="2076" w:type="dxa"/>
            <w:vAlign w:val="center"/>
          </w:tcPr>
          <w:p w14:paraId="363AD32E">
            <w:pPr>
              <w:spacing w:line="240" w:lineRule="auto"/>
              <w:ind w:firstLine="0" w:firstLineChars="0"/>
              <w:jc w:val="center"/>
              <w:rPr>
                <w:sz w:val="21"/>
                <w:szCs w:val="20"/>
              </w:rPr>
            </w:pPr>
            <w:r>
              <w:rPr>
                <w:rFonts w:hint="eastAsia"/>
                <w:sz w:val="21"/>
                <w:szCs w:val="20"/>
              </w:rPr>
              <w:t>尾矿库</w:t>
            </w:r>
          </w:p>
        </w:tc>
        <w:tc>
          <w:tcPr>
            <w:tcW w:w="2076" w:type="dxa"/>
            <w:vAlign w:val="center"/>
          </w:tcPr>
          <w:p w14:paraId="09C46ED8">
            <w:pPr>
              <w:spacing w:line="240" w:lineRule="auto"/>
              <w:ind w:firstLine="0" w:firstLineChars="0"/>
              <w:jc w:val="center"/>
              <w:rPr>
                <w:sz w:val="21"/>
                <w:szCs w:val="20"/>
              </w:rPr>
            </w:pPr>
            <w:r>
              <w:rPr>
                <w:rFonts w:hint="eastAsia"/>
                <w:sz w:val="21"/>
                <w:szCs w:val="20"/>
              </w:rPr>
              <w:t>未变化</w:t>
            </w:r>
          </w:p>
        </w:tc>
      </w:tr>
    </w:tbl>
    <w:p w14:paraId="42D286CA">
      <w:pPr>
        <w:pStyle w:val="3"/>
      </w:pPr>
      <w:bookmarkStart w:id="38" w:name="_Toc85213503"/>
      <w:r>
        <w:rPr>
          <w:rFonts w:hint="eastAsia"/>
        </w:rPr>
        <w:t>4.3</w:t>
      </w:r>
      <w:r>
        <w:t xml:space="preserve"> </w:t>
      </w:r>
      <w:r>
        <w:rPr>
          <w:rFonts w:hint="eastAsia"/>
        </w:rPr>
        <w:t>污染源变化</w:t>
      </w:r>
      <w:bookmarkEnd w:id="38"/>
    </w:p>
    <w:p w14:paraId="2466C5F8">
      <w:pPr>
        <w:pStyle w:val="4"/>
      </w:pPr>
      <w:r>
        <w:rPr>
          <w:rFonts w:hint="eastAsia"/>
        </w:rPr>
        <w:t>4.3.1</w:t>
      </w:r>
      <w:r>
        <w:t xml:space="preserve"> </w:t>
      </w:r>
      <w:r>
        <w:rPr>
          <w:rFonts w:hint="eastAsia"/>
        </w:rPr>
        <w:t>废气污染源变化</w:t>
      </w:r>
    </w:p>
    <w:p w14:paraId="3CDDE909">
      <w:pPr>
        <w:ind w:firstLine="480"/>
      </w:pPr>
      <w:r>
        <w:rPr>
          <w:rFonts w:hint="eastAsia"/>
        </w:rPr>
        <w:t>与环评及验收阶段相比，废气污染源强发生如下变化：</w:t>
      </w:r>
      <w:r>
        <w:t>燃煤锅炉停止使用，无锅炉废气排放。</w:t>
      </w:r>
    </w:p>
    <w:p w14:paraId="2C5E26C5">
      <w:pPr>
        <w:ind w:firstLine="480"/>
      </w:pPr>
      <w:r>
        <w:t>（1）采矿工程废气</w:t>
      </w:r>
    </w:p>
    <w:p w14:paraId="3124BDE8">
      <w:pPr>
        <w:ind w:firstLine="480"/>
      </w:pPr>
      <w:r>
        <w:t>采矿工程粉尘产生的生产环节主要有：井下采场的凿岩、爆破、铲装、放矿过程中产生的粉尘；井下粗破碎硐室破碎机作业过程中产生的粉尘；井下运输车辆排放的汽车尾气。</w:t>
      </w:r>
    </w:p>
    <w:p w14:paraId="699649E4">
      <w:pPr>
        <w:ind w:firstLine="480"/>
        <w:rPr>
          <w:snapToGrid w:val="0"/>
          <w:kern w:val="0"/>
        </w:rPr>
      </w:pPr>
      <w:r>
        <w:t>后评价阶段采矿规模未发生变化，采矿粉尘产生量也未发生变化。根据项目周边环境质量现状监测数</w:t>
      </w:r>
      <w:r>
        <w:rPr>
          <w:snapToGrid w:val="0"/>
          <w:kern w:val="0"/>
        </w:rPr>
        <w:t>据，项目周边敏感点环境质量满足标准要求，采矿废气对周边敏感点不产生明显影响。</w:t>
      </w:r>
    </w:p>
    <w:p w14:paraId="459D9D26">
      <w:pPr>
        <w:adjustRightInd w:val="0"/>
        <w:snapToGrid w:val="0"/>
        <w:spacing w:line="490" w:lineRule="exact"/>
        <w:ind w:firstLine="480"/>
        <w:rPr>
          <w:snapToGrid w:val="0"/>
          <w:kern w:val="0"/>
        </w:rPr>
      </w:pPr>
      <w:r>
        <w:rPr>
          <w:snapToGrid w:val="0"/>
          <w:kern w:val="0"/>
        </w:rPr>
        <w:t>（2）选厂粉尘</w:t>
      </w:r>
    </w:p>
    <w:p w14:paraId="1C8C25E8">
      <w:pPr>
        <w:adjustRightInd w:val="0"/>
        <w:snapToGrid w:val="0"/>
        <w:spacing w:line="490" w:lineRule="exact"/>
        <w:ind w:firstLine="480"/>
        <w:rPr>
          <w:snapToGrid w:val="0"/>
          <w:kern w:val="0"/>
        </w:rPr>
      </w:pPr>
      <w:r>
        <w:rPr>
          <w:snapToGrid w:val="0"/>
          <w:kern w:val="0"/>
        </w:rPr>
        <w:t>选矿粉尘主要为干抛车间、中细碎车间、筛分车间等生产过程中产生的粉尘。 除尘设施改造后，选厂粉尘排放量降低，对大气环境的影响减小。</w:t>
      </w:r>
    </w:p>
    <w:p w14:paraId="06C4C59D">
      <w:pPr>
        <w:adjustRightInd w:val="0"/>
        <w:snapToGrid w:val="0"/>
        <w:spacing w:line="490" w:lineRule="exact"/>
        <w:ind w:firstLine="480"/>
        <w:rPr>
          <w:snapToGrid w:val="0"/>
          <w:kern w:val="0"/>
        </w:rPr>
      </w:pPr>
      <w:r>
        <w:rPr>
          <w:snapToGrid w:val="0"/>
          <w:kern w:val="0"/>
        </w:rPr>
        <w:t>（3）尾矿库扬</w:t>
      </w:r>
      <w:r>
        <w:rPr>
          <w:rFonts w:hint="eastAsia"/>
          <w:snapToGrid w:val="0"/>
          <w:kern w:val="0"/>
        </w:rPr>
        <w:t>尘</w:t>
      </w:r>
    </w:p>
    <w:p w14:paraId="6C9D8070">
      <w:pPr>
        <w:adjustRightInd w:val="0"/>
        <w:snapToGrid w:val="0"/>
        <w:spacing w:line="490" w:lineRule="exact"/>
        <w:ind w:firstLine="480"/>
        <w:rPr>
          <w:snapToGrid w:val="0"/>
          <w:kern w:val="0"/>
        </w:rPr>
      </w:pPr>
      <w:r>
        <w:rPr>
          <w:snapToGrid w:val="0"/>
          <w:kern w:val="0"/>
        </w:rPr>
        <w:t>主要是尾矿库尾砂干坡段大风天气产生的风力扬尘。与原环评及验收一致。</w:t>
      </w:r>
    </w:p>
    <w:p w14:paraId="71553C39">
      <w:pPr>
        <w:adjustRightInd w:val="0"/>
        <w:snapToGrid w:val="0"/>
        <w:spacing w:line="490" w:lineRule="exact"/>
        <w:ind w:firstLine="480"/>
        <w:rPr>
          <w:snapToGrid w:val="0"/>
          <w:kern w:val="0"/>
        </w:rPr>
      </w:pPr>
      <w:r>
        <w:rPr>
          <w:snapToGrid w:val="0"/>
          <w:kern w:val="0"/>
        </w:rPr>
        <w:t>（4）实验室废气</w:t>
      </w:r>
    </w:p>
    <w:p w14:paraId="68B2B3D0">
      <w:pPr>
        <w:spacing w:before="167" w:line="375" w:lineRule="auto"/>
        <w:ind w:left="9" w:right="21" w:firstLine="480"/>
        <w:rPr>
          <w:snapToGrid w:val="0"/>
          <w:kern w:val="0"/>
        </w:rPr>
      </w:pPr>
      <w:r>
        <w:rPr>
          <w:snapToGrid w:val="0"/>
          <w:kern w:val="0"/>
        </w:rPr>
        <w:t>环评及验收未提及，实际生产中实验室会产生废气，但产生量较少，</w:t>
      </w:r>
      <w:r>
        <w:rPr>
          <w:rFonts w:cs="Times New Roman"/>
          <w:spacing w:val="9"/>
          <w:szCs w:val="24"/>
        </w:rPr>
        <w:t>对环境影响较小，</w:t>
      </w:r>
      <w:r>
        <w:rPr>
          <w:rFonts w:hint="eastAsia" w:cs="Times New Roman"/>
          <w:spacing w:val="9"/>
          <w:szCs w:val="24"/>
        </w:rPr>
        <w:t>经活性炭吸附后排放</w:t>
      </w:r>
      <w:r>
        <w:rPr>
          <w:snapToGrid w:val="0"/>
          <w:kern w:val="0"/>
        </w:rPr>
        <w:t>。</w:t>
      </w:r>
    </w:p>
    <w:p w14:paraId="4178E8EE">
      <w:pPr>
        <w:pStyle w:val="4"/>
      </w:pPr>
      <w:r>
        <w:rPr>
          <w:rFonts w:hint="eastAsia"/>
        </w:rPr>
        <w:t>4.3.2</w:t>
      </w:r>
      <w:r>
        <w:t xml:space="preserve"> </w:t>
      </w:r>
      <w:r>
        <w:rPr>
          <w:rFonts w:hint="eastAsia"/>
        </w:rPr>
        <w:t>废水污染源变化</w:t>
      </w:r>
    </w:p>
    <w:p w14:paraId="581A4852">
      <w:pPr>
        <w:adjustRightInd w:val="0"/>
        <w:snapToGrid w:val="0"/>
        <w:spacing w:line="490" w:lineRule="exact"/>
        <w:ind w:firstLine="480"/>
        <w:rPr>
          <w:snapToGrid w:val="0"/>
          <w:kern w:val="0"/>
        </w:rPr>
      </w:pPr>
      <w:r>
        <w:rPr>
          <w:snapToGrid w:val="0"/>
          <w:kern w:val="0"/>
        </w:rPr>
        <w:t>与环评及验收阶段相比，废水污染源发生变化，锅炉已停用，不产生锅炉系统排污水。废水均在厂区内综合利用，不外排。</w:t>
      </w:r>
    </w:p>
    <w:p w14:paraId="035548DC">
      <w:pPr>
        <w:adjustRightInd w:val="0"/>
        <w:snapToGrid w:val="0"/>
        <w:spacing w:line="490" w:lineRule="exact"/>
        <w:ind w:firstLine="480"/>
        <w:rPr>
          <w:snapToGrid w:val="0"/>
          <w:kern w:val="0"/>
        </w:rPr>
      </w:pPr>
      <w:r>
        <w:rPr>
          <w:snapToGrid w:val="0"/>
          <w:kern w:val="0"/>
        </w:rPr>
        <w:t>（1）井下排水</w:t>
      </w:r>
    </w:p>
    <w:p w14:paraId="79D8D5F1">
      <w:pPr>
        <w:adjustRightInd w:val="0"/>
        <w:snapToGrid w:val="0"/>
        <w:spacing w:line="490" w:lineRule="exact"/>
        <w:ind w:firstLine="480"/>
        <w:rPr>
          <w:snapToGrid w:val="0"/>
          <w:kern w:val="0"/>
        </w:rPr>
      </w:pPr>
      <w:r>
        <w:rPr>
          <w:snapToGrid w:val="0"/>
          <w:kern w:val="0"/>
        </w:rPr>
        <w:t>主要来自于井下涌水、井下洒水、充填尾矿携带水。与原环评及验收一致。</w:t>
      </w:r>
    </w:p>
    <w:p w14:paraId="0E947D56">
      <w:pPr>
        <w:adjustRightInd w:val="0"/>
        <w:snapToGrid w:val="0"/>
        <w:spacing w:line="490" w:lineRule="exact"/>
        <w:ind w:firstLine="480"/>
        <w:rPr>
          <w:snapToGrid w:val="0"/>
          <w:kern w:val="0"/>
        </w:rPr>
      </w:pPr>
      <w:r>
        <w:rPr>
          <w:snapToGrid w:val="0"/>
          <w:kern w:val="0"/>
        </w:rPr>
        <w:t>（2）选矿系统水</w:t>
      </w:r>
    </w:p>
    <w:p w14:paraId="7198FD51">
      <w:pPr>
        <w:adjustRightInd w:val="0"/>
        <w:snapToGrid w:val="0"/>
        <w:spacing w:line="490" w:lineRule="exact"/>
        <w:ind w:firstLine="480"/>
        <w:rPr>
          <w:snapToGrid w:val="0"/>
          <w:kern w:val="0"/>
        </w:rPr>
      </w:pPr>
      <w:r>
        <w:rPr>
          <w:snapToGrid w:val="0"/>
          <w:kern w:val="0"/>
        </w:rPr>
        <w:t>选矿系统污水主要来自于选矿厂浓密池溢流水、除尘和冲洗地面废水、尾矿库溢流澄清水。与原环评及验收一致。</w:t>
      </w:r>
    </w:p>
    <w:p w14:paraId="153B0BA8">
      <w:pPr>
        <w:adjustRightInd w:val="0"/>
        <w:snapToGrid w:val="0"/>
        <w:spacing w:line="490" w:lineRule="exact"/>
        <w:ind w:firstLine="480"/>
        <w:rPr>
          <w:snapToGrid w:val="0"/>
          <w:kern w:val="0"/>
        </w:rPr>
      </w:pPr>
      <w:r>
        <w:rPr>
          <w:snapToGrid w:val="0"/>
          <w:kern w:val="0"/>
        </w:rPr>
        <w:t>（3）充填系统排水</w:t>
      </w:r>
    </w:p>
    <w:p w14:paraId="153AEFFF">
      <w:pPr>
        <w:adjustRightInd w:val="0"/>
        <w:snapToGrid w:val="0"/>
        <w:spacing w:line="490" w:lineRule="exact"/>
        <w:ind w:firstLine="480"/>
        <w:rPr>
          <w:snapToGrid w:val="0"/>
          <w:kern w:val="0"/>
        </w:rPr>
      </w:pPr>
      <w:r>
        <w:rPr>
          <w:snapToGrid w:val="0"/>
          <w:kern w:val="0"/>
        </w:rPr>
        <w:t>充填系统污水主要来自于充填站冲洗地面水、空压机冷却水、生活用水、过滤机。与原环评及验收一致。</w:t>
      </w:r>
    </w:p>
    <w:p w14:paraId="1115B373">
      <w:pPr>
        <w:adjustRightInd w:val="0"/>
        <w:snapToGrid w:val="0"/>
        <w:spacing w:line="490" w:lineRule="exact"/>
        <w:ind w:firstLine="480"/>
        <w:rPr>
          <w:snapToGrid w:val="0"/>
          <w:kern w:val="0"/>
        </w:rPr>
      </w:pPr>
      <w:r>
        <w:rPr>
          <w:snapToGrid w:val="0"/>
          <w:kern w:val="0"/>
        </w:rPr>
        <w:t>（4）工业场地生活污水</w:t>
      </w:r>
    </w:p>
    <w:p w14:paraId="089203E5">
      <w:pPr>
        <w:adjustRightInd w:val="0"/>
        <w:snapToGrid w:val="0"/>
        <w:spacing w:line="490" w:lineRule="exact"/>
        <w:ind w:firstLine="480"/>
        <w:rPr>
          <w:snapToGrid w:val="0"/>
          <w:kern w:val="0"/>
        </w:rPr>
      </w:pPr>
      <w:r>
        <w:rPr>
          <w:snapToGrid w:val="0"/>
          <w:kern w:val="0"/>
        </w:rPr>
        <w:t>工业场地主要为生活污水；南、北辅助提升井生活污水每天的产生量很小。与原环评及验收一致。</w:t>
      </w:r>
    </w:p>
    <w:p w14:paraId="64AC15BF">
      <w:pPr>
        <w:adjustRightInd w:val="0"/>
        <w:snapToGrid w:val="0"/>
        <w:spacing w:line="490" w:lineRule="exact"/>
        <w:ind w:firstLine="480"/>
        <w:rPr>
          <w:snapToGrid w:val="0"/>
          <w:kern w:val="0"/>
        </w:rPr>
      </w:pPr>
      <w:r>
        <w:rPr>
          <w:snapToGrid w:val="0"/>
          <w:kern w:val="0"/>
        </w:rPr>
        <w:t>（5）尾矿事故跑矿产生的废水</w:t>
      </w:r>
    </w:p>
    <w:p w14:paraId="3D4C0383">
      <w:pPr>
        <w:adjustRightInd w:val="0"/>
        <w:snapToGrid w:val="0"/>
        <w:spacing w:line="490" w:lineRule="exact"/>
        <w:ind w:firstLine="480"/>
        <w:rPr>
          <w:snapToGrid w:val="0"/>
          <w:kern w:val="0"/>
        </w:rPr>
      </w:pPr>
      <w:r>
        <w:rPr>
          <w:snapToGrid w:val="0"/>
          <w:kern w:val="0"/>
        </w:rPr>
        <w:t>输送尾矿管道磨损破裂跑矿，本工程管道输送包括厂外输送和厂内输送两部分，对环境可能发生影响的主要是厂外输送。与原环评及验收一致。</w:t>
      </w:r>
    </w:p>
    <w:p w14:paraId="673213D6">
      <w:pPr>
        <w:pStyle w:val="4"/>
      </w:pPr>
      <w:r>
        <w:rPr>
          <w:rFonts w:hint="eastAsia"/>
        </w:rPr>
        <w:t>4.3.3</w:t>
      </w:r>
      <w:r>
        <w:t xml:space="preserve"> </w:t>
      </w:r>
      <w:r>
        <w:rPr>
          <w:rFonts w:hint="eastAsia"/>
        </w:rPr>
        <w:t>噪声污染源变化</w:t>
      </w:r>
    </w:p>
    <w:p w14:paraId="75861610">
      <w:pPr>
        <w:ind w:firstLine="480"/>
      </w:pPr>
      <w:r>
        <w:t>与环评及验收阶段相比，除尘设施的改造及锅炉的停用使噪声污染源发生变化，但变化较小。厂房对设备的隔声效果约为 10~15dB(A)。</w:t>
      </w:r>
    </w:p>
    <w:p w14:paraId="34094D8A">
      <w:pPr>
        <w:ind w:firstLine="480"/>
      </w:pPr>
      <w:r>
        <w:t>项目采用井下开采，开采生产过程中其主要噪声设备、设施均在井下，对地面环境影响较小，采矿地面产噪设备主要为空压机。</w:t>
      </w:r>
    </w:p>
    <w:p w14:paraId="79601156">
      <w:pPr>
        <w:ind w:firstLine="480"/>
      </w:pPr>
      <w:r>
        <w:t>选矿厂主要噪声污染源为中细碎、筛分、干抛、球磨等选矿设备。</w:t>
      </w:r>
    </w:p>
    <w:p w14:paraId="7A533E23">
      <w:pPr>
        <w:pStyle w:val="4"/>
      </w:pPr>
      <w:r>
        <w:rPr>
          <w:rFonts w:hint="eastAsia"/>
        </w:rPr>
        <w:t>4.3.4</w:t>
      </w:r>
      <w:r>
        <w:t xml:space="preserve"> </w:t>
      </w:r>
      <w:r>
        <w:rPr>
          <w:rFonts w:hint="eastAsia"/>
        </w:rPr>
        <w:t>固体废物污染源变化</w:t>
      </w:r>
    </w:p>
    <w:p w14:paraId="12F6604C">
      <w:pPr>
        <w:ind w:firstLine="480"/>
      </w:pPr>
      <w:r>
        <w:t>与环评阶段相比，固体废物污染源发生了变化，燃煤锅炉停止使用，锅炉灰渣不再产生。</w:t>
      </w:r>
    </w:p>
    <w:p w14:paraId="10D8ED93">
      <w:pPr>
        <w:ind w:firstLine="480"/>
      </w:pPr>
      <w:r>
        <w:t>后评价阶段固废产量选取 202</w:t>
      </w:r>
      <w:r>
        <w:rPr>
          <w:rFonts w:hint="eastAsia"/>
        </w:rPr>
        <w:t>3</w:t>
      </w:r>
      <w:r>
        <w:t xml:space="preserve"> 年为基准年。</w:t>
      </w:r>
    </w:p>
    <w:p w14:paraId="6D1EC916">
      <w:pPr>
        <w:ind w:firstLine="480"/>
      </w:pPr>
      <w:r>
        <w:t>（1）废石</w:t>
      </w:r>
    </w:p>
    <w:p w14:paraId="51154308">
      <w:pPr>
        <w:ind w:firstLine="480"/>
      </w:pPr>
      <w:r>
        <w:t>后评价阶段采掘废石、干选废石及湿抛废石全部外售给霍邱县建材企业供综合利用。</w:t>
      </w:r>
    </w:p>
    <w:p w14:paraId="37B9756E">
      <w:pPr>
        <w:ind w:firstLine="480"/>
      </w:pPr>
      <w:r>
        <w:t>（2）尾矿</w:t>
      </w:r>
    </w:p>
    <w:p w14:paraId="60DAC989">
      <w:pPr>
        <w:ind w:firstLine="480"/>
      </w:pPr>
      <w:r>
        <w:t>后评价阶段的尾砂产生量约 151.77 万 t/a，其中 151.05 万吨用于井下充填，0.72 万吨排放到尾矿库。</w:t>
      </w:r>
    </w:p>
    <w:p w14:paraId="44727F09">
      <w:pPr>
        <w:ind w:firstLine="480"/>
      </w:pPr>
      <w:r>
        <w:t>（3）废矿物油</w:t>
      </w:r>
    </w:p>
    <w:p w14:paraId="7780562E">
      <w:pPr>
        <w:ind w:firstLine="480"/>
      </w:pPr>
      <w:r>
        <w:t>项目环评及验收文件中未说明废矿物油，在实际生产中会产生废矿物油，根据 《国家危险废物名录》，废矿物油属于危险废物，废物类别为 HW08 废矿物油与含矿 物油废物，废物代码为 900-209-08、900-217-08</w:t>
      </w:r>
      <w:r>
        <w:rPr>
          <w:rFonts w:hint="eastAsia"/>
        </w:rPr>
        <w:t>。</w:t>
      </w:r>
      <w:r>
        <w:t>废矿物油存放在厂区危废暂存库内，并与危险处置单位安徽中久润滑油有限公司签订了处置协议。</w:t>
      </w:r>
    </w:p>
    <w:p w14:paraId="117721B8">
      <w:pPr>
        <w:ind w:firstLine="480"/>
      </w:pPr>
      <w:r>
        <w:t>（4）废包装桶</w:t>
      </w:r>
    </w:p>
    <w:p w14:paraId="22553ED3">
      <w:pPr>
        <w:ind w:firstLine="480"/>
      </w:pPr>
      <w:r>
        <w:t>项目环评及验收文件中未说明废包装桶，在实际生产中会产生废包装桶，包括废油桶、废填料剂桶等。根据《国家危险废物名录》，其属于危险废物，废物类别为 HW49 其他废物，废物代码为 900-041-49，废包装桶存放在厂区危废暂存库内，并与危险处置单位安徽嘉朋特环保科技服务有限公司签订了处置 协议。</w:t>
      </w:r>
    </w:p>
    <w:p w14:paraId="3B57FA39">
      <w:pPr>
        <w:ind w:firstLine="480"/>
      </w:pPr>
      <w:r>
        <w:t>（5）废化学试剂</w:t>
      </w:r>
    </w:p>
    <w:p w14:paraId="392720D1">
      <w:pPr>
        <w:ind w:firstLine="480"/>
      </w:pPr>
      <w:r>
        <w:t>项目环评及验收文件中未说明，在实际生产中会产生。根据《国家危险废物名录》，其属于危险废物，废物类别为 HW49 其他废物，废物代码为 900-047-49，废化学试剂暂存于危废暂存库内。</w:t>
      </w:r>
    </w:p>
    <w:p w14:paraId="2D22D00A">
      <w:pPr>
        <w:ind w:firstLine="480"/>
      </w:pPr>
      <w:r>
        <w:t>（6）废化学试剂瓶</w:t>
      </w:r>
    </w:p>
    <w:p w14:paraId="2B93C881">
      <w:pPr>
        <w:ind w:firstLine="480"/>
      </w:pPr>
      <w:r>
        <w:t>项目环评及验收文件中未说明，在实际生产中会产生。根据《国家危险废物名 录》，其属于危险废物，废物类别为 HW49 其他废物，废物代码为 900-041-49，产生量约为 0.15t/a，废化学试剂瓶暂存于危废暂存库内。</w:t>
      </w:r>
    </w:p>
    <w:p w14:paraId="5F7FD188">
      <w:pPr>
        <w:ind w:firstLine="480"/>
      </w:pPr>
      <w:r>
        <w:t>（7）生活垃圾</w:t>
      </w:r>
    </w:p>
    <w:p w14:paraId="105C7C8B">
      <w:pPr>
        <w:ind w:firstLine="480"/>
      </w:pPr>
      <w:r>
        <w:t>收集后定期运至当地环卫部门指定的生活垃圾</w:t>
      </w:r>
    </w:p>
    <w:p w14:paraId="29018DE3">
      <w:pPr>
        <w:keepNext/>
        <w:keepLines/>
        <w:spacing w:before="260" w:after="260" w:line="415" w:lineRule="auto"/>
        <w:ind w:firstLine="0" w:firstLineChars="0"/>
        <w:jc w:val="left"/>
        <w:outlineLvl w:val="1"/>
        <w:rPr>
          <w:rFonts w:cstheme="majorBidi"/>
          <w:b/>
          <w:bCs/>
          <w:sz w:val="32"/>
          <w:szCs w:val="32"/>
        </w:rPr>
      </w:pPr>
      <w:bookmarkStart w:id="39" w:name="_Toc57107405"/>
      <w:bookmarkStart w:id="40" w:name="_Toc85213504"/>
      <w:r>
        <w:rPr>
          <w:rFonts w:hint="eastAsia" w:cstheme="majorBidi"/>
          <w:b/>
          <w:bCs/>
          <w:sz w:val="32"/>
          <w:szCs w:val="32"/>
        </w:rPr>
        <w:t>4.4</w:t>
      </w:r>
      <w:r>
        <w:rPr>
          <w:rFonts w:cstheme="majorBidi"/>
          <w:b/>
          <w:bCs/>
          <w:sz w:val="32"/>
          <w:szCs w:val="32"/>
        </w:rPr>
        <w:t xml:space="preserve"> </w:t>
      </w:r>
      <w:r>
        <w:rPr>
          <w:rFonts w:hint="eastAsia" w:cstheme="majorBidi"/>
          <w:b/>
          <w:bCs/>
          <w:sz w:val="32"/>
          <w:szCs w:val="32"/>
        </w:rPr>
        <w:t>区域环境质量现状及变化分析</w:t>
      </w:r>
      <w:bookmarkEnd w:id="39"/>
      <w:bookmarkEnd w:id="40"/>
    </w:p>
    <w:p w14:paraId="3BAD1462">
      <w:pPr>
        <w:keepNext/>
        <w:keepLines/>
        <w:spacing w:before="260" w:after="260" w:line="415" w:lineRule="auto"/>
        <w:ind w:firstLine="0" w:firstLineChars="0"/>
        <w:jc w:val="left"/>
        <w:outlineLvl w:val="2"/>
        <w:rPr>
          <w:b/>
          <w:bCs/>
          <w:sz w:val="28"/>
          <w:szCs w:val="32"/>
        </w:rPr>
      </w:pPr>
      <w:r>
        <w:rPr>
          <w:rFonts w:hint="eastAsia"/>
          <w:b/>
          <w:bCs/>
          <w:sz w:val="28"/>
          <w:szCs w:val="32"/>
        </w:rPr>
        <w:t>4.4.1</w:t>
      </w:r>
      <w:r>
        <w:rPr>
          <w:b/>
          <w:bCs/>
          <w:sz w:val="28"/>
          <w:szCs w:val="32"/>
        </w:rPr>
        <w:t xml:space="preserve"> </w:t>
      </w:r>
      <w:r>
        <w:rPr>
          <w:rFonts w:hint="eastAsia"/>
          <w:b/>
          <w:bCs/>
          <w:sz w:val="28"/>
          <w:szCs w:val="32"/>
        </w:rPr>
        <w:t>环境空气质量现状及变化分析</w:t>
      </w:r>
    </w:p>
    <w:p w14:paraId="79F3C20C">
      <w:pPr>
        <w:keepNext/>
        <w:keepLines/>
        <w:ind w:firstLine="0" w:firstLineChars="0"/>
        <w:jc w:val="left"/>
        <w:outlineLvl w:val="3"/>
        <w:rPr>
          <w:rFonts w:cstheme="majorBidi"/>
          <w:b/>
          <w:bCs/>
          <w:sz w:val="28"/>
          <w:szCs w:val="28"/>
        </w:rPr>
      </w:pPr>
      <w:r>
        <w:rPr>
          <w:rFonts w:hint="eastAsia" w:cstheme="majorBidi"/>
          <w:b/>
          <w:bCs/>
          <w:sz w:val="28"/>
          <w:szCs w:val="28"/>
        </w:rPr>
        <w:t>4.4.1.1</w:t>
      </w:r>
      <w:r>
        <w:rPr>
          <w:rFonts w:cstheme="majorBidi"/>
          <w:b/>
          <w:bCs/>
          <w:sz w:val="28"/>
          <w:szCs w:val="28"/>
        </w:rPr>
        <w:t xml:space="preserve"> </w:t>
      </w:r>
      <w:r>
        <w:rPr>
          <w:rFonts w:hint="eastAsia" w:cstheme="majorBidi"/>
          <w:b/>
          <w:bCs/>
          <w:sz w:val="28"/>
          <w:szCs w:val="28"/>
        </w:rPr>
        <w:t>区域达标情况判定</w:t>
      </w:r>
    </w:p>
    <w:p w14:paraId="17684D62">
      <w:pPr>
        <w:ind w:firstLine="480"/>
      </w:pPr>
      <w:r>
        <w:rPr>
          <w:rFonts w:hint="eastAsia"/>
        </w:rPr>
        <w:t>根据《环境影响评价技术导则--大气环境》（HJ2.2-2018），项目所在区域达标情况判定优先采用国家或地方生态环境主管部门公开发布的环境质量公告或环境质量报告中的数据或结论。</w:t>
      </w:r>
    </w:p>
    <w:p w14:paraId="4044806C">
      <w:pPr>
        <w:ind w:firstLine="480"/>
      </w:pPr>
      <w:r>
        <w:t>本次评价六项基本污染物SO</w:t>
      </w:r>
      <w:r>
        <w:rPr>
          <w:vertAlign w:val="subscript"/>
        </w:rPr>
        <w:t>2</w:t>
      </w:r>
      <w:r>
        <w:t>、NO</w:t>
      </w:r>
      <w:r>
        <w:rPr>
          <w:vertAlign w:val="subscript"/>
        </w:rPr>
        <w:t>2</w:t>
      </w:r>
      <w:r>
        <w:t>、PM</w:t>
      </w:r>
      <w:r>
        <w:rPr>
          <w:vertAlign w:val="subscript"/>
        </w:rPr>
        <w:t>10</w:t>
      </w:r>
      <w:r>
        <w:t>、PM</w:t>
      </w:r>
      <w:r>
        <w:rPr>
          <w:vertAlign w:val="subscript"/>
        </w:rPr>
        <w:t>2.5</w:t>
      </w:r>
      <w:r>
        <w:t>、CO和O</w:t>
      </w:r>
      <w:r>
        <w:rPr>
          <w:vertAlign w:val="subscript"/>
        </w:rPr>
        <w:t>3</w:t>
      </w:r>
      <w:r>
        <w:t>采用六安市生态环境局发布的《2023年六安市环境质量公报》中相关数据，数据显示2023年六安市城区环境空气质量优良天数比例为87.4%。可吸入颗粒物（PM</w:t>
      </w:r>
      <w:r>
        <w:rPr>
          <w:vertAlign w:val="subscript"/>
        </w:rPr>
        <w:t>10</w:t>
      </w:r>
      <w:r>
        <w:t>）、细颗粒物（PM</w:t>
      </w:r>
      <w:r>
        <w:rPr>
          <w:vertAlign w:val="subscript"/>
        </w:rPr>
        <w:t>2.5</w:t>
      </w:r>
      <w:r>
        <w:t>）、二氧化硫（SO</w:t>
      </w:r>
      <w:r>
        <w:rPr>
          <w:vertAlign w:val="subscript"/>
        </w:rPr>
        <w:t>2</w:t>
      </w:r>
      <w:r>
        <w:t>）和二氧化氮（NO</w:t>
      </w:r>
      <w:r>
        <w:rPr>
          <w:vertAlign w:val="subscript"/>
        </w:rPr>
        <w:t>2</w:t>
      </w:r>
      <w:r>
        <w:t>）年平均浓度分别为54微克/立方米、31微克/立方米、6微克/立方米和19微克/立方米；一氧化碳（CO）日均值第95百分位数为0.8毫克/立方米，臭氧（O</w:t>
      </w:r>
      <w:r>
        <w:rPr>
          <w:vertAlign w:val="subscript"/>
        </w:rPr>
        <w:t>3</w:t>
      </w:r>
      <w:r>
        <w:t>）日最大8小时平均第90百分位数为154微克/立方米。项目所在区域空气质量现状评价结果见表4.3-1。</w:t>
      </w:r>
    </w:p>
    <w:p w14:paraId="1EFF76CB">
      <w:pPr>
        <w:widowControl/>
        <w:topLinePunct/>
        <w:autoSpaceDE w:val="0"/>
        <w:autoSpaceDN w:val="0"/>
        <w:adjustRightInd w:val="0"/>
        <w:snapToGrid w:val="0"/>
        <w:ind w:firstLine="0" w:firstLineChars="0"/>
        <w:jc w:val="center"/>
        <w:textAlignment w:val="baseline"/>
        <w:rPr>
          <w:b/>
          <w:bCs/>
          <w:snapToGrid w:val="0"/>
          <w:kern w:val="0"/>
        </w:rPr>
      </w:pPr>
      <w:r>
        <w:rPr>
          <w:b/>
          <w:bCs/>
          <w:snapToGrid w:val="0"/>
          <w:spacing w:val="-1"/>
          <w:kern w:val="0"/>
        </w:rPr>
        <w:t>表4.3-1  区域空气质量现状评价表</w:t>
      </w:r>
    </w:p>
    <w:tbl>
      <w:tblPr>
        <w:tblStyle w:val="142"/>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26"/>
        <w:gridCol w:w="2017"/>
        <w:gridCol w:w="1701"/>
        <w:gridCol w:w="1560"/>
        <w:gridCol w:w="850"/>
        <w:gridCol w:w="1369"/>
      </w:tblGrid>
      <w:tr w14:paraId="49C277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826" w:type="dxa"/>
            <w:vAlign w:val="center"/>
          </w:tcPr>
          <w:p w14:paraId="497D0F21">
            <w:pPr>
              <w:widowControl/>
              <w:topLinePunct/>
              <w:autoSpaceDE w:val="0"/>
              <w:autoSpaceDN w:val="0"/>
              <w:adjustRightInd w:val="0"/>
              <w:snapToGrid w:val="0"/>
              <w:spacing w:line="240" w:lineRule="auto"/>
              <w:ind w:firstLine="0" w:firstLineChars="0"/>
              <w:jc w:val="center"/>
              <w:textAlignment w:val="baseline"/>
              <w:rPr>
                <w:rFonts w:cs="Times New Roman"/>
                <w:b/>
                <w:bCs/>
                <w:snapToGrid w:val="0"/>
                <w:color w:val="auto"/>
                <w:kern w:val="0"/>
                <w:sz w:val="21"/>
                <w:szCs w:val="21"/>
                <w:lang w:eastAsia="en-US"/>
              </w:rPr>
            </w:pPr>
            <w:r>
              <w:rPr>
                <w:rFonts w:cs="Times New Roman"/>
                <w:b/>
                <w:bCs/>
                <w:snapToGrid w:val="0"/>
                <w:color w:val="auto"/>
                <w:spacing w:val="-2"/>
                <w:kern w:val="0"/>
                <w:sz w:val="21"/>
                <w:szCs w:val="21"/>
                <w:lang w:eastAsia="en-US"/>
              </w:rPr>
              <w:t>污染物</w:t>
            </w:r>
          </w:p>
        </w:tc>
        <w:tc>
          <w:tcPr>
            <w:tcW w:w="2017" w:type="dxa"/>
            <w:vAlign w:val="center"/>
          </w:tcPr>
          <w:p w14:paraId="5DBA4678">
            <w:pPr>
              <w:widowControl/>
              <w:topLinePunct/>
              <w:autoSpaceDE w:val="0"/>
              <w:autoSpaceDN w:val="0"/>
              <w:adjustRightInd w:val="0"/>
              <w:snapToGrid w:val="0"/>
              <w:spacing w:line="240" w:lineRule="auto"/>
              <w:ind w:firstLine="0" w:firstLineChars="0"/>
              <w:jc w:val="center"/>
              <w:textAlignment w:val="baseline"/>
              <w:rPr>
                <w:rFonts w:cs="Times New Roman"/>
                <w:b/>
                <w:bCs/>
                <w:snapToGrid w:val="0"/>
                <w:color w:val="auto"/>
                <w:kern w:val="0"/>
                <w:sz w:val="21"/>
                <w:szCs w:val="21"/>
                <w:lang w:eastAsia="en-US"/>
              </w:rPr>
            </w:pPr>
            <w:r>
              <w:rPr>
                <w:rFonts w:cs="Times New Roman"/>
                <w:b/>
                <w:bCs/>
                <w:snapToGrid w:val="0"/>
                <w:color w:val="auto"/>
                <w:spacing w:val="-2"/>
                <w:kern w:val="0"/>
                <w:sz w:val="21"/>
                <w:szCs w:val="21"/>
                <w:lang w:eastAsia="en-US"/>
              </w:rPr>
              <w:t>年评价指标</w:t>
            </w:r>
          </w:p>
        </w:tc>
        <w:tc>
          <w:tcPr>
            <w:tcW w:w="1701" w:type="dxa"/>
            <w:vAlign w:val="center"/>
          </w:tcPr>
          <w:p w14:paraId="4E2E4F7F">
            <w:pPr>
              <w:widowControl/>
              <w:topLinePunct/>
              <w:autoSpaceDE w:val="0"/>
              <w:autoSpaceDN w:val="0"/>
              <w:adjustRightInd w:val="0"/>
              <w:snapToGrid w:val="0"/>
              <w:spacing w:line="240" w:lineRule="auto"/>
              <w:ind w:firstLine="0" w:firstLineChars="0"/>
              <w:jc w:val="center"/>
              <w:textAlignment w:val="baseline"/>
              <w:rPr>
                <w:rFonts w:cs="Times New Roman"/>
                <w:b/>
                <w:bCs/>
                <w:snapToGrid w:val="0"/>
                <w:color w:val="auto"/>
                <w:kern w:val="0"/>
                <w:sz w:val="21"/>
                <w:szCs w:val="21"/>
                <w:lang w:eastAsia="en-US"/>
              </w:rPr>
            </w:pPr>
            <w:r>
              <w:rPr>
                <w:rFonts w:cs="Times New Roman"/>
                <w:b/>
                <w:bCs/>
                <w:snapToGrid w:val="0"/>
                <w:color w:val="auto"/>
                <w:spacing w:val="-1"/>
                <w:kern w:val="0"/>
                <w:sz w:val="21"/>
                <w:szCs w:val="21"/>
                <w:lang w:eastAsia="en-US"/>
              </w:rPr>
              <w:t>现状浓度/（μg/m</w:t>
            </w:r>
            <w:r>
              <w:rPr>
                <w:rFonts w:cs="Times New Roman"/>
                <w:b/>
                <w:bCs/>
                <w:snapToGrid w:val="0"/>
                <w:color w:val="auto"/>
                <w:spacing w:val="-1"/>
                <w:kern w:val="0"/>
                <w:sz w:val="21"/>
                <w:szCs w:val="21"/>
                <w:vertAlign w:val="superscript"/>
                <w:lang w:eastAsia="en-US"/>
              </w:rPr>
              <w:t>3</w:t>
            </w:r>
            <w:r>
              <w:rPr>
                <w:rFonts w:cs="Times New Roman"/>
                <w:b/>
                <w:bCs/>
                <w:snapToGrid w:val="0"/>
                <w:color w:val="auto"/>
                <w:spacing w:val="-1"/>
                <w:kern w:val="0"/>
                <w:sz w:val="21"/>
                <w:szCs w:val="21"/>
                <w:lang w:eastAsia="en-US"/>
              </w:rPr>
              <w:t>）</w:t>
            </w:r>
          </w:p>
        </w:tc>
        <w:tc>
          <w:tcPr>
            <w:tcW w:w="1560" w:type="dxa"/>
            <w:vAlign w:val="center"/>
          </w:tcPr>
          <w:p w14:paraId="61AC962C">
            <w:pPr>
              <w:widowControl/>
              <w:topLinePunct/>
              <w:autoSpaceDE w:val="0"/>
              <w:autoSpaceDN w:val="0"/>
              <w:adjustRightInd w:val="0"/>
              <w:snapToGrid w:val="0"/>
              <w:spacing w:line="240" w:lineRule="auto"/>
              <w:ind w:firstLine="0" w:firstLineChars="0"/>
              <w:jc w:val="center"/>
              <w:textAlignment w:val="baseline"/>
              <w:rPr>
                <w:rFonts w:cs="Times New Roman"/>
                <w:b/>
                <w:bCs/>
                <w:snapToGrid w:val="0"/>
                <w:color w:val="auto"/>
                <w:kern w:val="0"/>
                <w:sz w:val="21"/>
                <w:szCs w:val="21"/>
                <w:lang w:eastAsia="en-US"/>
              </w:rPr>
            </w:pPr>
            <w:r>
              <w:rPr>
                <w:rFonts w:cs="Times New Roman"/>
                <w:b/>
                <w:bCs/>
                <w:snapToGrid w:val="0"/>
                <w:color w:val="auto"/>
                <w:spacing w:val="-1"/>
                <w:kern w:val="0"/>
                <w:sz w:val="21"/>
                <w:szCs w:val="21"/>
                <w:lang w:eastAsia="en-US"/>
              </w:rPr>
              <w:t>标准值/（μg/m</w:t>
            </w:r>
            <w:r>
              <w:rPr>
                <w:rFonts w:cs="Times New Roman"/>
                <w:b/>
                <w:bCs/>
                <w:snapToGrid w:val="0"/>
                <w:color w:val="auto"/>
                <w:spacing w:val="-1"/>
                <w:kern w:val="0"/>
                <w:sz w:val="21"/>
                <w:szCs w:val="21"/>
                <w:vertAlign w:val="superscript"/>
                <w:lang w:eastAsia="en-US"/>
              </w:rPr>
              <w:t>3</w:t>
            </w:r>
            <w:r>
              <w:rPr>
                <w:rFonts w:cs="Times New Roman"/>
                <w:b/>
                <w:bCs/>
                <w:snapToGrid w:val="0"/>
                <w:color w:val="auto"/>
                <w:spacing w:val="-1"/>
                <w:kern w:val="0"/>
                <w:sz w:val="21"/>
                <w:szCs w:val="21"/>
                <w:lang w:eastAsia="en-US"/>
              </w:rPr>
              <w:t>）</w:t>
            </w:r>
          </w:p>
        </w:tc>
        <w:tc>
          <w:tcPr>
            <w:tcW w:w="850" w:type="dxa"/>
            <w:vAlign w:val="center"/>
          </w:tcPr>
          <w:p w14:paraId="350A0A6D">
            <w:pPr>
              <w:widowControl/>
              <w:topLinePunct/>
              <w:autoSpaceDE w:val="0"/>
              <w:autoSpaceDN w:val="0"/>
              <w:adjustRightInd w:val="0"/>
              <w:snapToGrid w:val="0"/>
              <w:spacing w:line="240" w:lineRule="auto"/>
              <w:ind w:firstLine="0" w:firstLineChars="0"/>
              <w:jc w:val="center"/>
              <w:textAlignment w:val="baseline"/>
              <w:rPr>
                <w:rFonts w:cs="Times New Roman"/>
                <w:b/>
                <w:bCs/>
                <w:snapToGrid w:val="0"/>
                <w:color w:val="auto"/>
                <w:kern w:val="0"/>
                <w:sz w:val="21"/>
                <w:szCs w:val="21"/>
                <w:lang w:eastAsia="en-US"/>
              </w:rPr>
            </w:pPr>
            <w:r>
              <w:rPr>
                <w:rFonts w:cs="Times New Roman"/>
                <w:b/>
                <w:bCs/>
                <w:snapToGrid w:val="0"/>
                <w:color w:val="auto"/>
                <w:spacing w:val="-8"/>
                <w:kern w:val="0"/>
                <w:sz w:val="21"/>
                <w:szCs w:val="21"/>
                <w:lang w:eastAsia="en-US"/>
              </w:rPr>
              <w:t>占标率/%</w:t>
            </w:r>
          </w:p>
        </w:tc>
        <w:tc>
          <w:tcPr>
            <w:tcW w:w="1369" w:type="dxa"/>
            <w:vAlign w:val="center"/>
          </w:tcPr>
          <w:p w14:paraId="5D3EB569">
            <w:pPr>
              <w:widowControl/>
              <w:topLinePunct/>
              <w:autoSpaceDE w:val="0"/>
              <w:autoSpaceDN w:val="0"/>
              <w:adjustRightInd w:val="0"/>
              <w:snapToGrid w:val="0"/>
              <w:spacing w:line="240" w:lineRule="auto"/>
              <w:ind w:firstLine="0" w:firstLineChars="0"/>
              <w:jc w:val="center"/>
              <w:textAlignment w:val="baseline"/>
              <w:rPr>
                <w:rFonts w:cs="Times New Roman"/>
                <w:b/>
                <w:bCs/>
                <w:snapToGrid w:val="0"/>
                <w:color w:val="auto"/>
                <w:kern w:val="0"/>
                <w:sz w:val="21"/>
                <w:szCs w:val="21"/>
                <w:lang w:eastAsia="en-US"/>
              </w:rPr>
            </w:pPr>
            <w:r>
              <w:rPr>
                <w:rFonts w:cs="Times New Roman"/>
                <w:b/>
                <w:bCs/>
                <w:snapToGrid w:val="0"/>
                <w:color w:val="auto"/>
                <w:spacing w:val="-2"/>
                <w:kern w:val="0"/>
                <w:sz w:val="21"/>
                <w:szCs w:val="21"/>
                <w:lang w:eastAsia="en-US"/>
              </w:rPr>
              <w:t>达标情况</w:t>
            </w:r>
          </w:p>
        </w:tc>
      </w:tr>
      <w:tr w14:paraId="5B7B43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26" w:type="dxa"/>
            <w:vAlign w:val="center"/>
          </w:tcPr>
          <w:p w14:paraId="4477FAB4">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4"/>
                <w:kern w:val="0"/>
                <w:sz w:val="21"/>
                <w:szCs w:val="21"/>
                <w:lang w:eastAsia="en-US"/>
              </w:rPr>
              <w:t>SO</w:t>
            </w:r>
            <w:r>
              <w:rPr>
                <w:rFonts w:cs="Times New Roman"/>
                <w:snapToGrid w:val="0"/>
                <w:color w:val="auto"/>
                <w:spacing w:val="-4"/>
                <w:kern w:val="0"/>
                <w:sz w:val="21"/>
                <w:szCs w:val="21"/>
                <w:vertAlign w:val="subscript"/>
                <w:lang w:eastAsia="en-US"/>
              </w:rPr>
              <w:t>2</w:t>
            </w:r>
          </w:p>
        </w:tc>
        <w:tc>
          <w:tcPr>
            <w:tcW w:w="2017" w:type="dxa"/>
            <w:vAlign w:val="center"/>
          </w:tcPr>
          <w:p w14:paraId="49D9A6F4">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1"/>
                <w:kern w:val="0"/>
                <w:sz w:val="21"/>
                <w:szCs w:val="21"/>
                <w:lang w:eastAsia="en-US"/>
              </w:rPr>
              <w:t>年平均质量浓度</w:t>
            </w:r>
          </w:p>
        </w:tc>
        <w:tc>
          <w:tcPr>
            <w:tcW w:w="1701" w:type="dxa"/>
            <w:vAlign w:val="center"/>
          </w:tcPr>
          <w:p w14:paraId="3DE6B722">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6</w:t>
            </w:r>
          </w:p>
        </w:tc>
        <w:tc>
          <w:tcPr>
            <w:tcW w:w="1560" w:type="dxa"/>
            <w:vAlign w:val="center"/>
          </w:tcPr>
          <w:p w14:paraId="570C5AAF">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60</w:t>
            </w:r>
          </w:p>
        </w:tc>
        <w:tc>
          <w:tcPr>
            <w:tcW w:w="850" w:type="dxa"/>
            <w:vAlign w:val="center"/>
          </w:tcPr>
          <w:p w14:paraId="0FFFC26B">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10.0</w:t>
            </w:r>
          </w:p>
        </w:tc>
        <w:tc>
          <w:tcPr>
            <w:tcW w:w="1369" w:type="dxa"/>
            <w:vAlign w:val="center"/>
          </w:tcPr>
          <w:p w14:paraId="61D24A5A">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达标</w:t>
            </w:r>
          </w:p>
        </w:tc>
      </w:tr>
      <w:tr w14:paraId="65EEB6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26" w:type="dxa"/>
            <w:vAlign w:val="center"/>
          </w:tcPr>
          <w:p w14:paraId="22D85E90">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NO</w:t>
            </w:r>
            <w:r>
              <w:rPr>
                <w:rFonts w:cs="Times New Roman"/>
                <w:snapToGrid w:val="0"/>
                <w:color w:val="auto"/>
                <w:spacing w:val="1"/>
                <w:kern w:val="0"/>
                <w:sz w:val="21"/>
                <w:szCs w:val="21"/>
                <w:vertAlign w:val="subscript"/>
                <w:lang w:eastAsia="en-US"/>
              </w:rPr>
              <w:t>2</w:t>
            </w:r>
          </w:p>
        </w:tc>
        <w:tc>
          <w:tcPr>
            <w:tcW w:w="2017" w:type="dxa"/>
            <w:vAlign w:val="center"/>
          </w:tcPr>
          <w:p w14:paraId="61B0797A">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1"/>
                <w:kern w:val="0"/>
                <w:sz w:val="21"/>
                <w:szCs w:val="21"/>
                <w:lang w:eastAsia="en-US"/>
              </w:rPr>
              <w:t>年平均质量浓度</w:t>
            </w:r>
          </w:p>
        </w:tc>
        <w:tc>
          <w:tcPr>
            <w:tcW w:w="1701" w:type="dxa"/>
            <w:vAlign w:val="center"/>
          </w:tcPr>
          <w:p w14:paraId="4A311BE1">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19</w:t>
            </w:r>
          </w:p>
        </w:tc>
        <w:tc>
          <w:tcPr>
            <w:tcW w:w="1560" w:type="dxa"/>
            <w:vAlign w:val="center"/>
          </w:tcPr>
          <w:p w14:paraId="5907696B">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1"/>
                <w:kern w:val="0"/>
                <w:sz w:val="21"/>
                <w:szCs w:val="21"/>
                <w:lang w:eastAsia="en-US"/>
              </w:rPr>
              <w:t>40</w:t>
            </w:r>
          </w:p>
        </w:tc>
        <w:tc>
          <w:tcPr>
            <w:tcW w:w="850" w:type="dxa"/>
            <w:vAlign w:val="center"/>
          </w:tcPr>
          <w:p w14:paraId="0C64102E">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47.5</w:t>
            </w:r>
          </w:p>
        </w:tc>
        <w:tc>
          <w:tcPr>
            <w:tcW w:w="1369" w:type="dxa"/>
            <w:vAlign w:val="center"/>
          </w:tcPr>
          <w:p w14:paraId="75CD742C">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达标</w:t>
            </w:r>
          </w:p>
        </w:tc>
      </w:tr>
      <w:tr w14:paraId="0D0AEA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26" w:type="dxa"/>
            <w:vAlign w:val="center"/>
          </w:tcPr>
          <w:p w14:paraId="11D8F938">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1"/>
                <w:kern w:val="0"/>
                <w:sz w:val="21"/>
                <w:szCs w:val="21"/>
                <w:lang w:eastAsia="en-US"/>
              </w:rPr>
              <w:t>PM</w:t>
            </w:r>
            <w:r>
              <w:rPr>
                <w:rFonts w:cs="Times New Roman"/>
                <w:snapToGrid w:val="0"/>
                <w:color w:val="auto"/>
                <w:spacing w:val="-1"/>
                <w:kern w:val="0"/>
                <w:sz w:val="21"/>
                <w:szCs w:val="21"/>
                <w:vertAlign w:val="subscript"/>
                <w:lang w:eastAsia="en-US"/>
              </w:rPr>
              <w:t>10</w:t>
            </w:r>
          </w:p>
        </w:tc>
        <w:tc>
          <w:tcPr>
            <w:tcW w:w="2017" w:type="dxa"/>
            <w:vAlign w:val="center"/>
          </w:tcPr>
          <w:p w14:paraId="4BDDA4B9">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1"/>
                <w:kern w:val="0"/>
                <w:sz w:val="21"/>
                <w:szCs w:val="21"/>
                <w:lang w:eastAsia="en-US"/>
              </w:rPr>
              <w:t>年平均质量浓度</w:t>
            </w:r>
          </w:p>
        </w:tc>
        <w:tc>
          <w:tcPr>
            <w:tcW w:w="1701" w:type="dxa"/>
            <w:vAlign w:val="center"/>
          </w:tcPr>
          <w:p w14:paraId="11051CB6">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54</w:t>
            </w:r>
          </w:p>
        </w:tc>
        <w:tc>
          <w:tcPr>
            <w:tcW w:w="1560" w:type="dxa"/>
            <w:vAlign w:val="center"/>
          </w:tcPr>
          <w:p w14:paraId="0C2B1AE2">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70</w:t>
            </w:r>
          </w:p>
        </w:tc>
        <w:tc>
          <w:tcPr>
            <w:tcW w:w="850" w:type="dxa"/>
            <w:vAlign w:val="center"/>
          </w:tcPr>
          <w:p w14:paraId="6CB2FC62">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77.1</w:t>
            </w:r>
          </w:p>
        </w:tc>
        <w:tc>
          <w:tcPr>
            <w:tcW w:w="1369" w:type="dxa"/>
            <w:vAlign w:val="center"/>
          </w:tcPr>
          <w:p w14:paraId="298922DB">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达标</w:t>
            </w:r>
          </w:p>
        </w:tc>
      </w:tr>
      <w:tr w14:paraId="005957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26" w:type="dxa"/>
            <w:vAlign w:val="center"/>
          </w:tcPr>
          <w:p w14:paraId="76DB99C3">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1"/>
                <w:kern w:val="0"/>
                <w:sz w:val="21"/>
                <w:szCs w:val="21"/>
                <w:lang w:eastAsia="en-US"/>
              </w:rPr>
              <w:t>PM</w:t>
            </w:r>
            <w:r>
              <w:rPr>
                <w:rFonts w:cs="Times New Roman"/>
                <w:snapToGrid w:val="0"/>
                <w:color w:val="auto"/>
                <w:spacing w:val="-1"/>
                <w:kern w:val="0"/>
                <w:sz w:val="21"/>
                <w:szCs w:val="21"/>
                <w:vertAlign w:val="subscript"/>
                <w:lang w:eastAsia="en-US"/>
              </w:rPr>
              <w:t>2.5</w:t>
            </w:r>
          </w:p>
        </w:tc>
        <w:tc>
          <w:tcPr>
            <w:tcW w:w="2017" w:type="dxa"/>
            <w:vAlign w:val="center"/>
          </w:tcPr>
          <w:p w14:paraId="61A6D6E2">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1"/>
                <w:kern w:val="0"/>
                <w:sz w:val="21"/>
                <w:szCs w:val="21"/>
                <w:lang w:eastAsia="en-US"/>
              </w:rPr>
              <w:t>年平均质量浓度</w:t>
            </w:r>
          </w:p>
        </w:tc>
        <w:tc>
          <w:tcPr>
            <w:tcW w:w="1701" w:type="dxa"/>
            <w:vAlign w:val="center"/>
          </w:tcPr>
          <w:p w14:paraId="588E7E7B">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31</w:t>
            </w:r>
          </w:p>
        </w:tc>
        <w:tc>
          <w:tcPr>
            <w:tcW w:w="1560" w:type="dxa"/>
            <w:vAlign w:val="center"/>
          </w:tcPr>
          <w:p w14:paraId="6D97217A">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35</w:t>
            </w:r>
          </w:p>
        </w:tc>
        <w:tc>
          <w:tcPr>
            <w:tcW w:w="850" w:type="dxa"/>
            <w:vAlign w:val="center"/>
          </w:tcPr>
          <w:p w14:paraId="59EC3BA1">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88.6</w:t>
            </w:r>
          </w:p>
        </w:tc>
        <w:tc>
          <w:tcPr>
            <w:tcW w:w="1369" w:type="dxa"/>
            <w:vAlign w:val="center"/>
          </w:tcPr>
          <w:p w14:paraId="56B8887F">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达标</w:t>
            </w:r>
          </w:p>
        </w:tc>
      </w:tr>
      <w:tr w14:paraId="6AAED4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26" w:type="dxa"/>
            <w:vAlign w:val="center"/>
          </w:tcPr>
          <w:p w14:paraId="7E7A5657">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CO</w:t>
            </w:r>
          </w:p>
        </w:tc>
        <w:tc>
          <w:tcPr>
            <w:tcW w:w="2017" w:type="dxa"/>
            <w:vAlign w:val="center"/>
          </w:tcPr>
          <w:p w14:paraId="364F3E98">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zh-CN"/>
              </w:rPr>
            </w:pPr>
            <w:r>
              <w:rPr>
                <w:rFonts w:cs="Times New Roman"/>
                <w:snapToGrid w:val="0"/>
                <w:color w:val="auto"/>
                <w:spacing w:val="-4"/>
                <w:kern w:val="0"/>
                <w:sz w:val="21"/>
                <w:szCs w:val="21"/>
                <w:lang w:eastAsia="zh-CN"/>
              </w:rPr>
              <w:t>日平均第95百分位数质量浓度</w:t>
            </w:r>
          </w:p>
        </w:tc>
        <w:tc>
          <w:tcPr>
            <w:tcW w:w="1701" w:type="dxa"/>
            <w:vAlign w:val="center"/>
          </w:tcPr>
          <w:p w14:paraId="1921202B">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800</w:t>
            </w:r>
          </w:p>
        </w:tc>
        <w:tc>
          <w:tcPr>
            <w:tcW w:w="1560" w:type="dxa"/>
            <w:vAlign w:val="center"/>
          </w:tcPr>
          <w:p w14:paraId="26DBC805">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1"/>
                <w:kern w:val="0"/>
                <w:sz w:val="21"/>
                <w:szCs w:val="21"/>
                <w:lang w:eastAsia="en-US"/>
              </w:rPr>
              <w:t>4000</w:t>
            </w:r>
          </w:p>
        </w:tc>
        <w:tc>
          <w:tcPr>
            <w:tcW w:w="850" w:type="dxa"/>
            <w:vAlign w:val="center"/>
          </w:tcPr>
          <w:p w14:paraId="58953CB6">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20.0</w:t>
            </w:r>
          </w:p>
        </w:tc>
        <w:tc>
          <w:tcPr>
            <w:tcW w:w="1369" w:type="dxa"/>
            <w:vAlign w:val="center"/>
          </w:tcPr>
          <w:p w14:paraId="7046E43C">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达标</w:t>
            </w:r>
          </w:p>
        </w:tc>
      </w:tr>
      <w:tr w14:paraId="429D2C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26" w:type="dxa"/>
            <w:vAlign w:val="center"/>
          </w:tcPr>
          <w:p w14:paraId="502E1693">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4"/>
                <w:kern w:val="0"/>
                <w:sz w:val="21"/>
                <w:szCs w:val="21"/>
                <w:lang w:eastAsia="en-US"/>
              </w:rPr>
              <w:t>O</w:t>
            </w:r>
            <w:r>
              <w:rPr>
                <w:rFonts w:cs="Times New Roman"/>
                <w:snapToGrid w:val="0"/>
                <w:color w:val="auto"/>
                <w:spacing w:val="-4"/>
                <w:kern w:val="0"/>
                <w:sz w:val="21"/>
                <w:szCs w:val="21"/>
                <w:vertAlign w:val="subscript"/>
                <w:lang w:eastAsia="en-US"/>
              </w:rPr>
              <w:t>3</w:t>
            </w:r>
          </w:p>
        </w:tc>
        <w:tc>
          <w:tcPr>
            <w:tcW w:w="2017" w:type="dxa"/>
            <w:vAlign w:val="center"/>
          </w:tcPr>
          <w:p w14:paraId="1324DA60">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zh-CN"/>
              </w:rPr>
            </w:pPr>
            <w:r>
              <w:rPr>
                <w:rFonts w:cs="Times New Roman"/>
                <w:snapToGrid w:val="0"/>
                <w:color w:val="auto"/>
                <w:spacing w:val="-2"/>
                <w:kern w:val="0"/>
                <w:sz w:val="21"/>
                <w:szCs w:val="21"/>
                <w:lang w:eastAsia="zh-CN"/>
              </w:rPr>
              <w:t>日最大8h平均第90百分位数质量浓度</w:t>
            </w:r>
          </w:p>
        </w:tc>
        <w:tc>
          <w:tcPr>
            <w:tcW w:w="1701" w:type="dxa"/>
            <w:vAlign w:val="center"/>
          </w:tcPr>
          <w:p w14:paraId="07DA479B">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154</w:t>
            </w:r>
          </w:p>
        </w:tc>
        <w:tc>
          <w:tcPr>
            <w:tcW w:w="1560" w:type="dxa"/>
            <w:vAlign w:val="center"/>
          </w:tcPr>
          <w:p w14:paraId="5BF9B7A9">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5"/>
                <w:kern w:val="0"/>
                <w:sz w:val="21"/>
                <w:szCs w:val="21"/>
                <w:lang w:eastAsia="en-US"/>
              </w:rPr>
              <w:t>160</w:t>
            </w:r>
          </w:p>
        </w:tc>
        <w:tc>
          <w:tcPr>
            <w:tcW w:w="850" w:type="dxa"/>
            <w:vAlign w:val="center"/>
          </w:tcPr>
          <w:p w14:paraId="1607AAA2">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kern w:val="0"/>
                <w:sz w:val="21"/>
                <w:szCs w:val="21"/>
                <w:lang w:eastAsia="en-US"/>
              </w:rPr>
              <w:t>96.3</w:t>
            </w:r>
          </w:p>
        </w:tc>
        <w:tc>
          <w:tcPr>
            <w:tcW w:w="1369" w:type="dxa"/>
            <w:vAlign w:val="center"/>
          </w:tcPr>
          <w:p w14:paraId="3F29D355">
            <w:pPr>
              <w:widowControl/>
              <w:topLinePunct/>
              <w:autoSpaceDE w:val="0"/>
              <w:autoSpaceDN w:val="0"/>
              <w:adjustRightInd w:val="0"/>
              <w:snapToGrid w:val="0"/>
              <w:spacing w:line="240" w:lineRule="auto"/>
              <w:ind w:firstLine="0" w:firstLineChars="0"/>
              <w:jc w:val="center"/>
              <w:textAlignment w:val="baseline"/>
              <w:rPr>
                <w:rFonts w:cs="Times New Roman"/>
                <w:snapToGrid w:val="0"/>
                <w:color w:val="auto"/>
                <w:kern w:val="0"/>
                <w:sz w:val="21"/>
                <w:szCs w:val="21"/>
                <w:lang w:eastAsia="en-US"/>
              </w:rPr>
            </w:pPr>
            <w:r>
              <w:rPr>
                <w:rFonts w:cs="Times New Roman"/>
                <w:snapToGrid w:val="0"/>
                <w:color w:val="auto"/>
                <w:spacing w:val="-2"/>
                <w:kern w:val="0"/>
                <w:sz w:val="21"/>
                <w:szCs w:val="21"/>
                <w:lang w:eastAsia="en-US"/>
              </w:rPr>
              <w:t>达标</w:t>
            </w:r>
          </w:p>
        </w:tc>
      </w:tr>
    </w:tbl>
    <w:p w14:paraId="22C06B43">
      <w:pPr>
        <w:ind w:firstLine="480"/>
      </w:pPr>
      <w:r>
        <w:t>根据《2023年六安市环境质量公报》，项目所在区域SO</w:t>
      </w:r>
      <w:r>
        <w:rPr>
          <w:vertAlign w:val="subscript"/>
        </w:rPr>
        <w:t>2</w:t>
      </w:r>
      <w:r>
        <w:t>、NO</w:t>
      </w:r>
      <w:r>
        <w:rPr>
          <w:vertAlign w:val="subscript"/>
        </w:rPr>
        <w:t>2</w:t>
      </w:r>
      <w:r>
        <w:t>、PM</w:t>
      </w:r>
      <w:r>
        <w:rPr>
          <w:vertAlign w:val="subscript"/>
        </w:rPr>
        <w:t>10</w:t>
      </w:r>
      <w:r>
        <w:t>、PM</w:t>
      </w:r>
      <w:r>
        <w:rPr>
          <w:vertAlign w:val="subscript"/>
        </w:rPr>
        <w:t>2.5</w:t>
      </w:r>
      <w:r>
        <w:t>年平均浓度、CO</w:t>
      </w:r>
      <w:r>
        <w:rPr>
          <w:rFonts w:hint="eastAsia"/>
        </w:rPr>
        <w:t xml:space="preserve"> </w:t>
      </w:r>
      <w:r>
        <w:t>24小时平均浓度、O</w:t>
      </w:r>
      <w:r>
        <w:rPr>
          <w:vertAlign w:val="subscript"/>
        </w:rPr>
        <w:t>3</w:t>
      </w:r>
      <w:r>
        <w:t>最大8h平均浓度均能够满足《环境空气质量标准》（GB3095-2012）中二级标准。经判定，项目所在区域为环境空气质量达标区。</w:t>
      </w:r>
    </w:p>
    <w:p w14:paraId="04F1217A">
      <w:pPr>
        <w:keepNext/>
        <w:keepLines/>
        <w:ind w:firstLine="0" w:firstLineChars="0"/>
        <w:jc w:val="left"/>
        <w:outlineLvl w:val="3"/>
        <w:rPr>
          <w:rFonts w:cstheme="majorBidi"/>
          <w:b/>
          <w:bCs/>
          <w:sz w:val="28"/>
          <w:szCs w:val="28"/>
        </w:rPr>
      </w:pPr>
      <w:r>
        <w:rPr>
          <w:rFonts w:hint="eastAsia" w:cstheme="majorBidi"/>
          <w:b/>
          <w:bCs/>
          <w:sz w:val="28"/>
          <w:szCs w:val="28"/>
        </w:rPr>
        <w:t>4.4.1.2</w:t>
      </w:r>
      <w:r>
        <w:rPr>
          <w:rFonts w:cstheme="majorBidi"/>
          <w:b/>
          <w:bCs/>
          <w:sz w:val="28"/>
          <w:szCs w:val="28"/>
        </w:rPr>
        <w:t xml:space="preserve"> </w:t>
      </w:r>
      <w:r>
        <w:rPr>
          <w:rFonts w:hint="eastAsia" w:cstheme="majorBidi"/>
          <w:b/>
          <w:bCs/>
          <w:sz w:val="28"/>
          <w:szCs w:val="28"/>
        </w:rPr>
        <w:t>基本污染物环境质量现状</w:t>
      </w:r>
    </w:p>
    <w:p w14:paraId="319DFA12">
      <w:pPr>
        <w:ind w:firstLine="480"/>
      </w:pPr>
      <w:r>
        <w:t>项目区域敏感点环境空气质量现状监测引用安徽金安矿业有限公司例行监测中 环境空气现状监测数据，监测时间为 202</w:t>
      </w:r>
      <w:r>
        <w:rPr>
          <w:rFonts w:hint="eastAsia"/>
        </w:rPr>
        <w:t>4</w:t>
      </w:r>
      <w:r>
        <w:t xml:space="preserve"> 年 1 月 11-12 日，监测报告见附件 。</w:t>
      </w:r>
    </w:p>
    <w:p w14:paraId="148F5996">
      <w:pPr>
        <w:ind w:firstLine="482"/>
        <w:rPr>
          <w:b/>
          <w:bCs/>
        </w:rPr>
      </w:pPr>
      <w:r>
        <w:rPr>
          <w:rFonts w:hint="eastAsia"/>
          <w:b/>
          <w:bCs/>
        </w:rPr>
        <w:t>1、监测布点</w:t>
      </w:r>
    </w:p>
    <w:p w14:paraId="5A6C8930">
      <w:pPr>
        <w:ind w:firstLine="0" w:firstLineChars="0"/>
        <w:jc w:val="center"/>
        <w:rPr>
          <w:b/>
        </w:rPr>
      </w:pPr>
      <w:r>
        <w:rPr>
          <w:rFonts w:hint="eastAsia"/>
          <w:b/>
        </w:rPr>
        <w:t>表4.4-2</w:t>
      </w:r>
      <w:r>
        <w:rPr>
          <w:b/>
        </w:rPr>
        <w:t xml:space="preserve"> </w:t>
      </w:r>
      <w:r>
        <w:rPr>
          <w:rFonts w:hint="eastAsia"/>
          <w:b/>
        </w:rPr>
        <w:t>大气现状监测点布设</w:t>
      </w:r>
    </w:p>
    <w:tbl>
      <w:tblPr>
        <w:tblStyle w:val="8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8"/>
        <w:gridCol w:w="1572"/>
        <w:gridCol w:w="1399"/>
        <w:gridCol w:w="2453"/>
        <w:gridCol w:w="1706"/>
      </w:tblGrid>
      <w:tr w14:paraId="4B5684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vAlign w:val="center"/>
          </w:tcPr>
          <w:p w14:paraId="10D7CB09">
            <w:pPr>
              <w:spacing w:line="240" w:lineRule="auto"/>
              <w:ind w:firstLine="0" w:firstLineChars="0"/>
              <w:jc w:val="center"/>
              <w:rPr>
                <w:b/>
                <w:bCs/>
                <w:sz w:val="21"/>
                <w:szCs w:val="20"/>
              </w:rPr>
            </w:pPr>
            <w:r>
              <w:rPr>
                <w:rFonts w:hint="eastAsia"/>
                <w:b/>
                <w:bCs/>
                <w:sz w:val="21"/>
                <w:szCs w:val="20"/>
              </w:rPr>
              <w:t>测点序号</w:t>
            </w:r>
          </w:p>
        </w:tc>
        <w:tc>
          <w:tcPr>
            <w:tcW w:w="922" w:type="pct"/>
            <w:vAlign w:val="center"/>
          </w:tcPr>
          <w:p w14:paraId="4194CE85">
            <w:pPr>
              <w:spacing w:line="240" w:lineRule="auto"/>
              <w:ind w:firstLine="0" w:firstLineChars="0"/>
              <w:jc w:val="center"/>
              <w:rPr>
                <w:b/>
                <w:bCs/>
                <w:sz w:val="21"/>
                <w:szCs w:val="20"/>
              </w:rPr>
            </w:pPr>
            <w:r>
              <w:rPr>
                <w:rFonts w:hint="eastAsia"/>
                <w:b/>
                <w:bCs/>
                <w:sz w:val="21"/>
                <w:szCs w:val="20"/>
              </w:rPr>
              <w:t>监测点位</w:t>
            </w:r>
          </w:p>
        </w:tc>
        <w:tc>
          <w:tcPr>
            <w:tcW w:w="820" w:type="pct"/>
            <w:vAlign w:val="center"/>
          </w:tcPr>
          <w:p w14:paraId="04C38B47">
            <w:pPr>
              <w:spacing w:line="240" w:lineRule="auto"/>
              <w:ind w:firstLine="0" w:firstLineChars="0"/>
              <w:jc w:val="center"/>
              <w:rPr>
                <w:b/>
                <w:bCs/>
                <w:sz w:val="21"/>
                <w:szCs w:val="20"/>
              </w:rPr>
            </w:pPr>
            <w:r>
              <w:rPr>
                <w:rFonts w:hint="eastAsia"/>
                <w:b/>
                <w:bCs/>
                <w:sz w:val="21"/>
                <w:szCs w:val="20"/>
              </w:rPr>
              <w:t>场地</w:t>
            </w:r>
          </w:p>
        </w:tc>
        <w:tc>
          <w:tcPr>
            <w:tcW w:w="1438" w:type="pct"/>
            <w:vAlign w:val="center"/>
          </w:tcPr>
          <w:p w14:paraId="5CC2D6CB">
            <w:pPr>
              <w:spacing w:line="240" w:lineRule="auto"/>
              <w:ind w:firstLine="0" w:firstLineChars="0"/>
              <w:jc w:val="center"/>
              <w:rPr>
                <w:b/>
                <w:bCs/>
                <w:sz w:val="21"/>
                <w:szCs w:val="20"/>
              </w:rPr>
            </w:pPr>
            <w:r>
              <w:rPr>
                <w:rFonts w:hint="eastAsia"/>
                <w:b/>
                <w:bCs/>
                <w:sz w:val="21"/>
                <w:szCs w:val="20"/>
              </w:rPr>
              <w:t>与场地方位及距离</w:t>
            </w:r>
          </w:p>
        </w:tc>
        <w:tc>
          <w:tcPr>
            <w:tcW w:w="1000" w:type="pct"/>
            <w:vAlign w:val="center"/>
          </w:tcPr>
          <w:p w14:paraId="39B705D5">
            <w:pPr>
              <w:spacing w:line="240" w:lineRule="auto"/>
              <w:ind w:firstLine="0" w:firstLineChars="0"/>
              <w:jc w:val="center"/>
              <w:rPr>
                <w:b/>
                <w:bCs/>
                <w:sz w:val="21"/>
                <w:szCs w:val="20"/>
              </w:rPr>
            </w:pPr>
            <w:r>
              <w:rPr>
                <w:rFonts w:hint="eastAsia"/>
                <w:b/>
                <w:bCs/>
                <w:sz w:val="21"/>
                <w:szCs w:val="20"/>
              </w:rPr>
              <w:t>监测点功能</w:t>
            </w:r>
          </w:p>
        </w:tc>
      </w:tr>
      <w:tr w14:paraId="78501B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vAlign w:val="center"/>
          </w:tcPr>
          <w:p w14:paraId="5120E39D">
            <w:pPr>
              <w:spacing w:line="240" w:lineRule="auto"/>
              <w:ind w:firstLine="0" w:firstLineChars="0"/>
              <w:jc w:val="center"/>
              <w:rPr>
                <w:sz w:val="21"/>
                <w:szCs w:val="20"/>
              </w:rPr>
            </w:pPr>
            <w:r>
              <w:rPr>
                <w:rFonts w:hint="eastAsia"/>
                <w:sz w:val="21"/>
                <w:szCs w:val="20"/>
              </w:rPr>
              <w:t>G</w:t>
            </w:r>
            <w:r>
              <w:rPr>
                <w:sz w:val="21"/>
                <w:szCs w:val="20"/>
              </w:rPr>
              <w:t>1</w:t>
            </w:r>
          </w:p>
        </w:tc>
        <w:tc>
          <w:tcPr>
            <w:tcW w:w="922" w:type="pct"/>
            <w:vAlign w:val="center"/>
          </w:tcPr>
          <w:p w14:paraId="75C8D33A">
            <w:pPr>
              <w:spacing w:line="240" w:lineRule="auto"/>
              <w:ind w:firstLine="0" w:firstLineChars="0"/>
              <w:jc w:val="center"/>
              <w:rPr>
                <w:sz w:val="21"/>
                <w:szCs w:val="20"/>
              </w:rPr>
            </w:pPr>
            <w:r>
              <w:rPr>
                <w:rFonts w:hint="eastAsia"/>
                <w:sz w:val="21"/>
                <w:szCs w:val="20"/>
              </w:rPr>
              <w:t>选矿厂上风向</w:t>
            </w:r>
          </w:p>
        </w:tc>
        <w:tc>
          <w:tcPr>
            <w:tcW w:w="820" w:type="pct"/>
            <w:vMerge w:val="restart"/>
            <w:vAlign w:val="center"/>
          </w:tcPr>
          <w:p w14:paraId="345C4611">
            <w:pPr>
              <w:spacing w:line="240" w:lineRule="auto"/>
              <w:ind w:firstLine="0" w:firstLineChars="0"/>
              <w:jc w:val="center"/>
              <w:rPr>
                <w:sz w:val="21"/>
                <w:szCs w:val="20"/>
              </w:rPr>
            </w:pPr>
            <w:r>
              <w:rPr>
                <w:rFonts w:hint="eastAsia"/>
                <w:sz w:val="21"/>
                <w:szCs w:val="20"/>
              </w:rPr>
              <w:t>选矿厂</w:t>
            </w:r>
          </w:p>
        </w:tc>
        <w:tc>
          <w:tcPr>
            <w:tcW w:w="1438" w:type="pct"/>
            <w:vAlign w:val="center"/>
          </w:tcPr>
          <w:p w14:paraId="52F8C687">
            <w:pPr>
              <w:spacing w:line="240" w:lineRule="auto"/>
              <w:ind w:firstLine="0" w:firstLineChars="0"/>
              <w:jc w:val="center"/>
              <w:rPr>
                <w:sz w:val="21"/>
                <w:szCs w:val="20"/>
              </w:rPr>
            </w:pPr>
            <w:r>
              <w:rPr>
                <w:rFonts w:hint="eastAsia"/>
                <w:sz w:val="21"/>
                <w:szCs w:val="20"/>
              </w:rPr>
              <w:t>/</w:t>
            </w:r>
          </w:p>
        </w:tc>
        <w:tc>
          <w:tcPr>
            <w:tcW w:w="1000" w:type="pct"/>
            <w:vAlign w:val="center"/>
          </w:tcPr>
          <w:p w14:paraId="2CE50668">
            <w:pPr>
              <w:spacing w:line="240" w:lineRule="auto"/>
              <w:ind w:firstLine="0" w:firstLineChars="0"/>
              <w:jc w:val="center"/>
              <w:rPr>
                <w:sz w:val="21"/>
                <w:szCs w:val="20"/>
              </w:rPr>
            </w:pPr>
            <w:r>
              <w:rPr>
                <w:rFonts w:hint="eastAsia"/>
                <w:sz w:val="21"/>
                <w:szCs w:val="20"/>
              </w:rPr>
              <w:t>厂址处</w:t>
            </w:r>
          </w:p>
        </w:tc>
      </w:tr>
      <w:tr w14:paraId="478F4A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vAlign w:val="center"/>
          </w:tcPr>
          <w:p w14:paraId="32BE873F">
            <w:pPr>
              <w:spacing w:line="240" w:lineRule="auto"/>
              <w:ind w:firstLine="0" w:firstLineChars="0"/>
              <w:jc w:val="center"/>
              <w:rPr>
                <w:sz w:val="21"/>
                <w:szCs w:val="20"/>
              </w:rPr>
            </w:pPr>
            <w:r>
              <w:rPr>
                <w:rFonts w:hint="eastAsia"/>
                <w:sz w:val="21"/>
                <w:szCs w:val="20"/>
              </w:rPr>
              <w:t>G2</w:t>
            </w:r>
          </w:p>
        </w:tc>
        <w:tc>
          <w:tcPr>
            <w:tcW w:w="922" w:type="pct"/>
            <w:vAlign w:val="center"/>
          </w:tcPr>
          <w:p w14:paraId="525759D9">
            <w:pPr>
              <w:spacing w:line="240" w:lineRule="auto"/>
              <w:ind w:firstLine="0" w:firstLineChars="0"/>
              <w:jc w:val="center"/>
              <w:rPr>
                <w:sz w:val="21"/>
                <w:szCs w:val="20"/>
              </w:rPr>
            </w:pPr>
            <w:r>
              <w:rPr>
                <w:rFonts w:hint="eastAsia"/>
                <w:sz w:val="21"/>
                <w:szCs w:val="20"/>
              </w:rPr>
              <w:t>选矿厂下风向</w:t>
            </w:r>
          </w:p>
        </w:tc>
        <w:tc>
          <w:tcPr>
            <w:tcW w:w="820" w:type="pct"/>
            <w:vMerge w:val="continue"/>
            <w:vAlign w:val="center"/>
          </w:tcPr>
          <w:p w14:paraId="7C1EAB20">
            <w:pPr>
              <w:spacing w:line="240" w:lineRule="auto"/>
              <w:ind w:firstLine="0" w:firstLineChars="0"/>
              <w:jc w:val="center"/>
              <w:rPr>
                <w:sz w:val="21"/>
                <w:szCs w:val="20"/>
              </w:rPr>
            </w:pPr>
          </w:p>
        </w:tc>
        <w:tc>
          <w:tcPr>
            <w:tcW w:w="1438" w:type="pct"/>
            <w:vAlign w:val="center"/>
          </w:tcPr>
          <w:p w14:paraId="3F97EDE6">
            <w:pPr>
              <w:spacing w:line="240" w:lineRule="auto"/>
              <w:ind w:firstLine="0" w:firstLineChars="0"/>
              <w:jc w:val="center"/>
              <w:rPr>
                <w:sz w:val="21"/>
                <w:szCs w:val="20"/>
              </w:rPr>
            </w:pPr>
            <w:r>
              <w:rPr>
                <w:rFonts w:hint="eastAsia"/>
                <w:sz w:val="21"/>
                <w:szCs w:val="20"/>
              </w:rPr>
              <w:t>/</w:t>
            </w:r>
          </w:p>
        </w:tc>
        <w:tc>
          <w:tcPr>
            <w:tcW w:w="1000" w:type="pct"/>
            <w:vAlign w:val="center"/>
          </w:tcPr>
          <w:p w14:paraId="428E7363">
            <w:pPr>
              <w:spacing w:line="240" w:lineRule="auto"/>
              <w:ind w:firstLine="0" w:firstLineChars="0"/>
              <w:jc w:val="center"/>
              <w:rPr>
                <w:sz w:val="21"/>
                <w:szCs w:val="20"/>
              </w:rPr>
            </w:pPr>
            <w:r>
              <w:rPr>
                <w:rFonts w:hint="eastAsia"/>
                <w:sz w:val="21"/>
                <w:szCs w:val="20"/>
              </w:rPr>
              <w:t>厂址处</w:t>
            </w:r>
          </w:p>
        </w:tc>
      </w:tr>
      <w:tr w14:paraId="0C9DBA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vAlign w:val="center"/>
          </w:tcPr>
          <w:p w14:paraId="342F938C">
            <w:pPr>
              <w:spacing w:line="240" w:lineRule="auto"/>
              <w:ind w:firstLine="0" w:firstLineChars="0"/>
              <w:jc w:val="center"/>
              <w:rPr>
                <w:sz w:val="21"/>
                <w:szCs w:val="20"/>
              </w:rPr>
            </w:pPr>
            <w:r>
              <w:rPr>
                <w:rFonts w:hint="eastAsia"/>
                <w:sz w:val="21"/>
                <w:szCs w:val="20"/>
              </w:rPr>
              <w:t>G3</w:t>
            </w:r>
          </w:p>
        </w:tc>
        <w:tc>
          <w:tcPr>
            <w:tcW w:w="922" w:type="pct"/>
            <w:vAlign w:val="center"/>
          </w:tcPr>
          <w:p w14:paraId="203C21A0">
            <w:pPr>
              <w:spacing w:line="240" w:lineRule="auto"/>
              <w:ind w:firstLine="0" w:firstLineChars="0"/>
              <w:jc w:val="center"/>
              <w:rPr>
                <w:sz w:val="21"/>
                <w:szCs w:val="20"/>
              </w:rPr>
            </w:pPr>
            <w:r>
              <w:rPr>
                <w:rFonts w:hint="eastAsia"/>
                <w:sz w:val="21"/>
                <w:szCs w:val="20"/>
              </w:rPr>
              <w:t>尾矿库上风向</w:t>
            </w:r>
          </w:p>
        </w:tc>
        <w:tc>
          <w:tcPr>
            <w:tcW w:w="820" w:type="pct"/>
            <w:vMerge w:val="restart"/>
            <w:vAlign w:val="center"/>
          </w:tcPr>
          <w:p w14:paraId="3DE2C0B4">
            <w:pPr>
              <w:spacing w:line="240" w:lineRule="auto"/>
              <w:ind w:firstLine="0" w:firstLineChars="0"/>
              <w:jc w:val="center"/>
              <w:rPr>
                <w:sz w:val="21"/>
                <w:szCs w:val="20"/>
              </w:rPr>
            </w:pPr>
            <w:r>
              <w:rPr>
                <w:rFonts w:hint="eastAsia"/>
                <w:sz w:val="21"/>
                <w:szCs w:val="20"/>
              </w:rPr>
              <w:t>尾矿库</w:t>
            </w:r>
          </w:p>
        </w:tc>
        <w:tc>
          <w:tcPr>
            <w:tcW w:w="1438" w:type="pct"/>
          </w:tcPr>
          <w:p w14:paraId="3F07A177">
            <w:pPr>
              <w:spacing w:line="240" w:lineRule="auto"/>
              <w:ind w:firstLine="0" w:firstLineChars="0"/>
              <w:jc w:val="center"/>
              <w:rPr>
                <w:sz w:val="21"/>
                <w:szCs w:val="20"/>
              </w:rPr>
            </w:pPr>
            <w:r>
              <w:rPr>
                <w:sz w:val="21"/>
                <w:szCs w:val="20"/>
              </w:rPr>
              <w:t>西北偏西侧，820m</w:t>
            </w:r>
          </w:p>
        </w:tc>
        <w:tc>
          <w:tcPr>
            <w:tcW w:w="1000" w:type="pct"/>
          </w:tcPr>
          <w:p w14:paraId="22CA3789">
            <w:pPr>
              <w:spacing w:line="240" w:lineRule="auto"/>
              <w:ind w:firstLine="0" w:firstLineChars="0"/>
              <w:jc w:val="center"/>
              <w:rPr>
                <w:sz w:val="21"/>
                <w:szCs w:val="20"/>
              </w:rPr>
            </w:pPr>
            <w:r>
              <w:rPr>
                <w:sz w:val="21"/>
                <w:szCs w:val="20"/>
              </w:rPr>
              <w:t>周边敏感点</w:t>
            </w:r>
          </w:p>
        </w:tc>
      </w:tr>
      <w:tr w14:paraId="17A3BE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vAlign w:val="center"/>
          </w:tcPr>
          <w:p w14:paraId="1A0016FA">
            <w:pPr>
              <w:spacing w:line="240" w:lineRule="auto"/>
              <w:ind w:firstLine="0" w:firstLineChars="0"/>
              <w:jc w:val="center"/>
              <w:rPr>
                <w:sz w:val="21"/>
                <w:szCs w:val="20"/>
              </w:rPr>
            </w:pPr>
            <w:r>
              <w:rPr>
                <w:rFonts w:hint="eastAsia"/>
                <w:sz w:val="21"/>
                <w:szCs w:val="20"/>
              </w:rPr>
              <w:t>G4</w:t>
            </w:r>
          </w:p>
        </w:tc>
        <w:tc>
          <w:tcPr>
            <w:tcW w:w="922" w:type="pct"/>
            <w:vAlign w:val="center"/>
          </w:tcPr>
          <w:p w14:paraId="107E3EDA">
            <w:pPr>
              <w:spacing w:line="240" w:lineRule="auto"/>
              <w:ind w:firstLine="0" w:firstLineChars="0"/>
              <w:jc w:val="center"/>
              <w:rPr>
                <w:sz w:val="21"/>
                <w:szCs w:val="20"/>
              </w:rPr>
            </w:pPr>
            <w:r>
              <w:rPr>
                <w:rFonts w:hint="eastAsia"/>
                <w:sz w:val="21"/>
                <w:szCs w:val="20"/>
              </w:rPr>
              <w:t>尾矿库下风向</w:t>
            </w:r>
          </w:p>
        </w:tc>
        <w:tc>
          <w:tcPr>
            <w:tcW w:w="820" w:type="pct"/>
            <w:vMerge w:val="continue"/>
            <w:vAlign w:val="center"/>
          </w:tcPr>
          <w:p w14:paraId="563DF65A">
            <w:pPr>
              <w:spacing w:line="240" w:lineRule="auto"/>
              <w:ind w:firstLine="0" w:firstLineChars="0"/>
              <w:jc w:val="center"/>
              <w:rPr>
                <w:sz w:val="21"/>
                <w:szCs w:val="20"/>
              </w:rPr>
            </w:pPr>
          </w:p>
        </w:tc>
        <w:tc>
          <w:tcPr>
            <w:tcW w:w="1438" w:type="pct"/>
          </w:tcPr>
          <w:p w14:paraId="2220CDA3">
            <w:pPr>
              <w:spacing w:line="240" w:lineRule="auto"/>
              <w:ind w:firstLine="0" w:firstLineChars="0"/>
              <w:jc w:val="center"/>
              <w:rPr>
                <w:sz w:val="21"/>
                <w:szCs w:val="20"/>
              </w:rPr>
            </w:pPr>
            <w:r>
              <w:rPr>
                <w:sz w:val="21"/>
                <w:szCs w:val="20"/>
              </w:rPr>
              <w:t>西南侧，520m</w:t>
            </w:r>
          </w:p>
        </w:tc>
        <w:tc>
          <w:tcPr>
            <w:tcW w:w="1000" w:type="pct"/>
          </w:tcPr>
          <w:p w14:paraId="5F7DB21E">
            <w:pPr>
              <w:spacing w:line="240" w:lineRule="auto"/>
              <w:ind w:firstLine="0" w:firstLineChars="0"/>
              <w:jc w:val="center"/>
              <w:rPr>
                <w:sz w:val="21"/>
                <w:szCs w:val="20"/>
              </w:rPr>
            </w:pPr>
            <w:r>
              <w:rPr>
                <w:sz w:val="21"/>
                <w:szCs w:val="20"/>
              </w:rPr>
              <w:t>周边敏感点</w:t>
            </w:r>
          </w:p>
        </w:tc>
      </w:tr>
    </w:tbl>
    <w:p w14:paraId="7FC4A63B">
      <w:pPr>
        <w:ind w:firstLine="482"/>
        <w:rPr>
          <w:b/>
          <w:bCs/>
        </w:rPr>
      </w:pPr>
      <w:r>
        <w:rPr>
          <w:rFonts w:hint="eastAsia"/>
          <w:b/>
          <w:bCs/>
        </w:rPr>
        <w:t>2、监测因子</w:t>
      </w:r>
    </w:p>
    <w:p w14:paraId="362A215E">
      <w:pPr>
        <w:ind w:firstLine="480"/>
      </w:pPr>
      <w:r>
        <w:rPr>
          <w:rFonts w:hint="eastAsia"/>
        </w:rPr>
        <w:t>监测因子为</w:t>
      </w:r>
      <w:r>
        <w:t>PM</w:t>
      </w:r>
      <w:r>
        <w:rPr>
          <w:vertAlign w:val="subscript"/>
        </w:rPr>
        <w:t>10</w:t>
      </w:r>
      <w:r>
        <w:rPr>
          <w:rFonts w:hint="eastAsia"/>
        </w:rPr>
        <w:t>、T</w:t>
      </w:r>
      <w:r>
        <w:t>SP</w:t>
      </w:r>
      <w:r>
        <w:rPr>
          <w:rFonts w:hint="eastAsia"/>
        </w:rPr>
        <w:t>，并收集同步气温、气压、风向、风速等气象观测资料。</w:t>
      </w:r>
    </w:p>
    <w:p w14:paraId="094ED769">
      <w:pPr>
        <w:ind w:firstLine="482"/>
        <w:rPr>
          <w:b/>
          <w:bCs/>
        </w:rPr>
      </w:pPr>
      <w:r>
        <w:rPr>
          <w:rFonts w:hint="eastAsia"/>
          <w:b/>
          <w:bCs/>
        </w:rPr>
        <w:t>3、监测时间及频次</w:t>
      </w:r>
    </w:p>
    <w:p w14:paraId="30AA9CD4">
      <w:pPr>
        <w:ind w:firstLine="480"/>
      </w:pPr>
      <w:r>
        <w:rPr>
          <w:rFonts w:hint="eastAsia"/>
        </w:rPr>
        <w:t>监测时间： 2024年3月4日。</w:t>
      </w:r>
    </w:p>
    <w:p w14:paraId="1C4F4803">
      <w:pPr>
        <w:ind w:firstLine="480"/>
      </w:pPr>
      <w:r>
        <w:rPr>
          <w:rFonts w:hint="eastAsia"/>
        </w:rPr>
        <w:t>监测频率：连续监测2天。</w:t>
      </w:r>
    </w:p>
    <w:p w14:paraId="288A4A26">
      <w:pPr>
        <w:ind w:firstLine="482"/>
        <w:rPr>
          <w:b/>
          <w:bCs/>
        </w:rPr>
      </w:pPr>
      <w:r>
        <w:rPr>
          <w:rFonts w:hint="eastAsia"/>
          <w:b/>
          <w:bCs/>
        </w:rPr>
        <w:t>4、采样分析方法</w:t>
      </w:r>
    </w:p>
    <w:p w14:paraId="5C4B49FA">
      <w:pPr>
        <w:ind w:firstLine="480"/>
      </w:pPr>
      <w:r>
        <w:rPr>
          <w:rFonts w:hint="eastAsia"/>
        </w:rPr>
        <w:t>本次采样监测方法按《环境监测技术规范》要求。</w:t>
      </w:r>
    </w:p>
    <w:p w14:paraId="4F61E22C">
      <w:pPr>
        <w:ind w:firstLine="482"/>
        <w:rPr>
          <w:b/>
          <w:bCs/>
        </w:rPr>
      </w:pPr>
      <w:r>
        <w:rPr>
          <w:rFonts w:hint="eastAsia"/>
          <w:b/>
          <w:bCs/>
        </w:rPr>
        <w:t>5、监测结果</w:t>
      </w:r>
    </w:p>
    <w:p w14:paraId="792E9077">
      <w:pPr>
        <w:ind w:firstLine="480"/>
      </w:pPr>
      <w:r>
        <w:rPr>
          <w:rFonts w:hint="eastAsia"/>
        </w:rPr>
        <w:t>环境空气质量现状监测结果如下表。</w:t>
      </w:r>
    </w:p>
    <w:p w14:paraId="0A69274F">
      <w:pPr>
        <w:ind w:firstLine="0" w:firstLineChars="0"/>
        <w:jc w:val="center"/>
        <w:rPr>
          <w:b/>
          <w:vertAlign w:val="superscript"/>
        </w:rPr>
      </w:pPr>
      <w:r>
        <w:rPr>
          <w:rFonts w:hint="eastAsia"/>
          <w:b/>
        </w:rPr>
        <w:t>表4.4-3</w:t>
      </w:r>
      <w:r>
        <w:rPr>
          <w:b/>
        </w:rPr>
        <w:t xml:space="preserve"> </w:t>
      </w:r>
      <w:r>
        <w:rPr>
          <w:rFonts w:hint="eastAsia"/>
          <w:b/>
        </w:rPr>
        <w:t xml:space="preserve">环境空气监测结果 </w:t>
      </w:r>
      <w:r>
        <w:rPr>
          <w:b/>
        </w:rPr>
        <w:t xml:space="preserve">  </w:t>
      </w:r>
      <w:r>
        <w:rPr>
          <w:rFonts w:hint="eastAsia"/>
          <w:b/>
        </w:rPr>
        <w:t>单位：mg/m</w:t>
      </w:r>
      <w:r>
        <w:rPr>
          <w:rFonts w:hint="eastAsia"/>
          <w:b/>
          <w:vertAlign w:val="superscript"/>
        </w:rPr>
        <w:t>3</w:t>
      </w:r>
    </w:p>
    <w:tbl>
      <w:tblPr>
        <w:tblStyle w:val="139"/>
        <w:tblW w:w="8945"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42"/>
        <w:gridCol w:w="2228"/>
        <w:gridCol w:w="2229"/>
        <w:gridCol w:w="2246"/>
      </w:tblGrid>
      <w:tr w14:paraId="0BBFA8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trPr>
        <w:tc>
          <w:tcPr>
            <w:tcW w:w="2242" w:type="dxa"/>
            <w:tcBorders>
              <w:left w:val="single" w:color="000000" w:sz="10" w:space="0"/>
            </w:tcBorders>
          </w:tcPr>
          <w:p w14:paraId="4014B6F4">
            <w:pPr>
              <w:spacing w:line="240" w:lineRule="auto"/>
              <w:ind w:firstLine="0" w:firstLineChars="0"/>
              <w:jc w:val="center"/>
              <w:rPr>
                <w:rFonts w:cstheme="minorBidi"/>
                <w:b/>
                <w:bCs/>
                <w:snapToGrid w:val="0"/>
                <w:color w:val="000000"/>
                <w:kern w:val="0"/>
                <w:sz w:val="21"/>
                <w:szCs w:val="20"/>
              </w:rPr>
            </w:pPr>
            <w:r>
              <w:rPr>
                <w:rFonts w:cstheme="minorBidi"/>
                <w:b/>
                <w:bCs/>
                <w:snapToGrid w:val="0"/>
                <w:color w:val="000000"/>
                <w:kern w:val="0"/>
                <w:sz w:val="21"/>
                <w:szCs w:val="20"/>
              </w:rPr>
              <w:t>日期</w:t>
            </w:r>
          </w:p>
        </w:tc>
        <w:tc>
          <w:tcPr>
            <w:tcW w:w="2228" w:type="dxa"/>
          </w:tcPr>
          <w:p w14:paraId="75BB8C39">
            <w:pPr>
              <w:spacing w:line="240" w:lineRule="auto"/>
              <w:ind w:firstLine="0" w:firstLineChars="0"/>
              <w:jc w:val="center"/>
              <w:rPr>
                <w:rFonts w:cstheme="minorBidi"/>
                <w:b/>
                <w:bCs/>
                <w:snapToGrid w:val="0"/>
                <w:color w:val="000000"/>
                <w:kern w:val="0"/>
                <w:sz w:val="21"/>
                <w:szCs w:val="20"/>
              </w:rPr>
            </w:pPr>
            <w:r>
              <w:rPr>
                <w:rFonts w:cstheme="minorBidi"/>
                <w:b/>
                <w:bCs/>
                <w:snapToGrid w:val="0"/>
                <w:color w:val="000000"/>
                <w:kern w:val="0"/>
                <w:sz w:val="21"/>
                <w:szCs w:val="20"/>
              </w:rPr>
              <w:t>单位</w:t>
            </w:r>
          </w:p>
        </w:tc>
        <w:tc>
          <w:tcPr>
            <w:tcW w:w="2229" w:type="dxa"/>
          </w:tcPr>
          <w:p w14:paraId="36FF61E4">
            <w:pPr>
              <w:spacing w:line="240" w:lineRule="auto"/>
              <w:ind w:firstLine="0" w:firstLineChars="0"/>
              <w:jc w:val="center"/>
              <w:rPr>
                <w:rFonts w:cstheme="minorBidi"/>
                <w:b/>
                <w:bCs/>
                <w:snapToGrid w:val="0"/>
                <w:color w:val="000000"/>
                <w:kern w:val="0"/>
                <w:sz w:val="21"/>
                <w:szCs w:val="20"/>
              </w:rPr>
            </w:pPr>
            <w:r>
              <w:rPr>
                <w:rFonts w:cstheme="minorBidi"/>
                <w:b/>
                <w:bCs/>
                <w:snapToGrid w:val="0"/>
                <w:color w:val="000000"/>
                <w:kern w:val="0"/>
                <w:sz w:val="21"/>
                <w:szCs w:val="20"/>
              </w:rPr>
              <w:t>点位</w:t>
            </w:r>
          </w:p>
        </w:tc>
        <w:tc>
          <w:tcPr>
            <w:tcW w:w="2246" w:type="dxa"/>
            <w:tcBorders>
              <w:right w:val="single" w:color="000000" w:sz="10" w:space="0"/>
            </w:tcBorders>
          </w:tcPr>
          <w:p w14:paraId="7E5B32FA">
            <w:pPr>
              <w:spacing w:line="240" w:lineRule="auto"/>
              <w:ind w:firstLine="0" w:firstLineChars="0"/>
              <w:jc w:val="center"/>
              <w:rPr>
                <w:rFonts w:cstheme="minorBidi"/>
                <w:b/>
                <w:bCs/>
                <w:snapToGrid w:val="0"/>
                <w:color w:val="000000"/>
                <w:kern w:val="0"/>
                <w:sz w:val="21"/>
                <w:szCs w:val="20"/>
              </w:rPr>
            </w:pPr>
            <w:r>
              <w:rPr>
                <w:rFonts w:cstheme="minorBidi"/>
                <w:b/>
                <w:bCs/>
                <w:snapToGrid w:val="0"/>
                <w:color w:val="000000"/>
                <w:kern w:val="0"/>
                <w:sz w:val="21"/>
                <w:szCs w:val="20"/>
              </w:rPr>
              <w:t>PM</w:t>
            </w:r>
            <w:r>
              <w:rPr>
                <w:rFonts w:cstheme="minorBidi"/>
                <w:b/>
                <w:bCs/>
                <w:snapToGrid w:val="0"/>
                <w:color w:val="000000"/>
                <w:kern w:val="0"/>
                <w:sz w:val="21"/>
                <w:szCs w:val="20"/>
                <w:vertAlign w:val="subscript"/>
              </w:rPr>
              <w:t>10</w:t>
            </w:r>
          </w:p>
        </w:tc>
      </w:tr>
      <w:tr w14:paraId="3D53F4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242" w:type="dxa"/>
            <w:vMerge w:val="restart"/>
            <w:tcBorders>
              <w:left w:val="single" w:color="000000" w:sz="10" w:space="0"/>
            </w:tcBorders>
          </w:tcPr>
          <w:p w14:paraId="36CC73F1">
            <w:pPr>
              <w:spacing w:before="65" w:line="240" w:lineRule="auto"/>
              <w:ind w:firstLine="0" w:firstLineChars="0"/>
              <w:jc w:val="center"/>
              <w:rPr>
                <w:rFonts w:cstheme="minorBidi"/>
                <w:snapToGrid w:val="0"/>
                <w:color w:val="000000"/>
                <w:kern w:val="0"/>
                <w:sz w:val="21"/>
                <w:szCs w:val="20"/>
              </w:rPr>
            </w:pPr>
            <w:r>
              <w:rPr>
                <w:rFonts w:cstheme="minorBidi"/>
                <w:snapToGrid w:val="0"/>
                <w:color w:val="000000"/>
                <w:kern w:val="0"/>
                <w:sz w:val="21"/>
                <w:szCs w:val="20"/>
              </w:rPr>
              <w:t>2021.1.11</w:t>
            </w:r>
          </w:p>
        </w:tc>
        <w:tc>
          <w:tcPr>
            <w:tcW w:w="2228" w:type="dxa"/>
            <w:vMerge w:val="restart"/>
          </w:tcPr>
          <w:p w14:paraId="0198BB0F">
            <w:pPr>
              <w:spacing w:before="65" w:line="240" w:lineRule="auto"/>
              <w:ind w:firstLine="0" w:firstLineChars="0"/>
              <w:jc w:val="center"/>
              <w:rPr>
                <w:rFonts w:cstheme="minorBidi"/>
                <w:snapToGrid w:val="0"/>
                <w:color w:val="000000"/>
                <w:kern w:val="0"/>
                <w:sz w:val="21"/>
                <w:szCs w:val="20"/>
              </w:rPr>
            </w:pPr>
            <w:r>
              <w:rPr>
                <w:rFonts w:hint="eastAsia" w:cstheme="minorBidi"/>
                <w:snapToGrid w:val="0"/>
                <w:color w:val="000000"/>
                <w:kern w:val="0"/>
                <w:sz w:val="21"/>
                <w:szCs w:val="20"/>
              </w:rPr>
              <w:t>mg</w:t>
            </w:r>
            <w:r>
              <w:rPr>
                <w:rFonts w:cstheme="minorBidi"/>
                <w:snapToGrid w:val="0"/>
                <w:color w:val="000000"/>
                <w:kern w:val="0"/>
                <w:sz w:val="21"/>
                <w:szCs w:val="20"/>
              </w:rPr>
              <w:t>/m</w:t>
            </w:r>
            <w:r>
              <w:rPr>
                <w:rFonts w:cstheme="minorBidi"/>
                <w:snapToGrid w:val="0"/>
                <w:color w:val="000000"/>
                <w:kern w:val="0"/>
                <w:sz w:val="21"/>
                <w:szCs w:val="20"/>
                <w:vertAlign w:val="superscript"/>
              </w:rPr>
              <w:t>3</w:t>
            </w:r>
          </w:p>
        </w:tc>
        <w:tc>
          <w:tcPr>
            <w:tcW w:w="2229" w:type="dxa"/>
          </w:tcPr>
          <w:p w14:paraId="5B4CF268">
            <w:pPr>
              <w:spacing w:before="102" w:line="240" w:lineRule="auto"/>
              <w:ind w:firstLine="0" w:firstLineChars="0"/>
              <w:jc w:val="center"/>
              <w:rPr>
                <w:rFonts w:cstheme="minorBidi"/>
                <w:snapToGrid w:val="0"/>
                <w:color w:val="000000"/>
                <w:kern w:val="0"/>
                <w:sz w:val="21"/>
                <w:szCs w:val="20"/>
              </w:rPr>
            </w:pPr>
            <w:r>
              <w:rPr>
                <w:rFonts w:cstheme="minorBidi"/>
                <w:snapToGrid w:val="0"/>
                <w:color w:val="000000"/>
                <w:kern w:val="0"/>
                <w:sz w:val="21"/>
                <w:szCs w:val="20"/>
              </w:rPr>
              <w:t>G1</w:t>
            </w:r>
          </w:p>
        </w:tc>
        <w:tc>
          <w:tcPr>
            <w:tcW w:w="2246" w:type="dxa"/>
            <w:tcBorders>
              <w:right w:val="single" w:color="000000" w:sz="10" w:space="0"/>
            </w:tcBorders>
          </w:tcPr>
          <w:p w14:paraId="31FC7652">
            <w:pPr>
              <w:spacing w:before="103" w:line="240" w:lineRule="auto"/>
              <w:ind w:firstLine="0" w:firstLineChars="0"/>
              <w:jc w:val="center"/>
              <w:rPr>
                <w:rFonts w:cstheme="minorBidi"/>
                <w:snapToGrid w:val="0"/>
                <w:color w:val="000000"/>
                <w:kern w:val="0"/>
                <w:sz w:val="21"/>
                <w:szCs w:val="20"/>
              </w:rPr>
            </w:pPr>
            <w:r>
              <w:rPr>
                <w:rFonts w:hint="eastAsia" w:cstheme="minorBidi"/>
                <w:snapToGrid w:val="0"/>
                <w:color w:val="000000"/>
                <w:kern w:val="0"/>
                <w:sz w:val="21"/>
                <w:szCs w:val="20"/>
              </w:rPr>
              <w:t>0.109</w:t>
            </w:r>
          </w:p>
        </w:tc>
      </w:tr>
      <w:tr w14:paraId="430D70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242" w:type="dxa"/>
            <w:vMerge w:val="continue"/>
            <w:tcBorders>
              <w:left w:val="single" w:color="000000" w:sz="10" w:space="0"/>
            </w:tcBorders>
          </w:tcPr>
          <w:p w14:paraId="58D2860D">
            <w:pPr>
              <w:spacing w:line="240" w:lineRule="auto"/>
              <w:ind w:firstLine="0" w:firstLineChars="0"/>
              <w:jc w:val="center"/>
              <w:rPr>
                <w:rFonts w:cs="Arial"/>
                <w:snapToGrid w:val="0"/>
                <w:color w:val="000000"/>
                <w:kern w:val="0"/>
                <w:sz w:val="21"/>
                <w:szCs w:val="20"/>
              </w:rPr>
            </w:pPr>
          </w:p>
        </w:tc>
        <w:tc>
          <w:tcPr>
            <w:tcW w:w="2228" w:type="dxa"/>
            <w:vMerge w:val="continue"/>
          </w:tcPr>
          <w:p w14:paraId="1F6D7AA4">
            <w:pPr>
              <w:spacing w:line="240" w:lineRule="auto"/>
              <w:ind w:firstLine="0" w:firstLineChars="0"/>
              <w:jc w:val="center"/>
              <w:rPr>
                <w:rFonts w:cs="Arial"/>
                <w:snapToGrid w:val="0"/>
                <w:color w:val="000000"/>
                <w:kern w:val="0"/>
                <w:sz w:val="21"/>
                <w:szCs w:val="20"/>
              </w:rPr>
            </w:pPr>
          </w:p>
        </w:tc>
        <w:tc>
          <w:tcPr>
            <w:tcW w:w="2229" w:type="dxa"/>
          </w:tcPr>
          <w:p w14:paraId="460697DB">
            <w:pPr>
              <w:spacing w:before="107" w:line="240" w:lineRule="auto"/>
              <w:ind w:firstLine="0" w:firstLineChars="0"/>
              <w:jc w:val="center"/>
              <w:rPr>
                <w:rFonts w:cstheme="minorBidi"/>
                <w:snapToGrid w:val="0"/>
                <w:color w:val="000000"/>
                <w:kern w:val="0"/>
                <w:sz w:val="21"/>
                <w:szCs w:val="20"/>
              </w:rPr>
            </w:pPr>
            <w:r>
              <w:rPr>
                <w:rFonts w:cstheme="minorBidi"/>
                <w:snapToGrid w:val="0"/>
                <w:color w:val="000000"/>
                <w:kern w:val="0"/>
                <w:sz w:val="21"/>
                <w:szCs w:val="20"/>
              </w:rPr>
              <w:t>G2</w:t>
            </w:r>
          </w:p>
        </w:tc>
        <w:tc>
          <w:tcPr>
            <w:tcW w:w="2246" w:type="dxa"/>
            <w:tcBorders>
              <w:right w:val="single" w:color="000000" w:sz="10" w:space="0"/>
            </w:tcBorders>
          </w:tcPr>
          <w:p w14:paraId="05FC81D5">
            <w:pPr>
              <w:spacing w:before="107" w:line="240" w:lineRule="auto"/>
              <w:ind w:firstLine="0" w:firstLineChars="0"/>
              <w:jc w:val="center"/>
              <w:rPr>
                <w:rFonts w:cstheme="minorBidi"/>
                <w:snapToGrid w:val="0"/>
                <w:color w:val="000000"/>
                <w:kern w:val="0"/>
                <w:sz w:val="21"/>
                <w:szCs w:val="20"/>
              </w:rPr>
            </w:pPr>
            <w:r>
              <w:rPr>
                <w:rFonts w:hint="eastAsia" w:cstheme="minorBidi"/>
                <w:snapToGrid w:val="0"/>
                <w:color w:val="000000"/>
                <w:kern w:val="0"/>
                <w:sz w:val="21"/>
                <w:szCs w:val="20"/>
              </w:rPr>
              <w:t>0.124</w:t>
            </w:r>
          </w:p>
        </w:tc>
      </w:tr>
      <w:tr w14:paraId="2401BF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242" w:type="dxa"/>
            <w:vMerge w:val="continue"/>
            <w:tcBorders>
              <w:left w:val="single" w:color="000000" w:sz="10" w:space="0"/>
            </w:tcBorders>
          </w:tcPr>
          <w:p w14:paraId="75A625A0">
            <w:pPr>
              <w:spacing w:line="240" w:lineRule="auto"/>
              <w:ind w:firstLine="0" w:firstLineChars="0"/>
              <w:jc w:val="center"/>
              <w:rPr>
                <w:rFonts w:cs="Arial"/>
                <w:snapToGrid w:val="0"/>
                <w:color w:val="000000"/>
                <w:kern w:val="0"/>
                <w:sz w:val="21"/>
                <w:szCs w:val="20"/>
              </w:rPr>
            </w:pPr>
          </w:p>
        </w:tc>
        <w:tc>
          <w:tcPr>
            <w:tcW w:w="2228" w:type="dxa"/>
            <w:vMerge w:val="continue"/>
          </w:tcPr>
          <w:p w14:paraId="01FE6F3A">
            <w:pPr>
              <w:spacing w:line="240" w:lineRule="auto"/>
              <w:ind w:firstLine="0" w:firstLineChars="0"/>
              <w:jc w:val="center"/>
              <w:rPr>
                <w:rFonts w:cs="Arial"/>
                <w:snapToGrid w:val="0"/>
                <w:color w:val="000000"/>
                <w:kern w:val="0"/>
                <w:sz w:val="21"/>
                <w:szCs w:val="20"/>
              </w:rPr>
            </w:pPr>
          </w:p>
        </w:tc>
        <w:tc>
          <w:tcPr>
            <w:tcW w:w="2229" w:type="dxa"/>
          </w:tcPr>
          <w:p w14:paraId="18FDC08A">
            <w:pPr>
              <w:spacing w:before="106" w:line="240" w:lineRule="auto"/>
              <w:ind w:firstLine="0" w:firstLineChars="0"/>
              <w:jc w:val="center"/>
              <w:rPr>
                <w:rFonts w:cstheme="minorBidi"/>
                <w:snapToGrid w:val="0"/>
                <w:color w:val="000000"/>
                <w:kern w:val="0"/>
                <w:sz w:val="21"/>
                <w:szCs w:val="20"/>
              </w:rPr>
            </w:pPr>
            <w:r>
              <w:rPr>
                <w:rFonts w:cstheme="minorBidi"/>
                <w:snapToGrid w:val="0"/>
                <w:color w:val="000000"/>
                <w:kern w:val="0"/>
                <w:sz w:val="21"/>
                <w:szCs w:val="20"/>
              </w:rPr>
              <w:t>G3</w:t>
            </w:r>
          </w:p>
        </w:tc>
        <w:tc>
          <w:tcPr>
            <w:tcW w:w="2246" w:type="dxa"/>
            <w:tcBorders>
              <w:right w:val="single" w:color="000000" w:sz="10" w:space="0"/>
            </w:tcBorders>
          </w:tcPr>
          <w:p w14:paraId="59D03803">
            <w:pPr>
              <w:spacing w:before="106" w:line="240" w:lineRule="auto"/>
              <w:ind w:firstLine="0" w:firstLineChars="0"/>
              <w:jc w:val="center"/>
              <w:rPr>
                <w:rFonts w:cstheme="minorBidi"/>
                <w:snapToGrid w:val="0"/>
                <w:color w:val="000000"/>
                <w:kern w:val="0"/>
                <w:sz w:val="21"/>
                <w:szCs w:val="20"/>
              </w:rPr>
            </w:pPr>
            <w:r>
              <w:rPr>
                <w:rFonts w:hint="eastAsia" w:cstheme="minorBidi"/>
                <w:snapToGrid w:val="0"/>
                <w:color w:val="000000"/>
                <w:kern w:val="0"/>
                <w:sz w:val="21"/>
                <w:szCs w:val="20"/>
              </w:rPr>
              <w:t>0.106</w:t>
            </w:r>
          </w:p>
        </w:tc>
      </w:tr>
      <w:tr w14:paraId="5BDDEB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242" w:type="dxa"/>
            <w:vMerge w:val="continue"/>
            <w:tcBorders>
              <w:left w:val="single" w:color="000000" w:sz="10" w:space="0"/>
            </w:tcBorders>
          </w:tcPr>
          <w:p w14:paraId="10E6C974">
            <w:pPr>
              <w:spacing w:line="240" w:lineRule="auto"/>
              <w:ind w:firstLine="0" w:firstLineChars="0"/>
              <w:jc w:val="center"/>
              <w:rPr>
                <w:rFonts w:cs="Arial"/>
                <w:snapToGrid w:val="0"/>
                <w:color w:val="000000"/>
                <w:kern w:val="0"/>
                <w:sz w:val="21"/>
                <w:szCs w:val="20"/>
              </w:rPr>
            </w:pPr>
          </w:p>
        </w:tc>
        <w:tc>
          <w:tcPr>
            <w:tcW w:w="2228" w:type="dxa"/>
            <w:vMerge w:val="continue"/>
          </w:tcPr>
          <w:p w14:paraId="00CB1A8C">
            <w:pPr>
              <w:spacing w:line="240" w:lineRule="auto"/>
              <w:ind w:firstLine="0" w:firstLineChars="0"/>
              <w:jc w:val="center"/>
              <w:rPr>
                <w:rFonts w:cs="Arial"/>
                <w:snapToGrid w:val="0"/>
                <w:color w:val="000000"/>
                <w:kern w:val="0"/>
                <w:sz w:val="21"/>
                <w:szCs w:val="20"/>
              </w:rPr>
            </w:pPr>
          </w:p>
        </w:tc>
        <w:tc>
          <w:tcPr>
            <w:tcW w:w="2229" w:type="dxa"/>
          </w:tcPr>
          <w:p w14:paraId="0AC61134">
            <w:pPr>
              <w:spacing w:before="106" w:line="240" w:lineRule="auto"/>
              <w:ind w:firstLine="0" w:firstLineChars="0"/>
              <w:jc w:val="center"/>
              <w:rPr>
                <w:rFonts w:cs="Arial"/>
                <w:snapToGrid w:val="0"/>
                <w:color w:val="000000"/>
                <w:kern w:val="0"/>
                <w:sz w:val="21"/>
                <w:szCs w:val="20"/>
              </w:rPr>
            </w:pPr>
            <w:r>
              <w:rPr>
                <w:rFonts w:hint="eastAsia" w:cs="Arial"/>
                <w:snapToGrid w:val="0"/>
                <w:color w:val="000000"/>
                <w:kern w:val="0"/>
                <w:sz w:val="21"/>
                <w:szCs w:val="20"/>
              </w:rPr>
              <w:t>G4</w:t>
            </w:r>
          </w:p>
        </w:tc>
        <w:tc>
          <w:tcPr>
            <w:tcW w:w="2246" w:type="dxa"/>
            <w:tcBorders>
              <w:right w:val="single" w:color="000000" w:sz="10" w:space="0"/>
            </w:tcBorders>
          </w:tcPr>
          <w:p w14:paraId="6B8EAF09">
            <w:pPr>
              <w:spacing w:before="106" w:line="240" w:lineRule="auto"/>
              <w:ind w:firstLine="0" w:firstLineChars="0"/>
              <w:jc w:val="center"/>
              <w:rPr>
                <w:rFonts w:cs="Arial"/>
                <w:snapToGrid w:val="0"/>
                <w:color w:val="000000"/>
                <w:kern w:val="0"/>
                <w:sz w:val="21"/>
                <w:szCs w:val="20"/>
              </w:rPr>
            </w:pPr>
            <w:r>
              <w:rPr>
                <w:rFonts w:hint="eastAsia" w:cs="Arial"/>
                <w:snapToGrid w:val="0"/>
                <w:color w:val="000000"/>
                <w:kern w:val="0"/>
                <w:sz w:val="21"/>
                <w:szCs w:val="20"/>
              </w:rPr>
              <w:t>0.133</w:t>
            </w:r>
          </w:p>
        </w:tc>
      </w:tr>
    </w:tbl>
    <w:p w14:paraId="4EF24A2E">
      <w:pPr>
        <w:ind w:firstLine="0" w:firstLineChars="0"/>
        <w:jc w:val="center"/>
        <w:rPr>
          <w:b/>
        </w:rPr>
      </w:pPr>
    </w:p>
    <w:p w14:paraId="0F9ADD30">
      <w:pPr>
        <w:keepNext/>
        <w:keepLines/>
        <w:ind w:firstLine="0" w:firstLineChars="0"/>
        <w:jc w:val="left"/>
        <w:outlineLvl w:val="3"/>
        <w:rPr>
          <w:rFonts w:cstheme="majorBidi"/>
          <w:b/>
          <w:bCs/>
          <w:sz w:val="28"/>
          <w:szCs w:val="28"/>
        </w:rPr>
      </w:pPr>
      <w:r>
        <w:rPr>
          <w:rFonts w:hint="eastAsia" w:cstheme="majorBidi"/>
          <w:b/>
          <w:bCs/>
          <w:sz w:val="28"/>
          <w:szCs w:val="28"/>
        </w:rPr>
        <w:t>4.4.1.3</w:t>
      </w:r>
      <w:r>
        <w:rPr>
          <w:rFonts w:cstheme="majorBidi"/>
          <w:b/>
          <w:bCs/>
          <w:sz w:val="28"/>
          <w:szCs w:val="28"/>
        </w:rPr>
        <w:t xml:space="preserve"> </w:t>
      </w:r>
      <w:r>
        <w:rPr>
          <w:rFonts w:hint="eastAsia" w:cstheme="majorBidi"/>
          <w:b/>
          <w:bCs/>
          <w:sz w:val="28"/>
          <w:szCs w:val="28"/>
        </w:rPr>
        <w:t>环境空气质量现状评价</w:t>
      </w:r>
    </w:p>
    <w:p w14:paraId="43242C6A">
      <w:pPr>
        <w:ind w:firstLine="482"/>
        <w:rPr>
          <w:b/>
          <w:bCs/>
        </w:rPr>
      </w:pPr>
      <w:r>
        <w:rPr>
          <w:rFonts w:hint="eastAsia"/>
          <w:b/>
          <w:bCs/>
        </w:rPr>
        <w:t>1、评价标准</w:t>
      </w:r>
    </w:p>
    <w:p w14:paraId="5DC8BE44">
      <w:pPr>
        <w:ind w:firstLine="480"/>
      </w:pPr>
      <w:r>
        <w:rPr>
          <w:rFonts w:hint="eastAsia"/>
        </w:rPr>
        <w:t>评价区大气污染物（PM</w:t>
      </w:r>
      <w:r>
        <w:rPr>
          <w:rFonts w:hint="eastAsia"/>
          <w:vertAlign w:val="subscript"/>
        </w:rPr>
        <w:t>10</w:t>
      </w:r>
      <w:r>
        <w:rPr>
          <w:rFonts w:hint="eastAsia"/>
        </w:rPr>
        <w:t>）执行《环境空气质量标准》（GB3095-2012）二级标准。</w:t>
      </w:r>
    </w:p>
    <w:p w14:paraId="793815C9">
      <w:pPr>
        <w:ind w:firstLine="482"/>
        <w:rPr>
          <w:b/>
          <w:bCs/>
        </w:rPr>
      </w:pPr>
      <w:r>
        <w:rPr>
          <w:rFonts w:hint="eastAsia"/>
          <w:b/>
          <w:bCs/>
        </w:rPr>
        <w:t>2、评价方法</w:t>
      </w:r>
    </w:p>
    <w:p w14:paraId="77A8AD1D">
      <w:pPr>
        <w:widowControl/>
        <w:ind w:firstLine="480"/>
        <w:rPr>
          <w:rFonts w:cs="Times New Roman"/>
          <w:szCs w:val="28"/>
          <w:lang w:val="zh-CN"/>
        </w:rPr>
      </w:pPr>
      <w:r>
        <w:rPr>
          <w:rFonts w:cs="Times New Roman"/>
          <w:szCs w:val="28"/>
          <w:lang w:val="zh-CN"/>
        </w:rPr>
        <w:t>采用单项质量指数法进行评价。</w:t>
      </w:r>
    </w:p>
    <w:p w14:paraId="1D061D5C">
      <w:pPr>
        <w:widowControl/>
        <w:ind w:firstLine="480"/>
        <w:rPr>
          <w:rFonts w:cs="Times New Roman"/>
          <w:szCs w:val="28"/>
          <w:lang w:val="zh-CN"/>
        </w:rPr>
      </w:pPr>
      <w:r>
        <w:rPr>
          <w:rFonts w:cs="Times New Roman"/>
          <w:szCs w:val="28"/>
          <w:lang w:val="zh-CN"/>
        </w:rPr>
        <w:t>单因子指数法计算公式为：</w:t>
      </w:r>
    </w:p>
    <w:p w14:paraId="0EA11496">
      <w:pPr>
        <w:widowControl/>
        <w:ind w:firstLine="0" w:firstLineChars="0"/>
        <w:jc w:val="center"/>
        <w:rPr>
          <w:rFonts w:cs="Times New Roman"/>
          <w:sz w:val="21"/>
          <w:szCs w:val="24"/>
        </w:rPr>
      </w:pPr>
      <w:r>
        <w:rPr>
          <w:rFonts w:cs="Times New Roman"/>
          <w:position w:val="-12"/>
          <w:sz w:val="21"/>
          <w:szCs w:val="24"/>
        </w:rPr>
        <w:drawing>
          <wp:inline distT="0" distB="0" distL="0" distR="0">
            <wp:extent cx="655320" cy="227330"/>
            <wp:effectExtent l="0" t="0" r="0" b="127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655320" cy="227330"/>
                    </a:xfrm>
                    <a:prstGeom prst="rect">
                      <a:avLst/>
                    </a:prstGeom>
                    <a:noFill/>
                    <a:ln>
                      <a:noFill/>
                    </a:ln>
                  </pic:spPr>
                </pic:pic>
              </a:graphicData>
            </a:graphic>
          </wp:inline>
        </w:drawing>
      </w:r>
    </w:p>
    <w:p w14:paraId="549F80E1">
      <w:pPr>
        <w:widowControl/>
        <w:ind w:firstLine="480"/>
        <w:rPr>
          <w:rFonts w:cs="Times New Roman"/>
          <w:szCs w:val="24"/>
        </w:rPr>
      </w:pPr>
      <w:r>
        <w:rPr>
          <w:rFonts w:cs="Times New Roman"/>
          <w:szCs w:val="24"/>
        </w:rPr>
        <w:t xml:space="preserve">式中： </w:t>
      </w:r>
      <w:r>
        <w:rPr>
          <w:rFonts w:cs="Times New Roman"/>
          <w:position w:val="-12"/>
          <w:sz w:val="21"/>
          <w:szCs w:val="24"/>
        </w:rPr>
        <w:drawing>
          <wp:inline distT="0" distB="0" distL="0" distR="0">
            <wp:extent cx="142875" cy="227330"/>
            <wp:effectExtent l="0" t="0" r="9525" b="127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142875" cy="227330"/>
                    </a:xfrm>
                    <a:prstGeom prst="rect">
                      <a:avLst/>
                    </a:prstGeom>
                    <a:noFill/>
                    <a:ln>
                      <a:noFill/>
                    </a:ln>
                  </pic:spPr>
                </pic:pic>
              </a:graphicData>
            </a:graphic>
          </wp:inline>
        </w:drawing>
      </w:r>
      <w:r>
        <w:rPr>
          <w:rFonts w:cs="Times New Roman"/>
          <w:szCs w:val="24"/>
        </w:rPr>
        <w:t>——</w:t>
      </w:r>
      <w:r>
        <w:rPr>
          <w:rFonts w:cs="Times New Roman"/>
          <w:position w:val="-6"/>
          <w:szCs w:val="24"/>
        </w:rPr>
        <w:drawing>
          <wp:inline distT="0" distB="0" distL="0" distR="0">
            <wp:extent cx="116205" cy="163830"/>
            <wp:effectExtent l="0" t="0" r="0" b="762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16205" cy="163830"/>
                    </a:xfrm>
                    <a:prstGeom prst="rect">
                      <a:avLst/>
                    </a:prstGeom>
                    <a:noFill/>
                    <a:ln>
                      <a:noFill/>
                    </a:ln>
                  </pic:spPr>
                </pic:pic>
              </a:graphicData>
            </a:graphic>
          </wp:inline>
        </w:drawing>
      </w:r>
      <w:r>
        <w:rPr>
          <w:rFonts w:cs="Times New Roman"/>
          <w:szCs w:val="24"/>
        </w:rPr>
        <w:t>污染物单因子指数；</w:t>
      </w:r>
    </w:p>
    <w:p w14:paraId="06200F09">
      <w:pPr>
        <w:widowControl/>
        <w:ind w:firstLine="1260" w:firstLineChars="600"/>
        <w:rPr>
          <w:rFonts w:cs="Times New Roman"/>
          <w:szCs w:val="24"/>
        </w:rPr>
      </w:pPr>
      <w:r>
        <w:rPr>
          <w:rFonts w:cs="Times New Roman"/>
          <w:position w:val="-12"/>
          <w:sz w:val="21"/>
          <w:szCs w:val="24"/>
        </w:rPr>
        <w:drawing>
          <wp:inline distT="0" distB="0" distL="0" distR="0">
            <wp:extent cx="163830" cy="227330"/>
            <wp:effectExtent l="0" t="0" r="7620" b="127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63830" cy="227330"/>
                    </a:xfrm>
                    <a:prstGeom prst="rect">
                      <a:avLst/>
                    </a:prstGeom>
                    <a:noFill/>
                    <a:ln>
                      <a:noFill/>
                    </a:ln>
                  </pic:spPr>
                </pic:pic>
              </a:graphicData>
            </a:graphic>
          </wp:inline>
        </w:drawing>
      </w:r>
      <w:r>
        <w:rPr>
          <w:rFonts w:cs="Times New Roman"/>
          <w:szCs w:val="24"/>
        </w:rPr>
        <w:t>——</w:t>
      </w:r>
      <w:r>
        <w:rPr>
          <w:rFonts w:cs="Times New Roman"/>
          <w:position w:val="-6"/>
          <w:szCs w:val="24"/>
        </w:rPr>
        <w:drawing>
          <wp:inline distT="0" distB="0" distL="0" distR="0">
            <wp:extent cx="116205" cy="163830"/>
            <wp:effectExtent l="0" t="0" r="0" b="762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16205" cy="163830"/>
                    </a:xfrm>
                    <a:prstGeom prst="rect">
                      <a:avLst/>
                    </a:prstGeom>
                    <a:noFill/>
                    <a:ln>
                      <a:noFill/>
                    </a:ln>
                  </pic:spPr>
                </pic:pic>
              </a:graphicData>
            </a:graphic>
          </wp:inline>
        </w:drawing>
      </w:r>
      <w:r>
        <w:rPr>
          <w:rFonts w:cs="Times New Roman"/>
          <w:szCs w:val="24"/>
        </w:rPr>
        <w:t>污染物实测浓度，mg/m</w:t>
      </w:r>
      <w:r>
        <w:rPr>
          <w:rFonts w:cs="Times New Roman"/>
          <w:szCs w:val="24"/>
          <w:vertAlign w:val="superscript"/>
        </w:rPr>
        <w:t>3</w:t>
      </w:r>
      <w:r>
        <w:rPr>
          <w:rFonts w:cs="Times New Roman"/>
          <w:szCs w:val="24"/>
        </w:rPr>
        <w:t>；</w:t>
      </w:r>
    </w:p>
    <w:p w14:paraId="16ED70D6">
      <w:pPr>
        <w:widowControl/>
        <w:ind w:firstLine="1260" w:firstLineChars="600"/>
        <w:rPr>
          <w:rFonts w:cs="Times New Roman"/>
          <w:szCs w:val="24"/>
        </w:rPr>
      </w:pPr>
      <w:r>
        <w:rPr>
          <w:rFonts w:cs="Times New Roman"/>
          <w:position w:val="-12"/>
          <w:sz w:val="21"/>
          <w:szCs w:val="24"/>
        </w:rPr>
        <w:drawing>
          <wp:inline distT="0" distB="0" distL="0" distR="0">
            <wp:extent cx="153035" cy="227330"/>
            <wp:effectExtent l="0" t="0" r="0" b="127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153035" cy="227330"/>
                    </a:xfrm>
                    <a:prstGeom prst="rect">
                      <a:avLst/>
                    </a:prstGeom>
                    <a:noFill/>
                    <a:ln>
                      <a:noFill/>
                    </a:ln>
                  </pic:spPr>
                </pic:pic>
              </a:graphicData>
            </a:graphic>
          </wp:inline>
        </w:drawing>
      </w:r>
      <w:r>
        <w:rPr>
          <w:rFonts w:cs="Times New Roman"/>
          <w:szCs w:val="24"/>
        </w:rPr>
        <w:t>——</w:t>
      </w:r>
      <w:r>
        <w:rPr>
          <w:rFonts w:cs="Times New Roman"/>
          <w:position w:val="-6"/>
          <w:szCs w:val="24"/>
        </w:rPr>
        <w:drawing>
          <wp:inline distT="0" distB="0" distL="0" distR="0">
            <wp:extent cx="116205" cy="163830"/>
            <wp:effectExtent l="0" t="0" r="0" b="762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16205" cy="163830"/>
                    </a:xfrm>
                    <a:prstGeom prst="rect">
                      <a:avLst/>
                    </a:prstGeom>
                    <a:noFill/>
                    <a:ln>
                      <a:noFill/>
                    </a:ln>
                  </pic:spPr>
                </pic:pic>
              </a:graphicData>
            </a:graphic>
          </wp:inline>
        </w:drawing>
      </w:r>
      <w:r>
        <w:rPr>
          <w:rFonts w:cs="Times New Roman"/>
          <w:szCs w:val="24"/>
        </w:rPr>
        <w:t>污染物评价标准，mg/m</w:t>
      </w:r>
      <w:r>
        <w:rPr>
          <w:rFonts w:cs="Times New Roman"/>
          <w:szCs w:val="24"/>
          <w:vertAlign w:val="superscript"/>
        </w:rPr>
        <w:t>3</w:t>
      </w:r>
      <w:r>
        <w:rPr>
          <w:rFonts w:cs="Times New Roman"/>
          <w:szCs w:val="24"/>
        </w:rPr>
        <w:t>。</w:t>
      </w:r>
    </w:p>
    <w:p w14:paraId="2E0E8DCC">
      <w:pPr>
        <w:ind w:firstLine="482"/>
        <w:rPr>
          <w:b/>
          <w:bCs/>
        </w:rPr>
      </w:pPr>
      <w:r>
        <w:rPr>
          <w:rFonts w:hint="eastAsia"/>
          <w:b/>
          <w:bCs/>
        </w:rPr>
        <w:t>3、评价结果</w:t>
      </w:r>
    </w:p>
    <w:p w14:paraId="7F628C98">
      <w:pPr>
        <w:widowControl/>
        <w:ind w:firstLine="480"/>
        <w:rPr>
          <w:rFonts w:cs="Times New Roman"/>
          <w:szCs w:val="24"/>
        </w:rPr>
      </w:pPr>
      <w:r>
        <w:rPr>
          <w:rFonts w:cs="Times New Roman"/>
          <w:szCs w:val="24"/>
        </w:rPr>
        <w:t>环境空气质量评价结果见表</w:t>
      </w:r>
      <w:r>
        <w:rPr>
          <w:rFonts w:hint="eastAsia" w:cs="Times New Roman"/>
          <w:szCs w:val="24"/>
        </w:rPr>
        <w:t>4.4</w:t>
      </w:r>
      <w:r>
        <w:rPr>
          <w:rFonts w:cs="Times New Roman"/>
          <w:szCs w:val="24"/>
        </w:rPr>
        <w:t>-</w:t>
      </w:r>
      <w:r>
        <w:rPr>
          <w:rFonts w:hint="eastAsia" w:cs="Times New Roman"/>
          <w:szCs w:val="24"/>
        </w:rPr>
        <w:t>4</w:t>
      </w:r>
      <w:r>
        <w:rPr>
          <w:rFonts w:cs="Times New Roman"/>
          <w:szCs w:val="24"/>
        </w:rPr>
        <w:t>所示。</w:t>
      </w:r>
    </w:p>
    <w:p w14:paraId="02B899FC">
      <w:pPr>
        <w:ind w:firstLine="0" w:firstLineChars="0"/>
        <w:jc w:val="center"/>
        <w:rPr>
          <w:b/>
        </w:rPr>
      </w:pPr>
      <w:r>
        <w:rPr>
          <w:b/>
        </w:rPr>
        <w:t>表</w:t>
      </w:r>
      <w:r>
        <w:rPr>
          <w:rFonts w:hint="eastAsia"/>
          <w:b/>
        </w:rPr>
        <w:t>4.4</w:t>
      </w:r>
      <w:r>
        <w:rPr>
          <w:b/>
        </w:rPr>
        <w:t>-</w:t>
      </w:r>
      <w:r>
        <w:rPr>
          <w:rFonts w:hint="eastAsia"/>
          <w:b/>
        </w:rPr>
        <w:t>4</w:t>
      </w:r>
      <w:r>
        <w:rPr>
          <w:b/>
        </w:rPr>
        <w:t xml:space="preserve">  环境空气质量评价结果</w:t>
      </w:r>
    </w:p>
    <w:tbl>
      <w:tblPr>
        <w:tblStyle w:val="139"/>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70"/>
        <w:gridCol w:w="1120"/>
        <w:gridCol w:w="755"/>
        <w:gridCol w:w="1143"/>
        <w:gridCol w:w="780"/>
        <w:gridCol w:w="1143"/>
        <w:gridCol w:w="872"/>
        <w:gridCol w:w="1085"/>
        <w:gridCol w:w="870"/>
      </w:tblGrid>
      <w:tr w14:paraId="1A19FE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356" w:type="pct"/>
            <w:vMerge w:val="restart"/>
            <w:tcBorders>
              <w:left w:val="single" w:color="000000" w:sz="10" w:space="0"/>
              <w:bottom w:val="nil"/>
            </w:tcBorders>
          </w:tcPr>
          <w:p w14:paraId="4AA4379F">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评价</w:t>
            </w:r>
          </w:p>
          <w:p w14:paraId="18F6A17C">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项目</w:t>
            </w:r>
          </w:p>
        </w:tc>
        <w:tc>
          <w:tcPr>
            <w:tcW w:w="1153" w:type="pct"/>
            <w:gridSpan w:val="2"/>
          </w:tcPr>
          <w:p w14:paraId="489DD9E7">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G1</w:t>
            </w:r>
          </w:p>
        </w:tc>
        <w:tc>
          <w:tcPr>
            <w:tcW w:w="1182" w:type="pct"/>
            <w:gridSpan w:val="2"/>
          </w:tcPr>
          <w:p w14:paraId="6ABD542C">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G2</w:t>
            </w:r>
          </w:p>
        </w:tc>
        <w:tc>
          <w:tcPr>
            <w:tcW w:w="1237" w:type="pct"/>
            <w:gridSpan w:val="2"/>
            <w:tcBorders>
              <w:right w:val="single" w:color="000000" w:sz="10" w:space="0"/>
            </w:tcBorders>
          </w:tcPr>
          <w:p w14:paraId="7C531357">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G3</w:t>
            </w:r>
          </w:p>
        </w:tc>
        <w:tc>
          <w:tcPr>
            <w:tcW w:w="1072" w:type="pct"/>
            <w:gridSpan w:val="2"/>
            <w:tcBorders>
              <w:right w:val="single" w:color="000000" w:sz="10" w:space="0"/>
            </w:tcBorders>
          </w:tcPr>
          <w:p w14:paraId="3F6F05D2">
            <w:pPr>
              <w:spacing w:line="240" w:lineRule="auto"/>
              <w:ind w:firstLine="0" w:firstLineChars="0"/>
              <w:jc w:val="center"/>
              <w:rPr>
                <w:rFonts w:cs="Arial"/>
                <w:b/>
                <w:bCs/>
                <w:snapToGrid w:val="0"/>
                <w:color w:val="000000"/>
                <w:kern w:val="0"/>
                <w:sz w:val="21"/>
                <w:szCs w:val="21"/>
              </w:rPr>
            </w:pPr>
            <w:r>
              <w:rPr>
                <w:rFonts w:cstheme="minorBidi"/>
                <w:b/>
                <w:bCs/>
                <w:snapToGrid w:val="0"/>
                <w:color w:val="000000"/>
                <w:kern w:val="0"/>
                <w:sz w:val="21"/>
                <w:szCs w:val="21"/>
              </w:rPr>
              <w:t>G</w:t>
            </w:r>
            <w:r>
              <w:rPr>
                <w:rFonts w:hint="eastAsia" w:cstheme="minorBidi"/>
                <w:b/>
                <w:bCs/>
                <w:snapToGrid w:val="0"/>
                <w:color w:val="000000"/>
                <w:kern w:val="0"/>
                <w:sz w:val="21"/>
                <w:szCs w:val="21"/>
              </w:rPr>
              <w:t>4</w:t>
            </w:r>
          </w:p>
        </w:tc>
      </w:tr>
      <w:tr w14:paraId="32C634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56" w:type="pct"/>
            <w:vMerge w:val="continue"/>
            <w:tcBorders>
              <w:top w:val="nil"/>
              <w:left w:val="single" w:color="000000" w:sz="10" w:space="0"/>
            </w:tcBorders>
          </w:tcPr>
          <w:p w14:paraId="72404F76">
            <w:pPr>
              <w:spacing w:line="240" w:lineRule="auto"/>
              <w:ind w:firstLine="0" w:firstLineChars="0"/>
              <w:jc w:val="center"/>
              <w:rPr>
                <w:rFonts w:cs="Arial"/>
                <w:b/>
                <w:bCs/>
                <w:snapToGrid w:val="0"/>
                <w:color w:val="000000"/>
                <w:kern w:val="0"/>
                <w:sz w:val="21"/>
                <w:szCs w:val="21"/>
              </w:rPr>
            </w:pPr>
          </w:p>
        </w:tc>
        <w:tc>
          <w:tcPr>
            <w:tcW w:w="686" w:type="pct"/>
          </w:tcPr>
          <w:p w14:paraId="2835509D">
            <w:pPr>
              <w:spacing w:before="207"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指数范围</w:t>
            </w:r>
          </w:p>
        </w:tc>
        <w:tc>
          <w:tcPr>
            <w:tcW w:w="467" w:type="pct"/>
          </w:tcPr>
          <w:p w14:paraId="20625C7F">
            <w:pPr>
              <w:spacing w:before="73" w:line="240" w:lineRule="auto"/>
              <w:ind w:right="112" w:firstLine="0" w:firstLineChars="0"/>
              <w:rPr>
                <w:rFonts w:cstheme="minorBidi"/>
                <w:b/>
                <w:bCs/>
                <w:snapToGrid w:val="0"/>
                <w:color w:val="000000"/>
                <w:kern w:val="0"/>
                <w:sz w:val="21"/>
                <w:szCs w:val="21"/>
              </w:rPr>
            </w:pPr>
            <w:r>
              <w:rPr>
                <w:rFonts w:cstheme="minorBidi"/>
                <w:b/>
                <w:bCs/>
                <w:snapToGrid w:val="0"/>
                <w:color w:val="000000"/>
                <w:kern w:val="0"/>
                <w:sz w:val="21"/>
                <w:szCs w:val="21"/>
              </w:rPr>
              <w:t>最大超标 倍数%</w:t>
            </w:r>
          </w:p>
        </w:tc>
        <w:tc>
          <w:tcPr>
            <w:tcW w:w="700" w:type="pct"/>
          </w:tcPr>
          <w:p w14:paraId="78833638">
            <w:pPr>
              <w:spacing w:before="207"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指数范围</w:t>
            </w:r>
          </w:p>
        </w:tc>
        <w:tc>
          <w:tcPr>
            <w:tcW w:w="482" w:type="pct"/>
          </w:tcPr>
          <w:p w14:paraId="5CC40A7D">
            <w:pPr>
              <w:spacing w:before="73" w:line="240" w:lineRule="auto"/>
              <w:ind w:right="120" w:firstLineChars="0"/>
              <w:rPr>
                <w:rFonts w:cstheme="minorBidi"/>
                <w:b/>
                <w:bCs/>
                <w:snapToGrid w:val="0"/>
                <w:color w:val="000000"/>
                <w:kern w:val="0"/>
                <w:sz w:val="21"/>
                <w:szCs w:val="21"/>
              </w:rPr>
            </w:pPr>
            <w:r>
              <w:rPr>
                <w:rFonts w:cstheme="minorBidi"/>
                <w:b/>
                <w:bCs/>
                <w:snapToGrid w:val="0"/>
                <w:color w:val="000000"/>
                <w:kern w:val="0"/>
                <w:sz w:val="21"/>
                <w:szCs w:val="21"/>
              </w:rPr>
              <w:t>最大超标 倍数%</w:t>
            </w:r>
          </w:p>
        </w:tc>
        <w:tc>
          <w:tcPr>
            <w:tcW w:w="700" w:type="pct"/>
          </w:tcPr>
          <w:p w14:paraId="67D338E5">
            <w:pPr>
              <w:spacing w:before="207"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指数范围</w:t>
            </w:r>
          </w:p>
        </w:tc>
        <w:tc>
          <w:tcPr>
            <w:tcW w:w="537" w:type="pct"/>
            <w:tcBorders>
              <w:right w:val="single" w:color="000000" w:sz="10" w:space="0"/>
            </w:tcBorders>
          </w:tcPr>
          <w:p w14:paraId="2D3AA114">
            <w:pPr>
              <w:spacing w:before="73"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最大超标</w:t>
            </w:r>
          </w:p>
          <w:p w14:paraId="3D4247B8">
            <w:pPr>
              <w:spacing w:before="24"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倍数率%</w:t>
            </w:r>
          </w:p>
        </w:tc>
        <w:tc>
          <w:tcPr>
            <w:tcW w:w="536" w:type="pct"/>
            <w:tcBorders>
              <w:right w:val="single" w:color="000000" w:sz="10" w:space="0"/>
            </w:tcBorders>
          </w:tcPr>
          <w:p w14:paraId="0CFC4F85">
            <w:pPr>
              <w:spacing w:before="73" w:line="240" w:lineRule="auto"/>
              <w:ind w:firstLine="0" w:firstLineChars="0"/>
              <w:jc w:val="center"/>
              <w:rPr>
                <w:rFonts w:cs="Arial"/>
                <w:b/>
                <w:bCs/>
                <w:snapToGrid w:val="0"/>
                <w:color w:val="000000"/>
                <w:kern w:val="0"/>
                <w:sz w:val="21"/>
                <w:szCs w:val="21"/>
              </w:rPr>
            </w:pPr>
            <w:r>
              <w:rPr>
                <w:rFonts w:cstheme="minorBidi"/>
                <w:b/>
                <w:bCs/>
                <w:snapToGrid w:val="0"/>
                <w:color w:val="000000"/>
                <w:kern w:val="0"/>
                <w:sz w:val="21"/>
                <w:szCs w:val="21"/>
              </w:rPr>
              <w:t>指数范围</w:t>
            </w:r>
          </w:p>
        </w:tc>
        <w:tc>
          <w:tcPr>
            <w:tcW w:w="536" w:type="pct"/>
            <w:tcBorders>
              <w:right w:val="single" w:color="000000" w:sz="10" w:space="0"/>
            </w:tcBorders>
          </w:tcPr>
          <w:p w14:paraId="748B3D9E">
            <w:pPr>
              <w:spacing w:before="73"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最大超标</w:t>
            </w:r>
          </w:p>
          <w:p w14:paraId="0EC61411">
            <w:pPr>
              <w:spacing w:before="73" w:line="240" w:lineRule="auto"/>
              <w:ind w:firstLine="0" w:firstLineChars="0"/>
              <w:jc w:val="center"/>
              <w:rPr>
                <w:rFonts w:cs="Arial"/>
                <w:b/>
                <w:bCs/>
                <w:snapToGrid w:val="0"/>
                <w:color w:val="000000"/>
                <w:kern w:val="0"/>
                <w:sz w:val="21"/>
                <w:szCs w:val="21"/>
              </w:rPr>
            </w:pPr>
            <w:r>
              <w:rPr>
                <w:rFonts w:cstheme="minorBidi"/>
                <w:b/>
                <w:bCs/>
                <w:snapToGrid w:val="0"/>
                <w:color w:val="000000"/>
                <w:kern w:val="0"/>
                <w:sz w:val="21"/>
                <w:szCs w:val="21"/>
              </w:rPr>
              <w:t>倍数率%</w:t>
            </w:r>
          </w:p>
        </w:tc>
      </w:tr>
      <w:tr w14:paraId="60320C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356" w:type="pct"/>
            <w:tcBorders>
              <w:left w:val="single" w:color="000000" w:sz="10" w:space="0"/>
            </w:tcBorders>
          </w:tcPr>
          <w:p w14:paraId="78D1AC1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PM10</w:t>
            </w:r>
          </w:p>
        </w:tc>
        <w:tc>
          <w:tcPr>
            <w:tcW w:w="686" w:type="pct"/>
          </w:tcPr>
          <w:p w14:paraId="1EC2DB3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0.253~0.280</w:t>
            </w:r>
          </w:p>
        </w:tc>
        <w:tc>
          <w:tcPr>
            <w:tcW w:w="467" w:type="pct"/>
          </w:tcPr>
          <w:p w14:paraId="345FF0E5">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w:t>
            </w:r>
          </w:p>
        </w:tc>
        <w:tc>
          <w:tcPr>
            <w:tcW w:w="700" w:type="pct"/>
          </w:tcPr>
          <w:p w14:paraId="5FA951F6">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0.233~0.273</w:t>
            </w:r>
          </w:p>
        </w:tc>
        <w:tc>
          <w:tcPr>
            <w:tcW w:w="482" w:type="pct"/>
          </w:tcPr>
          <w:p w14:paraId="7DBA433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w:t>
            </w:r>
          </w:p>
        </w:tc>
        <w:tc>
          <w:tcPr>
            <w:tcW w:w="700" w:type="pct"/>
          </w:tcPr>
          <w:p w14:paraId="6DB1E16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0.260~0.300</w:t>
            </w:r>
          </w:p>
        </w:tc>
        <w:tc>
          <w:tcPr>
            <w:tcW w:w="537" w:type="pct"/>
            <w:tcBorders>
              <w:right w:val="single" w:color="000000" w:sz="10" w:space="0"/>
            </w:tcBorders>
          </w:tcPr>
          <w:p w14:paraId="5C205A3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w:t>
            </w:r>
          </w:p>
        </w:tc>
        <w:tc>
          <w:tcPr>
            <w:tcW w:w="536" w:type="pct"/>
            <w:tcBorders>
              <w:right w:val="single" w:color="000000" w:sz="10" w:space="0"/>
            </w:tcBorders>
          </w:tcPr>
          <w:p w14:paraId="3AA8BB44">
            <w:pPr>
              <w:spacing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0.25</w:t>
            </w:r>
            <w:r>
              <w:rPr>
                <w:rFonts w:hint="eastAsia" w:cstheme="minorBidi"/>
                <w:snapToGrid w:val="0"/>
                <w:color w:val="000000"/>
                <w:kern w:val="0"/>
                <w:sz w:val="21"/>
                <w:szCs w:val="21"/>
              </w:rPr>
              <w:t>4</w:t>
            </w:r>
            <w:r>
              <w:rPr>
                <w:rFonts w:cstheme="minorBidi"/>
                <w:snapToGrid w:val="0"/>
                <w:color w:val="000000"/>
                <w:kern w:val="0"/>
                <w:sz w:val="21"/>
                <w:szCs w:val="21"/>
              </w:rPr>
              <w:t>~0.2</w:t>
            </w:r>
            <w:r>
              <w:rPr>
                <w:rFonts w:hint="eastAsia" w:cstheme="minorBidi"/>
                <w:snapToGrid w:val="0"/>
                <w:color w:val="000000"/>
                <w:kern w:val="0"/>
                <w:sz w:val="21"/>
                <w:szCs w:val="21"/>
              </w:rPr>
              <w:t>94</w:t>
            </w:r>
          </w:p>
        </w:tc>
        <w:tc>
          <w:tcPr>
            <w:tcW w:w="536" w:type="pct"/>
            <w:tcBorders>
              <w:right w:val="single" w:color="000000" w:sz="10" w:space="0"/>
            </w:tcBorders>
          </w:tcPr>
          <w:p w14:paraId="7841AD95">
            <w:pPr>
              <w:spacing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w:t>
            </w:r>
          </w:p>
        </w:tc>
      </w:tr>
    </w:tbl>
    <w:p w14:paraId="3DEB04D8">
      <w:pPr>
        <w:keepNext/>
        <w:keepLines/>
        <w:ind w:firstLine="0" w:firstLineChars="0"/>
        <w:jc w:val="left"/>
        <w:outlineLvl w:val="3"/>
        <w:rPr>
          <w:rFonts w:cstheme="majorBidi"/>
          <w:b/>
          <w:bCs/>
          <w:sz w:val="28"/>
          <w:szCs w:val="28"/>
        </w:rPr>
      </w:pPr>
      <w:r>
        <w:rPr>
          <w:rFonts w:hint="eastAsia" w:cstheme="majorBidi"/>
          <w:b/>
          <w:bCs/>
          <w:sz w:val="28"/>
          <w:szCs w:val="28"/>
        </w:rPr>
        <w:t>4.4.1.4</w:t>
      </w:r>
      <w:r>
        <w:rPr>
          <w:rFonts w:cstheme="majorBidi"/>
          <w:b/>
          <w:bCs/>
          <w:sz w:val="28"/>
          <w:szCs w:val="28"/>
        </w:rPr>
        <w:t xml:space="preserve"> </w:t>
      </w:r>
      <w:r>
        <w:rPr>
          <w:rFonts w:hint="eastAsia" w:cstheme="majorBidi"/>
          <w:b/>
          <w:bCs/>
          <w:sz w:val="28"/>
          <w:szCs w:val="28"/>
        </w:rPr>
        <w:t>区域环境空气质量变化情况分析</w:t>
      </w:r>
    </w:p>
    <w:p w14:paraId="7C25B61F">
      <w:pPr>
        <w:ind w:firstLine="480"/>
      </w:pPr>
      <w:r>
        <w:rPr>
          <w:rFonts w:hint="eastAsia"/>
        </w:rPr>
        <w:t>为分析区域环境质量变化情况，通过比对例行监测相关监测数据，分析近几年项目实施对周边环境空气的影响。</w:t>
      </w:r>
    </w:p>
    <w:p w14:paraId="4DC8B36E">
      <w:pPr>
        <w:ind w:firstLine="0" w:firstLineChars="0"/>
        <w:jc w:val="center"/>
        <w:rPr>
          <w:b/>
        </w:rPr>
      </w:pPr>
      <w:r>
        <w:rPr>
          <w:rFonts w:hint="eastAsia"/>
          <w:b/>
        </w:rPr>
        <w:t xml:space="preserve">表4.4-5 区域环境空气质量变化情况表 </w:t>
      </w:r>
      <w:r>
        <w:rPr>
          <w:b/>
        </w:rPr>
        <w:t xml:space="preserve"> </w:t>
      </w:r>
      <w:r>
        <w:rPr>
          <w:rFonts w:hint="eastAsia"/>
          <w:b/>
        </w:rPr>
        <w:t>单位：mg/m³</w:t>
      </w:r>
    </w:p>
    <w:tbl>
      <w:tblPr>
        <w:tblStyle w:val="139"/>
        <w:tblW w:w="894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22"/>
        <w:gridCol w:w="1908"/>
        <w:gridCol w:w="2986"/>
        <w:gridCol w:w="2130"/>
      </w:tblGrid>
      <w:tr w14:paraId="37DFDD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jc w:val="center"/>
        </w:trPr>
        <w:tc>
          <w:tcPr>
            <w:tcW w:w="1922" w:type="dxa"/>
            <w:tcBorders>
              <w:left w:val="single" w:color="000000" w:sz="10" w:space="0"/>
            </w:tcBorders>
          </w:tcPr>
          <w:p w14:paraId="162927B2">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阶段</w:t>
            </w:r>
          </w:p>
        </w:tc>
        <w:tc>
          <w:tcPr>
            <w:tcW w:w="1908" w:type="dxa"/>
          </w:tcPr>
          <w:p w14:paraId="43E494A8">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监测地点</w:t>
            </w:r>
          </w:p>
        </w:tc>
        <w:tc>
          <w:tcPr>
            <w:tcW w:w="2986" w:type="dxa"/>
          </w:tcPr>
          <w:p w14:paraId="3327C554">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监测时间</w:t>
            </w:r>
          </w:p>
        </w:tc>
        <w:tc>
          <w:tcPr>
            <w:tcW w:w="2130" w:type="dxa"/>
            <w:tcBorders>
              <w:right w:val="single" w:color="000000" w:sz="10" w:space="0"/>
            </w:tcBorders>
          </w:tcPr>
          <w:p w14:paraId="17C9E842">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PM10  （ 日均值）</w:t>
            </w:r>
          </w:p>
        </w:tc>
      </w:tr>
      <w:tr w14:paraId="714CB0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1922" w:type="dxa"/>
            <w:vMerge w:val="restart"/>
            <w:tcBorders>
              <w:left w:val="single" w:color="000000" w:sz="10" w:space="0"/>
              <w:bottom w:val="nil"/>
            </w:tcBorders>
            <w:vAlign w:val="center"/>
          </w:tcPr>
          <w:p w14:paraId="2F52667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环评</w:t>
            </w:r>
          </w:p>
        </w:tc>
        <w:tc>
          <w:tcPr>
            <w:tcW w:w="1908" w:type="dxa"/>
            <w:vAlign w:val="center"/>
          </w:tcPr>
          <w:p w14:paraId="0731326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朱老庄</w:t>
            </w:r>
          </w:p>
        </w:tc>
        <w:tc>
          <w:tcPr>
            <w:tcW w:w="2986" w:type="dxa"/>
            <w:vMerge w:val="restart"/>
            <w:tcBorders>
              <w:bottom w:val="nil"/>
            </w:tcBorders>
            <w:vAlign w:val="center"/>
          </w:tcPr>
          <w:p w14:paraId="47C6A66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2009.5.17~2009.5.23</w:t>
            </w:r>
          </w:p>
        </w:tc>
        <w:tc>
          <w:tcPr>
            <w:tcW w:w="2130" w:type="dxa"/>
            <w:tcBorders>
              <w:right w:val="single" w:color="000000" w:sz="10" w:space="0"/>
            </w:tcBorders>
            <w:vAlign w:val="center"/>
          </w:tcPr>
          <w:p w14:paraId="2AEA15A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0.117~0.149</w:t>
            </w:r>
          </w:p>
        </w:tc>
      </w:tr>
      <w:tr w14:paraId="6602F2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1922" w:type="dxa"/>
            <w:vMerge w:val="continue"/>
            <w:tcBorders>
              <w:top w:val="nil"/>
              <w:left w:val="single" w:color="000000" w:sz="10" w:space="0"/>
              <w:bottom w:val="nil"/>
            </w:tcBorders>
            <w:vAlign w:val="center"/>
          </w:tcPr>
          <w:p w14:paraId="261772D9">
            <w:pPr>
              <w:spacing w:line="240" w:lineRule="auto"/>
              <w:ind w:firstLine="0" w:firstLineChars="0"/>
              <w:jc w:val="center"/>
              <w:rPr>
                <w:rFonts w:cstheme="minorBidi"/>
                <w:snapToGrid w:val="0"/>
                <w:color w:val="000000"/>
                <w:kern w:val="0"/>
                <w:sz w:val="21"/>
                <w:szCs w:val="21"/>
              </w:rPr>
            </w:pPr>
          </w:p>
        </w:tc>
        <w:tc>
          <w:tcPr>
            <w:tcW w:w="1908" w:type="dxa"/>
            <w:vAlign w:val="center"/>
          </w:tcPr>
          <w:p w14:paraId="6C9DC12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王旮沓</w:t>
            </w:r>
          </w:p>
        </w:tc>
        <w:tc>
          <w:tcPr>
            <w:tcW w:w="2986" w:type="dxa"/>
            <w:vMerge w:val="continue"/>
            <w:tcBorders>
              <w:top w:val="nil"/>
              <w:bottom w:val="nil"/>
            </w:tcBorders>
            <w:vAlign w:val="center"/>
          </w:tcPr>
          <w:p w14:paraId="7B08CD16">
            <w:pPr>
              <w:spacing w:line="240" w:lineRule="auto"/>
              <w:ind w:firstLine="0" w:firstLineChars="0"/>
              <w:jc w:val="center"/>
              <w:rPr>
                <w:rFonts w:cstheme="minorBidi"/>
                <w:snapToGrid w:val="0"/>
                <w:color w:val="000000"/>
                <w:kern w:val="0"/>
                <w:sz w:val="21"/>
                <w:szCs w:val="21"/>
              </w:rPr>
            </w:pPr>
          </w:p>
        </w:tc>
        <w:tc>
          <w:tcPr>
            <w:tcW w:w="2130" w:type="dxa"/>
            <w:tcBorders>
              <w:right w:val="single" w:color="000000" w:sz="10" w:space="0"/>
            </w:tcBorders>
            <w:vAlign w:val="center"/>
          </w:tcPr>
          <w:p w14:paraId="1BB0BB0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0.121~0.149</w:t>
            </w:r>
          </w:p>
        </w:tc>
      </w:tr>
      <w:tr w14:paraId="30A918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922" w:type="dxa"/>
            <w:vMerge w:val="continue"/>
            <w:tcBorders>
              <w:top w:val="nil"/>
              <w:left w:val="single" w:color="000000" w:sz="10" w:space="0"/>
            </w:tcBorders>
            <w:vAlign w:val="center"/>
          </w:tcPr>
          <w:p w14:paraId="1A1DE9E0">
            <w:pPr>
              <w:spacing w:line="240" w:lineRule="auto"/>
              <w:ind w:firstLine="0" w:firstLineChars="0"/>
              <w:jc w:val="center"/>
              <w:rPr>
                <w:rFonts w:cstheme="minorBidi"/>
                <w:snapToGrid w:val="0"/>
                <w:color w:val="000000"/>
                <w:kern w:val="0"/>
                <w:sz w:val="21"/>
                <w:szCs w:val="21"/>
              </w:rPr>
            </w:pPr>
          </w:p>
        </w:tc>
        <w:tc>
          <w:tcPr>
            <w:tcW w:w="1908" w:type="dxa"/>
            <w:vAlign w:val="center"/>
          </w:tcPr>
          <w:p w14:paraId="08A1F3E5">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孟家前楼</w:t>
            </w:r>
          </w:p>
        </w:tc>
        <w:tc>
          <w:tcPr>
            <w:tcW w:w="2986" w:type="dxa"/>
            <w:vMerge w:val="continue"/>
            <w:tcBorders>
              <w:top w:val="nil"/>
            </w:tcBorders>
            <w:vAlign w:val="center"/>
          </w:tcPr>
          <w:p w14:paraId="4816508A">
            <w:pPr>
              <w:spacing w:line="240" w:lineRule="auto"/>
              <w:ind w:firstLine="0" w:firstLineChars="0"/>
              <w:jc w:val="center"/>
              <w:rPr>
                <w:rFonts w:cstheme="minorBidi"/>
                <w:snapToGrid w:val="0"/>
                <w:color w:val="000000"/>
                <w:kern w:val="0"/>
                <w:sz w:val="21"/>
                <w:szCs w:val="21"/>
              </w:rPr>
            </w:pPr>
          </w:p>
        </w:tc>
        <w:tc>
          <w:tcPr>
            <w:tcW w:w="2130" w:type="dxa"/>
            <w:tcBorders>
              <w:right w:val="single" w:color="000000" w:sz="10" w:space="0"/>
            </w:tcBorders>
            <w:vAlign w:val="center"/>
          </w:tcPr>
          <w:p w14:paraId="1B1C886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0.121~0.146</w:t>
            </w:r>
          </w:p>
        </w:tc>
      </w:tr>
      <w:tr w14:paraId="376B56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1922" w:type="dxa"/>
            <w:vMerge w:val="restart"/>
            <w:tcBorders>
              <w:left w:val="single" w:color="000000" w:sz="10" w:space="0"/>
              <w:bottom w:val="nil"/>
            </w:tcBorders>
            <w:vAlign w:val="center"/>
          </w:tcPr>
          <w:p w14:paraId="2797261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后评价</w:t>
            </w:r>
          </w:p>
        </w:tc>
        <w:tc>
          <w:tcPr>
            <w:tcW w:w="1908" w:type="dxa"/>
            <w:vAlign w:val="center"/>
          </w:tcPr>
          <w:p w14:paraId="6C9BEF4E">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朱老庄</w:t>
            </w:r>
          </w:p>
        </w:tc>
        <w:tc>
          <w:tcPr>
            <w:tcW w:w="2986" w:type="dxa"/>
            <w:vMerge w:val="restart"/>
            <w:tcBorders>
              <w:bottom w:val="nil"/>
            </w:tcBorders>
            <w:vAlign w:val="center"/>
          </w:tcPr>
          <w:p w14:paraId="4FA30A5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202</w:t>
            </w:r>
            <w:r>
              <w:rPr>
                <w:rFonts w:hint="eastAsia" w:cstheme="minorBidi"/>
                <w:snapToGrid w:val="0"/>
                <w:color w:val="000000"/>
                <w:kern w:val="0"/>
                <w:sz w:val="21"/>
                <w:szCs w:val="21"/>
              </w:rPr>
              <w:t>2</w:t>
            </w:r>
            <w:r>
              <w:rPr>
                <w:rFonts w:cstheme="minorBidi"/>
                <w:snapToGrid w:val="0"/>
                <w:color w:val="000000"/>
                <w:kern w:val="0"/>
                <w:sz w:val="21"/>
                <w:szCs w:val="21"/>
              </w:rPr>
              <w:t>.</w:t>
            </w:r>
            <w:r>
              <w:rPr>
                <w:rFonts w:hint="eastAsia" w:cstheme="minorBidi"/>
                <w:snapToGrid w:val="0"/>
                <w:color w:val="000000"/>
                <w:kern w:val="0"/>
                <w:sz w:val="21"/>
                <w:szCs w:val="21"/>
              </w:rPr>
              <w:t>6</w:t>
            </w:r>
            <w:r>
              <w:rPr>
                <w:rFonts w:cstheme="minorBidi"/>
                <w:snapToGrid w:val="0"/>
                <w:color w:val="000000"/>
                <w:kern w:val="0"/>
                <w:sz w:val="21"/>
                <w:szCs w:val="21"/>
              </w:rPr>
              <w:t>.2</w:t>
            </w:r>
            <w:r>
              <w:rPr>
                <w:rFonts w:hint="eastAsia" w:cstheme="minorBidi"/>
                <w:snapToGrid w:val="0"/>
                <w:color w:val="000000"/>
                <w:kern w:val="0"/>
                <w:sz w:val="21"/>
                <w:szCs w:val="21"/>
              </w:rPr>
              <w:t>1</w:t>
            </w:r>
            <w:r>
              <w:rPr>
                <w:rFonts w:cstheme="minorBidi"/>
                <w:snapToGrid w:val="0"/>
                <w:color w:val="000000"/>
                <w:kern w:val="0"/>
                <w:sz w:val="21"/>
                <w:szCs w:val="21"/>
              </w:rPr>
              <w:t>~202</w:t>
            </w:r>
            <w:r>
              <w:rPr>
                <w:rFonts w:hint="eastAsia" w:cstheme="minorBidi"/>
                <w:snapToGrid w:val="0"/>
                <w:color w:val="000000"/>
                <w:kern w:val="0"/>
                <w:sz w:val="21"/>
                <w:szCs w:val="21"/>
              </w:rPr>
              <w:t>2</w:t>
            </w:r>
            <w:r>
              <w:rPr>
                <w:rFonts w:cstheme="minorBidi"/>
                <w:snapToGrid w:val="0"/>
                <w:color w:val="000000"/>
                <w:kern w:val="0"/>
                <w:sz w:val="21"/>
                <w:szCs w:val="21"/>
              </w:rPr>
              <w:t>.</w:t>
            </w:r>
            <w:r>
              <w:rPr>
                <w:rFonts w:hint="eastAsia" w:cstheme="minorBidi"/>
                <w:snapToGrid w:val="0"/>
                <w:color w:val="000000"/>
                <w:kern w:val="0"/>
                <w:sz w:val="21"/>
                <w:szCs w:val="21"/>
              </w:rPr>
              <w:t>6</w:t>
            </w:r>
            <w:r>
              <w:rPr>
                <w:rFonts w:cstheme="minorBidi"/>
                <w:snapToGrid w:val="0"/>
                <w:color w:val="000000"/>
                <w:kern w:val="0"/>
                <w:sz w:val="21"/>
                <w:szCs w:val="21"/>
              </w:rPr>
              <w:t>.</w:t>
            </w:r>
            <w:r>
              <w:rPr>
                <w:rFonts w:hint="eastAsia" w:cstheme="minorBidi"/>
                <w:snapToGrid w:val="0"/>
                <w:color w:val="000000"/>
                <w:kern w:val="0"/>
                <w:sz w:val="21"/>
                <w:szCs w:val="21"/>
              </w:rPr>
              <w:t>22</w:t>
            </w:r>
          </w:p>
        </w:tc>
        <w:tc>
          <w:tcPr>
            <w:tcW w:w="2130" w:type="dxa"/>
            <w:tcBorders>
              <w:right w:val="single" w:color="000000" w:sz="10" w:space="0"/>
            </w:tcBorders>
            <w:vAlign w:val="center"/>
          </w:tcPr>
          <w:p w14:paraId="3CD0F59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0.044~0.046</w:t>
            </w:r>
          </w:p>
        </w:tc>
      </w:tr>
      <w:tr w14:paraId="712E57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922" w:type="dxa"/>
            <w:vMerge w:val="continue"/>
            <w:tcBorders>
              <w:top w:val="nil"/>
              <w:left w:val="single" w:color="000000" w:sz="10" w:space="0"/>
              <w:bottom w:val="nil"/>
            </w:tcBorders>
            <w:vAlign w:val="center"/>
          </w:tcPr>
          <w:p w14:paraId="2BE1B3B5">
            <w:pPr>
              <w:spacing w:line="240" w:lineRule="auto"/>
              <w:ind w:firstLine="0" w:firstLineChars="0"/>
              <w:jc w:val="center"/>
              <w:rPr>
                <w:rFonts w:cstheme="minorBidi"/>
                <w:snapToGrid w:val="0"/>
                <w:color w:val="000000"/>
                <w:kern w:val="0"/>
                <w:sz w:val="21"/>
                <w:szCs w:val="21"/>
              </w:rPr>
            </w:pPr>
          </w:p>
        </w:tc>
        <w:tc>
          <w:tcPr>
            <w:tcW w:w="1908" w:type="dxa"/>
            <w:vAlign w:val="center"/>
          </w:tcPr>
          <w:p w14:paraId="0CB7E65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王旮沓</w:t>
            </w:r>
          </w:p>
        </w:tc>
        <w:tc>
          <w:tcPr>
            <w:tcW w:w="2986" w:type="dxa"/>
            <w:vMerge w:val="continue"/>
            <w:tcBorders>
              <w:top w:val="nil"/>
              <w:bottom w:val="nil"/>
            </w:tcBorders>
            <w:vAlign w:val="center"/>
          </w:tcPr>
          <w:p w14:paraId="060D8629">
            <w:pPr>
              <w:spacing w:line="240" w:lineRule="auto"/>
              <w:ind w:firstLine="0" w:firstLineChars="0"/>
              <w:jc w:val="center"/>
              <w:rPr>
                <w:rFonts w:cstheme="minorBidi"/>
                <w:snapToGrid w:val="0"/>
                <w:color w:val="000000"/>
                <w:kern w:val="0"/>
                <w:sz w:val="21"/>
                <w:szCs w:val="21"/>
              </w:rPr>
            </w:pPr>
          </w:p>
        </w:tc>
        <w:tc>
          <w:tcPr>
            <w:tcW w:w="2130" w:type="dxa"/>
            <w:tcBorders>
              <w:right w:val="single" w:color="000000" w:sz="10" w:space="0"/>
            </w:tcBorders>
            <w:vAlign w:val="center"/>
          </w:tcPr>
          <w:p w14:paraId="4FE0767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0.049~0.054</w:t>
            </w:r>
          </w:p>
        </w:tc>
      </w:tr>
      <w:tr w14:paraId="7F6586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922" w:type="dxa"/>
            <w:vMerge w:val="continue"/>
            <w:tcBorders>
              <w:top w:val="nil"/>
              <w:left w:val="single" w:color="000000" w:sz="10" w:space="0"/>
              <w:bottom w:val="nil"/>
            </w:tcBorders>
            <w:vAlign w:val="center"/>
          </w:tcPr>
          <w:p w14:paraId="19E37FA5">
            <w:pPr>
              <w:spacing w:line="240" w:lineRule="auto"/>
              <w:ind w:firstLine="0" w:firstLineChars="0"/>
              <w:jc w:val="center"/>
              <w:rPr>
                <w:rFonts w:cstheme="minorBidi"/>
                <w:snapToGrid w:val="0"/>
                <w:color w:val="000000"/>
                <w:kern w:val="0"/>
                <w:sz w:val="21"/>
                <w:szCs w:val="21"/>
              </w:rPr>
            </w:pPr>
          </w:p>
        </w:tc>
        <w:tc>
          <w:tcPr>
            <w:tcW w:w="1908" w:type="dxa"/>
            <w:vAlign w:val="center"/>
          </w:tcPr>
          <w:p w14:paraId="47A4A88B">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孟家前楼</w:t>
            </w:r>
          </w:p>
        </w:tc>
        <w:tc>
          <w:tcPr>
            <w:tcW w:w="2986" w:type="dxa"/>
            <w:vMerge w:val="continue"/>
            <w:tcBorders>
              <w:top w:val="nil"/>
            </w:tcBorders>
            <w:vAlign w:val="center"/>
          </w:tcPr>
          <w:p w14:paraId="12E2C0E7">
            <w:pPr>
              <w:spacing w:line="240" w:lineRule="auto"/>
              <w:ind w:firstLine="0" w:firstLineChars="0"/>
              <w:jc w:val="center"/>
              <w:rPr>
                <w:rFonts w:cstheme="minorBidi"/>
                <w:snapToGrid w:val="0"/>
                <w:color w:val="000000"/>
                <w:kern w:val="0"/>
                <w:sz w:val="21"/>
                <w:szCs w:val="21"/>
              </w:rPr>
            </w:pPr>
          </w:p>
        </w:tc>
        <w:tc>
          <w:tcPr>
            <w:tcW w:w="2130" w:type="dxa"/>
            <w:tcBorders>
              <w:right w:val="single" w:color="000000" w:sz="10" w:space="0"/>
            </w:tcBorders>
            <w:vAlign w:val="center"/>
          </w:tcPr>
          <w:p w14:paraId="200F20AE">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0.050~0.053</w:t>
            </w:r>
          </w:p>
        </w:tc>
      </w:tr>
      <w:tr w14:paraId="49BF03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922" w:type="dxa"/>
            <w:vMerge w:val="continue"/>
            <w:tcBorders>
              <w:top w:val="nil"/>
              <w:left w:val="single" w:color="000000" w:sz="10" w:space="0"/>
              <w:bottom w:val="nil"/>
            </w:tcBorders>
            <w:vAlign w:val="center"/>
          </w:tcPr>
          <w:p w14:paraId="74F827DE">
            <w:pPr>
              <w:spacing w:line="240" w:lineRule="auto"/>
              <w:ind w:firstLine="0" w:firstLineChars="0"/>
              <w:jc w:val="center"/>
              <w:rPr>
                <w:rFonts w:cstheme="minorBidi"/>
                <w:snapToGrid w:val="0"/>
                <w:color w:val="000000"/>
                <w:kern w:val="0"/>
                <w:sz w:val="21"/>
                <w:szCs w:val="21"/>
              </w:rPr>
            </w:pPr>
          </w:p>
        </w:tc>
        <w:tc>
          <w:tcPr>
            <w:tcW w:w="1908" w:type="dxa"/>
            <w:vAlign w:val="center"/>
          </w:tcPr>
          <w:p w14:paraId="6F1E640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朱老庄</w:t>
            </w:r>
          </w:p>
        </w:tc>
        <w:tc>
          <w:tcPr>
            <w:tcW w:w="2986" w:type="dxa"/>
            <w:vMerge w:val="restart"/>
            <w:tcBorders>
              <w:bottom w:val="nil"/>
            </w:tcBorders>
            <w:vAlign w:val="center"/>
          </w:tcPr>
          <w:p w14:paraId="3381D64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202</w:t>
            </w:r>
            <w:r>
              <w:rPr>
                <w:rFonts w:hint="eastAsia" w:cstheme="minorBidi"/>
                <w:snapToGrid w:val="0"/>
                <w:color w:val="000000"/>
                <w:kern w:val="0"/>
                <w:sz w:val="21"/>
                <w:szCs w:val="21"/>
              </w:rPr>
              <w:t>3</w:t>
            </w:r>
            <w:r>
              <w:rPr>
                <w:rFonts w:cstheme="minorBidi"/>
                <w:snapToGrid w:val="0"/>
                <w:color w:val="000000"/>
                <w:kern w:val="0"/>
                <w:sz w:val="21"/>
                <w:szCs w:val="21"/>
              </w:rPr>
              <w:t>.1</w:t>
            </w:r>
            <w:r>
              <w:rPr>
                <w:rFonts w:hint="eastAsia" w:cstheme="minorBidi"/>
                <w:snapToGrid w:val="0"/>
                <w:color w:val="000000"/>
                <w:kern w:val="0"/>
                <w:sz w:val="21"/>
                <w:szCs w:val="21"/>
              </w:rPr>
              <w:t>2</w:t>
            </w:r>
            <w:r>
              <w:rPr>
                <w:rFonts w:cstheme="minorBidi"/>
                <w:snapToGrid w:val="0"/>
                <w:color w:val="000000"/>
                <w:kern w:val="0"/>
                <w:sz w:val="21"/>
                <w:szCs w:val="21"/>
              </w:rPr>
              <w:t>.</w:t>
            </w:r>
            <w:r>
              <w:rPr>
                <w:rFonts w:hint="eastAsia" w:cstheme="minorBidi"/>
                <w:snapToGrid w:val="0"/>
                <w:color w:val="000000"/>
                <w:kern w:val="0"/>
                <w:sz w:val="21"/>
                <w:szCs w:val="21"/>
              </w:rPr>
              <w:t>30</w:t>
            </w:r>
            <w:r>
              <w:rPr>
                <w:rFonts w:cstheme="minorBidi"/>
                <w:snapToGrid w:val="0"/>
                <w:color w:val="000000"/>
                <w:kern w:val="0"/>
                <w:sz w:val="21"/>
                <w:szCs w:val="21"/>
              </w:rPr>
              <w:t>~202</w:t>
            </w:r>
            <w:r>
              <w:rPr>
                <w:rFonts w:hint="eastAsia" w:cstheme="minorBidi"/>
                <w:snapToGrid w:val="0"/>
                <w:color w:val="000000"/>
                <w:kern w:val="0"/>
                <w:sz w:val="21"/>
                <w:szCs w:val="21"/>
              </w:rPr>
              <w:t>3</w:t>
            </w:r>
            <w:r>
              <w:rPr>
                <w:rFonts w:cstheme="minorBidi"/>
                <w:snapToGrid w:val="0"/>
                <w:color w:val="000000"/>
                <w:kern w:val="0"/>
                <w:sz w:val="21"/>
                <w:szCs w:val="21"/>
              </w:rPr>
              <w:t>.1</w:t>
            </w:r>
            <w:r>
              <w:rPr>
                <w:rFonts w:hint="eastAsia" w:cstheme="minorBidi"/>
                <w:snapToGrid w:val="0"/>
                <w:color w:val="000000"/>
                <w:kern w:val="0"/>
                <w:sz w:val="21"/>
                <w:szCs w:val="21"/>
              </w:rPr>
              <w:t>2</w:t>
            </w:r>
            <w:r>
              <w:rPr>
                <w:rFonts w:cstheme="minorBidi"/>
                <w:snapToGrid w:val="0"/>
                <w:color w:val="000000"/>
                <w:kern w:val="0"/>
                <w:sz w:val="21"/>
                <w:szCs w:val="21"/>
              </w:rPr>
              <w:t>.</w:t>
            </w:r>
            <w:r>
              <w:rPr>
                <w:rFonts w:hint="eastAsia" w:cstheme="minorBidi"/>
                <w:snapToGrid w:val="0"/>
                <w:color w:val="000000"/>
                <w:kern w:val="0"/>
                <w:sz w:val="21"/>
                <w:szCs w:val="21"/>
              </w:rPr>
              <w:t>31</w:t>
            </w:r>
          </w:p>
        </w:tc>
        <w:tc>
          <w:tcPr>
            <w:tcW w:w="2130" w:type="dxa"/>
            <w:tcBorders>
              <w:right w:val="single" w:color="000000" w:sz="10" w:space="0"/>
            </w:tcBorders>
            <w:vAlign w:val="center"/>
          </w:tcPr>
          <w:p w14:paraId="170584A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0.038~0.042</w:t>
            </w:r>
          </w:p>
        </w:tc>
      </w:tr>
      <w:tr w14:paraId="7B1E61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1922" w:type="dxa"/>
            <w:vMerge w:val="continue"/>
            <w:tcBorders>
              <w:top w:val="nil"/>
              <w:left w:val="single" w:color="000000" w:sz="10" w:space="0"/>
              <w:bottom w:val="nil"/>
            </w:tcBorders>
            <w:vAlign w:val="center"/>
          </w:tcPr>
          <w:p w14:paraId="3FEFE012">
            <w:pPr>
              <w:spacing w:line="240" w:lineRule="auto"/>
              <w:ind w:firstLine="0" w:firstLineChars="0"/>
              <w:jc w:val="center"/>
              <w:rPr>
                <w:rFonts w:cstheme="minorBidi"/>
                <w:snapToGrid w:val="0"/>
                <w:color w:val="000000"/>
                <w:kern w:val="0"/>
                <w:sz w:val="21"/>
                <w:szCs w:val="21"/>
              </w:rPr>
            </w:pPr>
          </w:p>
        </w:tc>
        <w:tc>
          <w:tcPr>
            <w:tcW w:w="1908" w:type="dxa"/>
            <w:vAlign w:val="center"/>
          </w:tcPr>
          <w:p w14:paraId="7073E69B">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王旮沓</w:t>
            </w:r>
          </w:p>
        </w:tc>
        <w:tc>
          <w:tcPr>
            <w:tcW w:w="2986" w:type="dxa"/>
            <w:vMerge w:val="continue"/>
            <w:tcBorders>
              <w:top w:val="nil"/>
              <w:bottom w:val="nil"/>
            </w:tcBorders>
            <w:vAlign w:val="center"/>
          </w:tcPr>
          <w:p w14:paraId="2962C0DF">
            <w:pPr>
              <w:spacing w:line="240" w:lineRule="auto"/>
              <w:ind w:firstLine="0" w:firstLineChars="0"/>
              <w:jc w:val="center"/>
              <w:rPr>
                <w:rFonts w:cstheme="minorBidi"/>
                <w:snapToGrid w:val="0"/>
                <w:color w:val="000000"/>
                <w:kern w:val="0"/>
                <w:sz w:val="21"/>
                <w:szCs w:val="21"/>
              </w:rPr>
            </w:pPr>
          </w:p>
        </w:tc>
        <w:tc>
          <w:tcPr>
            <w:tcW w:w="2130" w:type="dxa"/>
            <w:tcBorders>
              <w:right w:val="single" w:color="000000" w:sz="10" w:space="0"/>
            </w:tcBorders>
            <w:vAlign w:val="center"/>
          </w:tcPr>
          <w:p w14:paraId="4C8DE88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0.035~0.041</w:t>
            </w:r>
          </w:p>
        </w:tc>
      </w:tr>
      <w:tr w14:paraId="0D8D37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jc w:val="center"/>
        </w:trPr>
        <w:tc>
          <w:tcPr>
            <w:tcW w:w="1922" w:type="dxa"/>
            <w:vMerge w:val="continue"/>
            <w:tcBorders>
              <w:top w:val="nil"/>
              <w:left w:val="single" w:color="000000" w:sz="10" w:space="0"/>
            </w:tcBorders>
            <w:vAlign w:val="center"/>
          </w:tcPr>
          <w:p w14:paraId="5798F35E">
            <w:pPr>
              <w:spacing w:line="240" w:lineRule="auto"/>
              <w:ind w:firstLine="0" w:firstLineChars="0"/>
              <w:jc w:val="center"/>
              <w:rPr>
                <w:rFonts w:cstheme="minorBidi"/>
                <w:snapToGrid w:val="0"/>
                <w:color w:val="000000"/>
                <w:kern w:val="0"/>
                <w:sz w:val="21"/>
                <w:szCs w:val="21"/>
              </w:rPr>
            </w:pPr>
          </w:p>
        </w:tc>
        <w:tc>
          <w:tcPr>
            <w:tcW w:w="1908" w:type="dxa"/>
            <w:vAlign w:val="center"/>
          </w:tcPr>
          <w:p w14:paraId="21BD374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孟家前楼</w:t>
            </w:r>
          </w:p>
        </w:tc>
        <w:tc>
          <w:tcPr>
            <w:tcW w:w="2986" w:type="dxa"/>
            <w:vMerge w:val="continue"/>
            <w:tcBorders>
              <w:top w:val="nil"/>
            </w:tcBorders>
            <w:vAlign w:val="center"/>
          </w:tcPr>
          <w:p w14:paraId="72FED910">
            <w:pPr>
              <w:spacing w:line="240" w:lineRule="auto"/>
              <w:ind w:firstLine="0" w:firstLineChars="0"/>
              <w:jc w:val="center"/>
              <w:rPr>
                <w:rFonts w:cstheme="minorBidi"/>
                <w:snapToGrid w:val="0"/>
                <w:color w:val="000000"/>
                <w:kern w:val="0"/>
                <w:sz w:val="21"/>
                <w:szCs w:val="21"/>
              </w:rPr>
            </w:pPr>
          </w:p>
        </w:tc>
        <w:tc>
          <w:tcPr>
            <w:tcW w:w="2130" w:type="dxa"/>
            <w:tcBorders>
              <w:right w:val="single" w:color="000000" w:sz="10" w:space="0"/>
            </w:tcBorders>
            <w:vAlign w:val="center"/>
          </w:tcPr>
          <w:p w14:paraId="35DA2A15">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0.039~0.045</w:t>
            </w:r>
          </w:p>
        </w:tc>
      </w:tr>
    </w:tbl>
    <w:p w14:paraId="4C5395F6">
      <w:pPr>
        <w:ind w:firstLine="480"/>
      </w:pPr>
      <w:r>
        <w:rPr>
          <w:rFonts w:hint="eastAsia"/>
        </w:rPr>
        <w:t>根据上表分析近几年数据，项目区域各监测点位敏感点</w:t>
      </w:r>
      <w:r>
        <w:rPr>
          <w:rFonts w:ascii="宋体" w:hAnsi="宋体" w:cs="宋体"/>
          <w:spacing w:val="9"/>
          <w:sz w:val="23"/>
          <w:szCs w:val="23"/>
        </w:rPr>
        <w:t>项</w:t>
      </w:r>
      <w:r>
        <w:t>目区域周边敏感点环境空气质量有所好转，环境空气污染物指标呈现下降趋势。</w:t>
      </w:r>
    </w:p>
    <w:p w14:paraId="3DACCB65">
      <w:pPr>
        <w:keepNext/>
        <w:keepLines/>
        <w:spacing w:before="260" w:after="260" w:line="415" w:lineRule="auto"/>
        <w:ind w:firstLine="0" w:firstLineChars="0"/>
        <w:jc w:val="left"/>
        <w:outlineLvl w:val="2"/>
        <w:rPr>
          <w:b/>
          <w:bCs/>
          <w:sz w:val="28"/>
          <w:szCs w:val="32"/>
        </w:rPr>
      </w:pPr>
      <w:r>
        <w:rPr>
          <w:rFonts w:hint="eastAsia"/>
          <w:b/>
          <w:bCs/>
          <w:sz w:val="28"/>
          <w:szCs w:val="32"/>
        </w:rPr>
        <w:t>4.4.2</w:t>
      </w:r>
      <w:r>
        <w:rPr>
          <w:b/>
          <w:bCs/>
          <w:sz w:val="28"/>
          <w:szCs w:val="32"/>
        </w:rPr>
        <w:t xml:space="preserve"> </w:t>
      </w:r>
      <w:r>
        <w:rPr>
          <w:rFonts w:hint="eastAsia"/>
          <w:b/>
          <w:bCs/>
          <w:sz w:val="28"/>
          <w:szCs w:val="32"/>
        </w:rPr>
        <w:t>地表水环境质量现状及变化分析</w:t>
      </w:r>
    </w:p>
    <w:p w14:paraId="2903B10B">
      <w:pPr>
        <w:keepNext/>
        <w:keepLines/>
        <w:ind w:firstLine="0" w:firstLineChars="0"/>
        <w:jc w:val="left"/>
        <w:outlineLvl w:val="3"/>
        <w:rPr>
          <w:rFonts w:cstheme="majorBidi"/>
          <w:b/>
          <w:bCs/>
          <w:sz w:val="28"/>
          <w:szCs w:val="28"/>
        </w:rPr>
      </w:pPr>
      <w:bookmarkStart w:id="41" w:name="_Hlk40105765"/>
      <w:r>
        <w:rPr>
          <w:rFonts w:hint="eastAsia" w:cstheme="majorBidi"/>
          <w:b/>
          <w:bCs/>
          <w:sz w:val="28"/>
          <w:szCs w:val="28"/>
        </w:rPr>
        <w:t>4.4.2.1</w:t>
      </w:r>
      <w:r>
        <w:rPr>
          <w:rFonts w:cstheme="majorBidi"/>
          <w:b/>
          <w:bCs/>
          <w:sz w:val="28"/>
          <w:szCs w:val="28"/>
        </w:rPr>
        <w:t xml:space="preserve"> </w:t>
      </w:r>
      <w:r>
        <w:rPr>
          <w:rFonts w:hint="eastAsia" w:cstheme="majorBidi"/>
          <w:b/>
          <w:bCs/>
          <w:sz w:val="28"/>
          <w:szCs w:val="28"/>
        </w:rPr>
        <w:t>地表水环境现状监测</w:t>
      </w:r>
    </w:p>
    <w:p w14:paraId="0DABB430">
      <w:pPr>
        <w:widowControl/>
        <w:ind w:firstLine="480"/>
        <w:jc w:val="left"/>
        <w:rPr>
          <w:kern w:val="0"/>
          <w:szCs w:val="24"/>
        </w:rPr>
      </w:pPr>
      <w:r>
        <w:rPr>
          <w:kern w:val="0"/>
          <w:szCs w:val="24"/>
        </w:rPr>
        <w:t>根据202</w:t>
      </w:r>
      <w:r>
        <w:rPr>
          <w:rFonts w:hint="eastAsia"/>
          <w:kern w:val="0"/>
          <w:szCs w:val="24"/>
        </w:rPr>
        <w:t>3</w:t>
      </w:r>
      <w:r>
        <w:rPr>
          <w:kern w:val="0"/>
          <w:szCs w:val="24"/>
        </w:rPr>
        <w:t>年</w:t>
      </w:r>
      <w:r>
        <w:rPr>
          <w:rFonts w:hint="eastAsia"/>
          <w:kern w:val="0"/>
          <w:szCs w:val="24"/>
        </w:rPr>
        <w:t>六安</w:t>
      </w:r>
      <w:r>
        <w:rPr>
          <w:kern w:val="0"/>
          <w:szCs w:val="24"/>
        </w:rPr>
        <w:t>市环境质量状况</w:t>
      </w:r>
      <w:r>
        <w:rPr>
          <w:rFonts w:hint="eastAsia"/>
          <w:kern w:val="0"/>
          <w:szCs w:val="24"/>
        </w:rPr>
        <w:t>公报</w:t>
      </w:r>
      <w:r>
        <w:rPr>
          <w:kern w:val="0"/>
          <w:szCs w:val="24"/>
        </w:rPr>
        <w:t>，</w:t>
      </w:r>
      <w:bookmarkEnd w:id="41"/>
      <w:r>
        <w:rPr>
          <w:rFonts w:hint="eastAsia"/>
          <w:kern w:val="0"/>
          <w:szCs w:val="24"/>
        </w:rPr>
        <w:t>与上年相比，地表水总体水质无明显变化。其中11个国考断面水质均达到相应考核目标要求，达标率为100％。1个生态补偿断面——罗管闸断面生态补偿指数（P值）为0.705，达到考核目标要求。</w:t>
      </w:r>
    </w:p>
    <w:p w14:paraId="0F2C49F7">
      <w:pPr>
        <w:widowControl/>
        <w:ind w:firstLine="480"/>
        <w:jc w:val="left"/>
        <w:rPr>
          <w:kern w:val="0"/>
          <w:szCs w:val="24"/>
        </w:rPr>
      </w:pPr>
      <w:r>
        <w:rPr>
          <w:rFonts w:hint="eastAsia"/>
          <w:kern w:val="0"/>
          <w:szCs w:val="24"/>
        </w:rPr>
        <w:t>20</w:t>
      </w:r>
      <w:r>
        <w:rPr>
          <w:kern w:val="0"/>
          <w:szCs w:val="24"/>
        </w:rPr>
        <w:t>2</w:t>
      </w:r>
      <w:r>
        <w:rPr>
          <w:rFonts w:hint="eastAsia"/>
          <w:kern w:val="0"/>
          <w:szCs w:val="24"/>
        </w:rPr>
        <w:t>3六安市4个市级集中式饮用水源地和4个县级集中式饮用水源地各项监测指标均达到《地表水环境质量标准》（GB3838-2002）Ⅲ类水质标准，水质达标率100%。</w:t>
      </w:r>
    </w:p>
    <w:p w14:paraId="311E48DF">
      <w:pPr>
        <w:widowControl/>
        <w:ind w:firstLine="480"/>
        <w:jc w:val="left"/>
        <w:rPr>
          <w:kern w:val="0"/>
          <w:szCs w:val="24"/>
        </w:rPr>
      </w:pPr>
      <w:r>
        <w:rPr>
          <w:kern w:val="0"/>
          <w:szCs w:val="24"/>
        </w:rPr>
        <w:t>地表水现状监测引用安徽金安矿业有限公司例行监测中地表水现状监测数据， 监测时间为202</w:t>
      </w:r>
      <w:r>
        <w:rPr>
          <w:rFonts w:hint="eastAsia"/>
          <w:kern w:val="0"/>
          <w:szCs w:val="24"/>
        </w:rPr>
        <w:t>2</w:t>
      </w:r>
      <w:r>
        <w:rPr>
          <w:kern w:val="0"/>
          <w:szCs w:val="24"/>
        </w:rPr>
        <w:t xml:space="preserve"> 年 6 月</w:t>
      </w:r>
      <w:r>
        <w:rPr>
          <w:rFonts w:hint="eastAsia"/>
          <w:kern w:val="0"/>
          <w:szCs w:val="24"/>
        </w:rPr>
        <w:t>21</w:t>
      </w:r>
      <w:r>
        <w:rPr>
          <w:kern w:val="0"/>
          <w:szCs w:val="24"/>
        </w:rPr>
        <w:t xml:space="preserve"> 日，监测报告见附件。</w:t>
      </w:r>
    </w:p>
    <w:p w14:paraId="6959A65A">
      <w:pPr>
        <w:widowControl/>
        <w:ind w:firstLine="0" w:firstLineChars="0"/>
        <w:jc w:val="center"/>
        <w:rPr>
          <w:rFonts w:cs="Times New Roman"/>
          <w:b/>
          <w:kern w:val="0"/>
          <w:szCs w:val="24"/>
        </w:rPr>
        <w:sectPr>
          <w:pgSz w:w="11906" w:h="16838"/>
          <w:pgMar w:top="1440" w:right="1797" w:bottom="1440" w:left="1797" w:header="964" w:footer="850" w:gutter="0"/>
          <w:cols w:space="720" w:num="1"/>
          <w:docGrid w:linePitch="326" w:charSpace="0"/>
        </w:sectPr>
      </w:pPr>
    </w:p>
    <w:p w14:paraId="71DE5911">
      <w:pPr>
        <w:widowControl/>
        <w:ind w:firstLine="0" w:firstLineChars="0"/>
        <w:jc w:val="center"/>
        <w:rPr>
          <w:rFonts w:cs="Times New Roman"/>
          <w:b/>
          <w:kern w:val="0"/>
          <w:szCs w:val="24"/>
        </w:rPr>
      </w:pPr>
      <w:r>
        <w:rPr>
          <w:rFonts w:hint="eastAsia" w:cs="Times New Roman"/>
          <w:b/>
          <w:kern w:val="0"/>
          <w:szCs w:val="24"/>
        </w:rPr>
        <w:t>表4.4-6 地表水监测结果一览表</w:t>
      </w:r>
    </w:p>
    <w:tbl>
      <w:tblPr>
        <w:tblStyle w:val="139"/>
        <w:tblW w:w="1422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73"/>
        <w:gridCol w:w="1143"/>
        <w:gridCol w:w="912"/>
        <w:gridCol w:w="923"/>
        <w:gridCol w:w="923"/>
        <w:gridCol w:w="912"/>
        <w:gridCol w:w="912"/>
        <w:gridCol w:w="912"/>
        <w:gridCol w:w="912"/>
        <w:gridCol w:w="913"/>
        <w:gridCol w:w="912"/>
        <w:gridCol w:w="913"/>
        <w:gridCol w:w="923"/>
        <w:gridCol w:w="913"/>
        <w:gridCol w:w="927"/>
      </w:tblGrid>
      <w:tr w14:paraId="1B8B7A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jc w:val="center"/>
        </w:trPr>
        <w:tc>
          <w:tcPr>
            <w:tcW w:w="1173" w:type="dxa"/>
            <w:vMerge w:val="restart"/>
            <w:tcBorders>
              <w:left w:val="single" w:color="000000" w:sz="10" w:space="0"/>
              <w:bottom w:val="nil"/>
            </w:tcBorders>
            <w:vAlign w:val="center"/>
          </w:tcPr>
          <w:p w14:paraId="67D4D2DB">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检测日期</w:t>
            </w:r>
          </w:p>
        </w:tc>
        <w:tc>
          <w:tcPr>
            <w:tcW w:w="1143" w:type="dxa"/>
            <w:vMerge w:val="restart"/>
            <w:tcBorders>
              <w:bottom w:val="nil"/>
            </w:tcBorders>
            <w:vAlign w:val="center"/>
          </w:tcPr>
          <w:p w14:paraId="1AC41BD8">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检测点位</w:t>
            </w:r>
          </w:p>
        </w:tc>
        <w:tc>
          <w:tcPr>
            <w:tcW w:w="11907" w:type="dxa"/>
            <w:gridSpan w:val="13"/>
            <w:tcBorders>
              <w:right w:val="single" w:color="000000" w:sz="10" w:space="0"/>
            </w:tcBorders>
            <w:vAlign w:val="center"/>
          </w:tcPr>
          <w:p w14:paraId="706CDDF2">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检测项目</w:t>
            </w:r>
          </w:p>
        </w:tc>
      </w:tr>
      <w:tr w14:paraId="077530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7" w:hRule="atLeast"/>
          <w:jc w:val="center"/>
        </w:trPr>
        <w:tc>
          <w:tcPr>
            <w:tcW w:w="1173" w:type="dxa"/>
            <w:vMerge w:val="continue"/>
            <w:tcBorders>
              <w:top w:val="nil"/>
              <w:left w:val="single" w:color="000000" w:sz="10" w:space="0"/>
            </w:tcBorders>
            <w:vAlign w:val="center"/>
          </w:tcPr>
          <w:p w14:paraId="50F14967">
            <w:pPr>
              <w:spacing w:line="240" w:lineRule="auto"/>
              <w:ind w:firstLine="0" w:firstLineChars="0"/>
              <w:jc w:val="center"/>
              <w:rPr>
                <w:rFonts w:cstheme="minorBidi"/>
                <w:b/>
                <w:bCs/>
                <w:snapToGrid w:val="0"/>
                <w:color w:val="000000"/>
                <w:kern w:val="0"/>
                <w:sz w:val="21"/>
                <w:szCs w:val="21"/>
              </w:rPr>
            </w:pPr>
          </w:p>
        </w:tc>
        <w:tc>
          <w:tcPr>
            <w:tcW w:w="1143" w:type="dxa"/>
            <w:vMerge w:val="continue"/>
            <w:tcBorders>
              <w:top w:val="nil"/>
            </w:tcBorders>
            <w:vAlign w:val="center"/>
          </w:tcPr>
          <w:p w14:paraId="5399E7F5">
            <w:pPr>
              <w:spacing w:line="240" w:lineRule="auto"/>
              <w:ind w:firstLine="0" w:firstLineChars="0"/>
              <w:jc w:val="center"/>
              <w:rPr>
                <w:rFonts w:cstheme="minorBidi"/>
                <w:b/>
                <w:bCs/>
                <w:snapToGrid w:val="0"/>
                <w:color w:val="000000"/>
                <w:kern w:val="0"/>
                <w:sz w:val="21"/>
                <w:szCs w:val="21"/>
              </w:rPr>
            </w:pPr>
          </w:p>
        </w:tc>
        <w:tc>
          <w:tcPr>
            <w:tcW w:w="912" w:type="dxa"/>
            <w:vAlign w:val="center"/>
          </w:tcPr>
          <w:p w14:paraId="52647F4A">
            <w:pPr>
              <w:spacing w:before="72" w:line="240" w:lineRule="auto"/>
              <w:ind w:left="139" w:right="146"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pH  无量纲</w:t>
            </w:r>
          </w:p>
        </w:tc>
        <w:tc>
          <w:tcPr>
            <w:tcW w:w="923" w:type="dxa"/>
            <w:vAlign w:val="center"/>
          </w:tcPr>
          <w:p w14:paraId="74741930">
            <w:pPr>
              <w:spacing w:before="72"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氨氮</w:t>
            </w:r>
          </w:p>
          <w:p w14:paraId="24F74871">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mg/L</w:t>
            </w:r>
          </w:p>
        </w:tc>
        <w:tc>
          <w:tcPr>
            <w:tcW w:w="923" w:type="dxa"/>
            <w:vAlign w:val="center"/>
          </w:tcPr>
          <w:p w14:paraId="3DA2D039">
            <w:pPr>
              <w:spacing w:before="71" w:line="240" w:lineRule="auto"/>
              <w:ind w:left="244" w:right="146"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氟化物 mg/L</w:t>
            </w:r>
          </w:p>
        </w:tc>
        <w:tc>
          <w:tcPr>
            <w:tcW w:w="912" w:type="dxa"/>
            <w:vAlign w:val="center"/>
          </w:tcPr>
          <w:p w14:paraId="2A1AE4E3">
            <w:pPr>
              <w:spacing w:before="72"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砷</w:t>
            </w:r>
          </w:p>
          <w:p w14:paraId="64CBAB8F">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μg/L</w:t>
            </w:r>
          </w:p>
        </w:tc>
        <w:tc>
          <w:tcPr>
            <w:tcW w:w="912" w:type="dxa"/>
            <w:vAlign w:val="center"/>
          </w:tcPr>
          <w:p w14:paraId="748177A5">
            <w:pPr>
              <w:spacing w:before="72"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铅</w:t>
            </w:r>
          </w:p>
          <w:p w14:paraId="25D7E7F5">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μg/L</w:t>
            </w:r>
          </w:p>
        </w:tc>
        <w:tc>
          <w:tcPr>
            <w:tcW w:w="912" w:type="dxa"/>
            <w:vAlign w:val="center"/>
          </w:tcPr>
          <w:p w14:paraId="66EA74F3">
            <w:pPr>
              <w:spacing w:before="72"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铜</w:t>
            </w:r>
          </w:p>
          <w:p w14:paraId="4B956B0A">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μg/L</w:t>
            </w:r>
          </w:p>
        </w:tc>
        <w:tc>
          <w:tcPr>
            <w:tcW w:w="912" w:type="dxa"/>
            <w:vAlign w:val="center"/>
          </w:tcPr>
          <w:p w14:paraId="3E383387">
            <w:pPr>
              <w:spacing w:before="72"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锌</w:t>
            </w:r>
          </w:p>
          <w:p w14:paraId="0D1D942B">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μg/L</w:t>
            </w:r>
          </w:p>
        </w:tc>
        <w:tc>
          <w:tcPr>
            <w:tcW w:w="913" w:type="dxa"/>
            <w:vAlign w:val="center"/>
          </w:tcPr>
          <w:p w14:paraId="42C9EC18">
            <w:pPr>
              <w:spacing w:before="72"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镉</w:t>
            </w:r>
          </w:p>
          <w:p w14:paraId="57733094">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μg/L</w:t>
            </w:r>
          </w:p>
        </w:tc>
        <w:tc>
          <w:tcPr>
            <w:tcW w:w="912" w:type="dxa"/>
            <w:vAlign w:val="center"/>
          </w:tcPr>
          <w:p w14:paraId="791B9220">
            <w:pPr>
              <w:spacing w:before="72"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铁</w:t>
            </w:r>
          </w:p>
          <w:p w14:paraId="31C1D933">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μg/L</w:t>
            </w:r>
          </w:p>
        </w:tc>
        <w:tc>
          <w:tcPr>
            <w:tcW w:w="913" w:type="dxa"/>
            <w:vAlign w:val="center"/>
          </w:tcPr>
          <w:p w14:paraId="74B651DD">
            <w:pPr>
              <w:spacing w:before="71" w:line="240" w:lineRule="auto"/>
              <w:ind w:left="259" w:right="181"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锰 μg/L</w:t>
            </w:r>
          </w:p>
        </w:tc>
        <w:tc>
          <w:tcPr>
            <w:tcW w:w="923" w:type="dxa"/>
            <w:vAlign w:val="center"/>
          </w:tcPr>
          <w:p w14:paraId="116F9169">
            <w:pPr>
              <w:spacing w:before="71" w:line="240" w:lineRule="auto"/>
              <w:ind w:left="261" w:right="133"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六价铬 mg/L</w:t>
            </w:r>
          </w:p>
        </w:tc>
        <w:tc>
          <w:tcPr>
            <w:tcW w:w="913" w:type="dxa"/>
            <w:vAlign w:val="center"/>
          </w:tcPr>
          <w:p w14:paraId="002A2205">
            <w:pPr>
              <w:spacing w:before="71" w:line="240" w:lineRule="auto"/>
              <w:ind w:left="257" w:right="127"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硝酸盐 mg/L</w:t>
            </w:r>
          </w:p>
        </w:tc>
        <w:tc>
          <w:tcPr>
            <w:tcW w:w="927" w:type="dxa"/>
            <w:tcBorders>
              <w:right w:val="single" w:color="000000" w:sz="10" w:space="0"/>
            </w:tcBorders>
            <w:vAlign w:val="center"/>
          </w:tcPr>
          <w:p w14:paraId="6B67C81F">
            <w:pPr>
              <w:spacing w:before="71" w:line="240" w:lineRule="auto"/>
              <w:ind w:left="258" w:right="129"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硫酸盐 mg/L</w:t>
            </w:r>
          </w:p>
        </w:tc>
      </w:tr>
      <w:tr w14:paraId="245809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jc w:val="center"/>
        </w:trPr>
        <w:tc>
          <w:tcPr>
            <w:tcW w:w="1173" w:type="dxa"/>
            <w:vMerge w:val="restart"/>
            <w:tcBorders>
              <w:left w:val="single" w:color="000000" w:sz="10" w:space="0"/>
              <w:bottom w:val="nil"/>
            </w:tcBorders>
            <w:vAlign w:val="center"/>
          </w:tcPr>
          <w:p w14:paraId="4447DE5E">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202</w:t>
            </w:r>
            <w:r>
              <w:rPr>
                <w:rFonts w:hint="eastAsia" w:cstheme="minorBidi"/>
                <w:snapToGrid w:val="0"/>
                <w:color w:val="000000"/>
                <w:kern w:val="0"/>
                <w:sz w:val="21"/>
                <w:szCs w:val="21"/>
              </w:rPr>
              <w:t>2</w:t>
            </w:r>
            <w:r>
              <w:rPr>
                <w:rFonts w:cstheme="minorBidi"/>
                <w:snapToGrid w:val="0"/>
                <w:color w:val="000000"/>
                <w:kern w:val="0"/>
                <w:sz w:val="21"/>
                <w:szCs w:val="21"/>
              </w:rPr>
              <w:t>.6.</w:t>
            </w:r>
            <w:r>
              <w:rPr>
                <w:rFonts w:hint="eastAsia" w:cstheme="minorBidi"/>
                <w:snapToGrid w:val="0"/>
                <w:color w:val="000000"/>
                <w:kern w:val="0"/>
                <w:sz w:val="21"/>
                <w:szCs w:val="21"/>
              </w:rPr>
              <w:t>21</w:t>
            </w:r>
          </w:p>
        </w:tc>
        <w:tc>
          <w:tcPr>
            <w:tcW w:w="1143" w:type="dxa"/>
            <w:vAlign w:val="center"/>
          </w:tcPr>
          <w:p w14:paraId="142A8608">
            <w:pPr>
              <w:spacing w:line="240" w:lineRule="auto"/>
              <w:ind w:left="105" w:right="27" w:firstLine="0" w:firstLineChars="0"/>
              <w:rPr>
                <w:rFonts w:cstheme="minorBidi"/>
                <w:snapToGrid w:val="0"/>
                <w:color w:val="000000"/>
                <w:kern w:val="0"/>
                <w:sz w:val="21"/>
                <w:szCs w:val="21"/>
              </w:rPr>
            </w:pPr>
            <w:r>
              <w:rPr>
                <w:rFonts w:cstheme="minorBidi"/>
                <w:snapToGrid w:val="0"/>
                <w:color w:val="000000"/>
                <w:kern w:val="0"/>
                <w:sz w:val="21"/>
                <w:szCs w:val="21"/>
              </w:rPr>
              <w:t>陈大庄沟 支流（W1）</w:t>
            </w:r>
          </w:p>
        </w:tc>
        <w:tc>
          <w:tcPr>
            <w:tcW w:w="912" w:type="dxa"/>
            <w:vAlign w:val="center"/>
          </w:tcPr>
          <w:p w14:paraId="3E64982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6.95</w:t>
            </w:r>
          </w:p>
        </w:tc>
        <w:tc>
          <w:tcPr>
            <w:tcW w:w="923" w:type="dxa"/>
            <w:vAlign w:val="center"/>
          </w:tcPr>
          <w:p w14:paraId="342CFEC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0.419</w:t>
            </w:r>
          </w:p>
        </w:tc>
        <w:tc>
          <w:tcPr>
            <w:tcW w:w="923" w:type="dxa"/>
            <w:vAlign w:val="center"/>
          </w:tcPr>
          <w:p w14:paraId="3D38165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0.588</w:t>
            </w:r>
          </w:p>
        </w:tc>
        <w:tc>
          <w:tcPr>
            <w:tcW w:w="912" w:type="dxa"/>
            <w:vAlign w:val="center"/>
          </w:tcPr>
          <w:p w14:paraId="2BBE5BA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3.23</w:t>
            </w:r>
          </w:p>
        </w:tc>
        <w:tc>
          <w:tcPr>
            <w:tcW w:w="912" w:type="dxa"/>
            <w:vAlign w:val="center"/>
          </w:tcPr>
          <w:p w14:paraId="40CEF12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＜0.09</w:t>
            </w:r>
          </w:p>
        </w:tc>
        <w:tc>
          <w:tcPr>
            <w:tcW w:w="912" w:type="dxa"/>
            <w:vAlign w:val="center"/>
          </w:tcPr>
          <w:p w14:paraId="5E065D0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2.39</w:t>
            </w:r>
          </w:p>
        </w:tc>
        <w:tc>
          <w:tcPr>
            <w:tcW w:w="912" w:type="dxa"/>
            <w:vAlign w:val="center"/>
          </w:tcPr>
          <w:p w14:paraId="352CAD8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＜0.67</w:t>
            </w:r>
          </w:p>
        </w:tc>
        <w:tc>
          <w:tcPr>
            <w:tcW w:w="913" w:type="dxa"/>
            <w:vAlign w:val="center"/>
          </w:tcPr>
          <w:p w14:paraId="0E0A5D9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912" w:type="dxa"/>
            <w:vAlign w:val="center"/>
          </w:tcPr>
          <w:p w14:paraId="3EB5A7F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49.8</w:t>
            </w:r>
          </w:p>
        </w:tc>
        <w:tc>
          <w:tcPr>
            <w:tcW w:w="913" w:type="dxa"/>
            <w:vAlign w:val="center"/>
          </w:tcPr>
          <w:p w14:paraId="59F8E84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0.50</w:t>
            </w:r>
          </w:p>
        </w:tc>
        <w:tc>
          <w:tcPr>
            <w:tcW w:w="923" w:type="dxa"/>
            <w:vAlign w:val="center"/>
          </w:tcPr>
          <w:p w14:paraId="3CF48F5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0.007</w:t>
            </w:r>
          </w:p>
        </w:tc>
        <w:tc>
          <w:tcPr>
            <w:tcW w:w="913" w:type="dxa"/>
            <w:vAlign w:val="center"/>
          </w:tcPr>
          <w:p w14:paraId="0D2BCD6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7.89</w:t>
            </w:r>
          </w:p>
        </w:tc>
        <w:tc>
          <w:tcPr>
            <w:tcW w:w="927" w:type="dxa"/>
            <w:tcBorders>
              <w:right w:val="single" w:color="000000" w:sz="10" w:space="0"/>
            </w:tcBorders>
            <w:vAlign w:val="center"/>
          </w:tcPr>
          <w:p w14:paraId="6472D4B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20.7</w:t>
            </w:r>
          </w:p>
        </w:tc>
      </w:tr>
      <w:tr w14:paraId="19D043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jc w:val="center"/>
        </w:trPr>
        <w:tc>
          <w:tcPr>
            <w:tcW w:w="1173" w:type="dxa"/>
            <w:vMerge w:val="continue"/>
            <w:tcBorders>
              <w:top w:val="nil"/>
              <w:left w:val="single" w:color="000000" w:sz="10" w:space="0"/>
            </w:tcBorders>
            <w:vAlign w:val="center"/>
          </w:tcPr>
          <w:p w14:paraId="6075934A">
            <w:pPr>
              <w:spacing w:line="240" w:lineRule="auto"/>
              <w:ind w:firstLine="0" w:firstLineChars="0"/>
              <w:jc w:val="center"/>
              <w:rPr>
                <w:rFonts w:cstheme="minorBidi"/>
                <w:snapToGrid w:val="0"/>
                <w:color w:val="000000"/>
                <w:kern w:val="0"/>
                <w:sz w:val="21"/>
                <w:szCs w:val="21"/>
              </w:rPr>
            </w:pPr>
          </w:p>
        </w:tc>
        <w:tc>
          <w:tcPr>
            <w:tcW w:w="1143" w:type="dxa"/>
            <w:vAlign w:val="center"/>
          </w:tcPr>
          <w:p w14:paraId="19A0741F">
            <w:pPr>
              <w:spacing w:before="74"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沿岗河</w:t>
            </w:r>
          </w:p>
          <w:p w14:paraId="3B9394D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（W2）</w:t>
            </w:r>
          </w:p>
        </w:tc>
        <w:tc>
          <w:tcPr>
            <w:tcW w:w="912" w:type="dxa"/>
            <w:vAlign w:val="center"/>
          </w:tcPr>
          <w:p w14:paraId="27C2C6B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7.08</w:t>
            </w:r>
          </w:p>
        </w:tc>
        <w:tc>
          <w:tcPr>
            <w:tcW w:w="923" w:type="dxa"/>
            <w:vAlign w:val="center"/>
          </w:tcPr>
          <w:p w14:paraId="764D370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0.520</w:t>
            </w:r>
          </w:p>
        </w:tc>
        <w:tc>
          <w:tcPr>
            <w:tcW w:w="923" w:type="dxa"/>
            <w:vAlign w:val="center"/>
          </w:tcPr>
          <w:p w14:paraId="0B463496">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0.628</w:t>
            </w:r>
          </w:p>
        </w:tc>
        <w:tc>
          <w:tcPr>
            <w:tcW w:w="912" w:type="dxa"/>
            <w:vAlign w:val="center"/>
          </w:tcPr>
          <w:p w14:paraId="1F5C14F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5.72</w:t>
            </w:r>
          </w:p>
        </w:tc>
        <w:tc>
          <w:tcPr>
            <w:tcW w:w="912" w:type="dxa"/>
            <w:vAlign w:val="center"/>
          </w:tcPr>
          <w:p w14:paraId="2A9D239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＜0.09</w:t>
            </w:r>
          </w:p>
        </w:tc>
        <w:tc>
          <w:tcPr>
            <w:tcW w:w="912" w:type="dxa"/>
            <w:vAlign w:val="center"/>
          </w:tcPr>
          <w:p w14:paraId="696B4C3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2.49</w:t>
            </w:r>
          </w:p>
        </w:tc>
        <w:tc>
          <w:tcPr>
            <w:tcW w:w="912" w:type="dxa"/>
            <w:vAlign w:val="center"/>
          </w:tcPr>
          <w:p w14:paraId="5457DD8E">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＜0.67</w:t>
            </w:r>
          </w:p>
        </w:tc>
        <w:tc>
          <w:tcPr>
            <w:tcW w:w="913" w:type="dxa"/>
            <w:vAlign w:val="center"/>
          </w:tcPr>
          <w:p w14:paraId="49DB68E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912" w:type="dxa"/>
            <w:vAlign w:val="center"/>
          </w:tcPr>
          <w:p w14:paraId="01552BD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62.4</w:t>
            </w:r>
          </w:p>
        </w:tc>
        <w:tc>
          <w:tcPr>
            <w:tcW w:w="913" w:type="dxa"/>
            <w:vAlign w:val="center"/>
          </w:tcPr>
          <w:p w14:paraId="3B804FA5">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1.47</w:t>
            </w:r>
          </w:p>
        </w:tc>
        <w:tc>
          <w:tcPr>
            <w:tcW w:w="923" w:type="dxa"/>
            <w:vAlign w:val="center"/>
          </w:tcPr>
          <w:p w14:paraId="447C33A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0.006</w:t>
            </w:r>
          </w:p>
        </w:tc>
        <w:tc>
          <w:tcPr>
            <w:tcW w:w="913" w:type="dxa"/>
            <w:vAlign w:val="center"/>
          </w:tcPr>
          <w:p w14:paraId="6BD744C5">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7.91</w:t>
            </w:r>
          </w:p>
        </w:tc>
        <w:tc>
          <w:tcPr>
            <w:tcW w:w="927" w:type="dxa"/>
            <w:tcBorders>
              <w:right w:val="single" w:color="000000" w:sz="10" w:space="0"/>
            </w:tcBorders>
            <w:vAlign w:val="center"/>
          </w:tcPr>
          <w:p w14:paraId="3C761A0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20.9</w:t>
            </w:r>
          </w:p>
        </w:tc>
      </w:tr>
      <w:tr w14:paraId="3CCB50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jc w:val="center"/>
        </w:trPr>
        <w:tc>
          <w:tcPr>
            <w:tcW w:w="2316" w:type="dxa"/>
            <w:gridSpan w:val="2"/>
            <w:tcBorders>
              <w:left w:val="single" w:color="000000" w:sz="10" w:space="0"/>
            </w:tcBorders>
            <w:vAlign w:val="center"/>
          </w:tcPr>
          <w:p w14:paraId="65ACD7C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地表水Ⅲ类水体标准</w:t>
            </w:r>
          </w:p>
        </w:tc>
        <w:tc>
          <w:tcPr>
            <w:tcW w:w="912" w:type="dxa"/>
            <w:vAlign w:val="center"/>
          </w:tcPr>
          <w:p w14:paraId="32DED85E">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6~9</w:t>
            </w:r>
          </w:p>
        </w:tc>
        <w:tc>
          <w:tcPr>
            <w:tcW w:w="923" w:type="dxa"/>
            <w:vAlign w:val="center"/>
          </w:tcPr>
          <w:p w14:paraId="2A1F574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923" w:type="dxa"/>
            <w:vAlign w:val="center"/>
          </w:tcPr>
          <w:p w14:paraId="0F64236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912" w:type="dxa"/>
            <w:vAlign w:val="center"/>
          </w:tcPr>
          <w:p w14:paraId="0FAFBDE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50</w:t>
            </w:r>
          </w:p>
        </w:tc>
        <w:tc>
          <w:tcPr>
            <w:tcW w:w="912" w:type="dxa"/>
            <w:vAlign w:val="center"/>
          </w:tcPr>
          <w:p w14:paraId="64150E5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50</w:t>
            </w:r>
          </w:p>
        </w:tc>
        <w:tc>
          <w:tcPr>
            <w:tcW w:w="912" w:type="dxa"/>
            <w:vAlign w:val="center"/>
          </w:tcPr>
          <w:p w14:paraId="16D363F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1000</w:t>
            </w:r>
          </w:p>
        </w:tc>
        <w:tc>
          <w:tcPr>
            <w:tcW w:w="912" w:type="dxa"/>
            <w:vAlign w:val="center"/>
          </w:tcPr>
          <w:p w14:paraId="46AEBE1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1000</w:t>
            </w:r>
          </w:p>
        </w:tc>
        <w:tc>
          <w:tcPr>
            <w:tcW w:w="913" w:type="dxa"/>
            <w:vAlign w:val="center"/>
          </w:tcPr>
          <w:p w14:paraId="38BF5D8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5</w:t>
            </w:r>
          </w:p>
        </w:tc>
        <w:tc>
          <w:tcPr>
            <w:tcW w:w="912" w:type="dxa"/>
            <w:vAlign w:val="center"/>
          </w:tcPr>
          <w:p w14:paraId="2073264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300</w:t>
            </w:r>
          </w:p>
        </w:tc>
        <w:tc>
          <w:tcPr>
            <w:tcW w:w="913" w:type="dxa"/>
            <w:vAlign w:val="center"/>
          </w:tcPr>
          <w:p w14:paraId="7C91759E">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100</w:t>
            </w:r>
          </w:p>
        </w:tc>
        <w:tc>
          <w:tcPr>
            <w:tcW w:w="923" w:type="dxa"/>
            <w:vAlign w:val="center"/>
          </w:tcPr>
          <w:p w14:paraId="735A353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913" w:type="dxa"/>
            <w:vAlign w:val="center"/>
          </w:tcPr>
          <w:p w14:paraId="66B7904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927" w:type="dxa"/>
            <w:tcBorders>
              <w:right w:val="single" w:color="000000" w:sz="10" w:space="0"/>
            </w:tcBorders>
            <w:vAlign w:val="center"/>
          </w:tcPr>
          <w:p w14:paraId="2B281C1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250</w:t>
            </w:r>
          </w:p>
        </w:tc>
      </w:tr>
    </w:tbl>
    <w:p w14:paraId="10C5D684">
      <w:pPr>
        <w:widowControl/>
        <w:ind w:firstLine="480"/>
        <w:jc w:val="left"/>
        <w:rPr>
          <w:rFonts w:cs="Times New Roman"/>
          <w:kern w:val="0"/>
          <w:szCs w:val="24"/>
        </w:rPr>
      </w:pPr>
      <w:r>
        <w:rPr>
          <w:rFonts w:hint="eastAsia" w:cs="Times New Roman"/>
          <w:kern w:val="0"/>
          <w:szCs w:val="24"/>
        </w:rPr>
        <w:t>本次环评现状补充监测表明：沿岗河及</w:t>
      </w:r>
      <w:r>
        <w:rPr>
          <w:rFonts w:cs="Times New Roman"/>
          <w:kern w:val="0"/>
          <w:szCs w:val="24"/>
        </w:rPr>
        <w:t>陈大庄沟支流</w:t>
      </w:r>
      <w:r>
        <w:rPr>
          <w:rFonts w:hint="eastAsia" w:cs="Times New Roman"/>
          <w:kern w:val="0"/>
          <w:szCs w:val="24"/>
        </w:rPr>
        <w:t>水环境质量可满足</w:t>
      </w:r>
      <w:r>
        <w:rPr>
          <w:rFonts w:cs="Times New Roman"/>
          <w:kern w:val="0"/>
          <w:szCs w:val="24"/>
        </w:rPr>
        <w:t>《地表水环境质量标准》</w:t>
      </w:r>
      <w:r>
        <w:rPr>
          <w:rFonts w:hint="eastAsia" w:cs="Times New Roman"/>
          <w:kern w:val="0"/>
          <w:szCs w:val="24"/>
        </w:rPr>
        <w:t>（</w:t>
      </w:r>
      <w:r>
        <w:rPr>
          <w:rFonts w:cs="Times New Roman"/>
          <w:kern w:val="0"/>
          <w:szCs w:val="24"/>
        </w:rPr>
        <w:t>GB3838-2002</w:t>
      </w:r>
      <w:r>
        <w:rPr>
          <w:rFonts w:hint="eastAsia" w:cs="Times New Roman"/>
          <w:kern w:val="0"/>
          <w:szCs w:val="24"/>
        </w:rPr>
        <w:t>）</w:t>
      </w:r>
      <w:r>
        <w:rPr>
          <w:rFonts w:cs="Times New Roman"/>
          <w:kern w:val="0"/>
          <w:szCs w:val="24"/>
        </w:rPr>
        <w:t>中的</w:t>
      </w:r>
      <w:r>
        <w:rPr>
          <w:rFonts w:ascii="宋体" w:hAnsi="宋体" w:cs="宋体"/>
          <w:sz w:val="23"/>
          <w:szCs w:val="23"/>
        </w:rPr>
        <w:t>Ⅲ</w:t>
      </w:r>
      <w:r>
        <w:rPr>
          <w:rFonts w:hint="eastAsia" w:cs="Times New Roman"/>
          <w:kern w:val="0"/>
          <w:szCs w:val="24"/>
        </w:rPr>
        <w:t>类</w:t>
      </w:r>
      <w:r>
        <w:rPr>
          <w:rFonts w:cs="Times New Roman"/>
          <w:kern w:val="0"/>
          <w:szCs w:val="24"/>
        </w:rPr>
        <w:t>类标准</w:t>
      </w:r>
      <w:r>
        <w:rPr>
          <w:rFonts w:hint="eastAsia" w:cs="Times New Roman"/>
          <w:kern w:val="0"/>
          <w:szCs w:val="24"/>
        </w:rPr>
        <w:t>限值。</w:t>
      </w:r>
    </w:p>
    <w:p w14:paraId="2BBD0ED3">
      <w:pPr>
        <w:keepNext/>
        <w:keepLines/>
        <w:ind w:firstLine="0" w:firstLineChars="0"/>
        <w:jc w:val="left"/>
        <w:outlineLvl w:val="3"/>
        <w:rPr>
          <w:rFonts w:cstheme="majorBidi"/>
          <w:b/>
          <w:bCs/>
          <w:sz w:val="28"/>
          <w:szCs w:val="28"/>
        </w:rPr>
      </w:pPr>
      <w:r>
        <w:rPr>
          <w:rFonts w:hint="eastAsia" w:cstheme="majorBidi"/>
          <w:b/>
          <w:bCs/>
          <w:sz w:val="28"/>
          <w:szCs w:val="28"/>
        </w:rPr>
        <w:t>4.4.2.2</w:t>
      </w:r>
      <w:r>
        <w:rPr>
          <w:rFonts w:cstheme="majorBidi"/>
          <w:b/>
          <w:bCs/>
          <w:sz w:val="28"/>
          <w:szCs w:val="28"/>
        </w:rPr>
        <w:t xml:space="preserve"> </w:t>
      </w:r>
      <w:r>
        <w:rPr>
          <w:rFonts w:hint="eastAsia" w:cstheme="majorBidi"/>
          <w:b/>
          <w:bCs/>
          <w:sz w:val="28"/>
          <w:szCs w:val="28"/>
        </w:rPr>
        <w:t>地表水质量变化情况分析</w:t>
      </w:r>
    </w:p>
    <w:p w14:paraId="0EEE89D9">
      <w:pPr>
        <w:ind w:firstLine="480"/>
      </w:pPr>
      <w:r>
        <w:rPr>
          <w:rFonts w:hint="eastAsia"/>
        </w:rPr>
        <w:t>通过对比例行监测地表水水质监测结果，分析后评价阶段地表水水质变化情况。</w:t>
      </w:r>
    </w:p>
    <w:p w14:paraId="702B1176">
      <w:pPr>
        <w:ind w:firstLine="480"/>
      </w:pPr>
    </w:p>
    <w:p w14:paraId="788776DA">
      <w:pPr>
        <w:ind w:firstLine="480"/>
        <w:sectPr>
          <w:pgSz w:w="16838" w:h="11906" w:orient="landscape"/>
          <w:pgMar w:top="1797" w:right="1440" w:bottom="1797" w:left="1440" w:header="964" w:footer="850" w:gutter="0"/>
          <w:cols w:space="720" w:num="1"/>
          <w:docGrid w:linePitch="326" w:charSpace="0"/>
        </w:sectPr>
      </w:pPr>
    </w:p>
    <w:p w14:paraId="0D870791">
      <w:pPr>
        <w:ind w:firstLine="0" w:firstLineChars="0"/>
        <w:jc w:val="center"/>
        <w:rPr>
          <w:b/>
        </w:rPr>
      </w:pPr>
      <w:r>
        <w:rPr>
          <w:rFonts w:hint="eastAsia"/>
          <w:b/>
        </w:rPr>
        <w:t xml:space="preserve">表4.4-8 </w:t>
      </w:r>
      <w:r>
        <w:rPr>
          <w:b/>
        </w:rPr>
        <w:t xml:space="preserve"> </w:t>
      </w:r>
      <w:r>
        <w:rPr>
          <w:rFonts w:hint="eastAsia"/>
          <w:b/>
        </w:rPr>
        <w:t>历年地表水水质监测结果表 单位：pH 值无量纲，其他为 mg/L</w:t>
      </w:r>
    </w:p>
    <w:tbl>
      <w:tblPr>
        <w:tblStyle w:val="13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22"/>
        <w:gridCol w:w="983"/>
        <w:gridCol w:w="1045"/>
        <w:gridCol w:w="679"/>
        <w:gridCol w:w="497"/>
        <w:gridCol w:w="626"/>
        <w:gridCol w:w="768"/>
        <w:gridCol w:w="768"/>
        <w:gridCol w:w="405"/>
        <w:gridCol w:w="405"/>
        <w:gridCol w:w="771"/>
        <w:gridCol w:w="771"/>
        <w:gridCol w:w="771"/>
        <w:gridCol w:w="771"/>
        <w:gridCol w:w="771"/>
        <w:gridCol w:w="866"/>
        <w:gridCol w:w="682"/>
        <w:gridCol w:w="687"/>
        <w:gridCol w:w="408"/>
        <w:gridCol w:w="772"/>
      </w:tblGrid>
      <w:tr w14:paraId="711256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2" w:hRule="atLeast"/>
          <w:jc w:val="center"/>
        </w:trPr>
        <w:tc>
          <w:tcPr>
            <w:tcW w:w="187" w:type="pct"/>
          </w:tcPr>
          <w:p w14:paraId="023D97CD">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监测 时段</w:t>
            </w:r>
          </w:p>
        </w:tc>
        <w:tc>
          <w:tcPr>
            <w:tcW w:w="352" w:type="pct"/>
          </w:tcPr>
          <w:p w14:paraId="0FF5435B">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监测</w:t>
            </w:r>
          </w:p>
          <w:p w14:paraId="4F25B029">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点位</w:t>
            </w:r>
          </w:p>
        </w:tc>
        <w:tc>
          <w:tcPr>
            <w:tcW w:w="374" w:type="pct"/>
          </w:tcPr>
          <w:p w14:paraId="73E3E4EA">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监测</w:t>
            </w:r>
          </w:p>
          <w:p w14:paraId="08D1E4EA">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时间</w:t>
            </w:r>
          </w:p>
        </w:tc>
        <w:tc>
          <w:tcPr>
            <w:tcW w:w="243" w:type="pct"/>
          </w:tcPr>
          <w:p w14:paraId="77479AE1">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pH 值</w:t>
            </w:r>
          </w:p>
        </w:tc>
        <w:tc>
          <w:tcPr>
            <w:tcW w:w="178" w:type="pct"/>
          </w:tcPr>
          <w:p w14:paraId="110D9A95">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COD</w:t>
            </w:r>
          </w:p>
        </w:tc>
        <w:tc>
          <w:tcPr>
            <w:tcW w:w="224" w:type="pct"/>
          </w:tcPr>
          <w:p w14:paraId="51F00EE2">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BOD5</w:t>
            </w:r>
          </w:p>
        </w:tc>
        <w:tc>
          <w:tcPr>
            <w:tcW w:w="275" w:type="pct"/>
          </w:tcPr>
          <w:p w14:paraId="0177DC42">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氨氮</w:t>
            </w:r>
          </w:p>
        </w:tc>
        <w:tc>
          <w:tcPr>
            <w:tcW w:w="275" w:type="pct"/>
          </w:tcPr>
          <w:p w14:paraId="6E496F85">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石油</w:t>
            </w:r>
          </w:p>
          <w:p w14:paraId="12482D38">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类</w:t>
            </w:r>
          </w:p>
        </w:tc>
        <w:tc>
          <w:tcPr>
            <w:tcW w:w="145" w:type="pct"/>
          </w:tcPr>
          <w:p w14:paraId="75FB6B92">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硫酸 盐</w:t>
            </w:r>
          </w:p>
        </w:tc>
        <w:tc>
          <w:tcPr>
            <w:tcW w:w="145" w:type="pct"/>
          </w:tcPr>
          <w:p w14:paraId="495AC303">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硝酸 盐</w:t>
            </w:r>
          </w:p>
        </w:tc>
        <w:tc>
          <w:tcPr>
            <w:tcW w:w="276" w:type="pct"/>
          </w:tcPr>
          <w:p w14:paraId="39F83769">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硫化</w:t>
            </w:r>
          </w:p>
          <w:p w14:paraId="02729183">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物</w:t>
            </w:r>
          </w:p>
        </w:tc>
        <w:tc>
          <w:tcPr>
            <w:tcW w:w="276" w:type="pct"/>
          </w:tcPr>
          <w:p w14:paraId="00450451">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氟化</w:t>
            </w:r>
          </w:p>
          <w:p w14:paraId="72C353F8">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物</w:t>
            </w:r>
          </w:p>
        </w:tc>
        <w:tc>
          <w:tcPr>
            <w:tcW w:w="276" w:type="pct"/>
          </w:tcPr>
          <w:p w14:paraId="4A7938F0">
            <w:pPr>
              <w:spacing w:line="240" w:lineRule="auto"/>
              <w:ind w:firstLine="0" w:firstLineChars="0"/>
              <w:jc w:val="center"/>
              <w:rPr>
                <w:rFonts w:cstheme="minorBidi"/>
                <w:b/>
                <w:bCs/>
                <w:snapToGrid w:val="0"/>
                <w:color w:val="000000"/>
                <w:kern w:val="0"/>
                <w:sz w:val="21"/>
                <w:szCs w:val="21"/>
              </w:rPr>
            </w:pPr>
            <w:r>
              <w:rPr>
                <w:rFonts w:hint="eastAsia" w:cs="Arial"/>
                <w:b/>
                <w:bCs/>
                <w:snapToGrid w:val="0"/>
                <w:color w:val="000000"/>
                <w:kern w:val="0"/>
                <w:sz w:val="21"/>
                <w:szCs w:val="21"/>
              </w:rPr>
              <mc:AlternateContent>
                <mc:Choice Requires="wps">
                  <w:drawing>
                    <wp:anchor distT="0" distB="0" distL="114300" distR="114300" simplePos="0" relativeHeight="251661312" behindDoc="0" locked="0" layoutInCell="1" allowOverlap="1">
                      <wp:simplePos x="0" y="0"/>
                      <wp:positionH relativeFrom="rightMargin">
                        <wp:posOffset>-66040</wp:posOffset>
                      </wp:positionH>
                      <wp:positionV relativeFrom="topMargin">
                        <wp:posOffset>-58420</wp:posOffset>
                      </wp:positionV>
                      <wp:extent cx="122555" cy="114300"/>
                      <wp:effectExtent l="4445" t="1905" r="0" b="0"/>
                      <wp:wrapNone/>
                      <wp:docPr id="652604041" name="文本框 5"/>
                      <wp:cNvGraphicFramePr/>
                      <a:graphic xmlns:a="http://schemas.openxmlformats.org/drawingml/2006/main">
                        <a:graphicData uri="http://schemas.microsoft.com/office/word/2010/wordprocessingShape">
                          <wps:wsp>
                            <wps:cNvSpPr txBox="1">
                              <a:spLocks noChangeArrowheads="1"/>
                            </wps:cNvSpPr>
                            <wps:spPr bwMode="auto">
                              <a:xfrm>
                                <a:off x="0" y="0"/>
                                <a:ext cx="122555" cy="114300"/>
                              </a:xfrm>
                              <a:prstGeom prst="rect">
                                <a:avLst/>
                              </a:prstGeom>
                              <a:noFill/>
                              <a:ln>
                                <a:noFill/>
                              </a:ln>
                            </wps:spPr>
                            <wps:txbx>
                              <w:txbxContent>
                                <w:p w14:paraId="2657C85A">
                                  <w:pPr>
                                    <w:spacing w:before="20" w:line="139" w:lineRule="exact"/>
                                    <w:ind w:firstLine="268"/>
                                    <w:rPr>
                                      <w:rFonts w:hint="eastAsia" w:ascii="微软雅黑" w:hAnsi="微软雅黑" w:eastAsia="微软雅黑" w:cs="微软雅黑"/>
                                      <w:sz w:val="23"/>
                                      <w:szCs w:val="23"/>
                                    </w:rPr>
                                  </w:pPr>
                                  <w:r>
                                    <w:rPr>
                                      <w:rFonts w:ascii="微软雅黑" w:hAnsi="微软雅黑" w:eastAsia="微软雅黑" w:cs="微软雅黑"/>
                                      <w:spacing w:val="-17"/>
                                      <w:w w:val="73"/>
                                      <w:position w:val="4"/>
                                      <w:sz w:val="23"/>
                                      <w:szCs w:val="23"/>
                                      <w14:textOutline w14:w="4356" w14:cap="sq" w14:cmpd="sng" w14:algn="ctr">
                                        <w14:solidFill>
                                          <w14:srgbClr w14:val="000000"/>
                                        </w14:solidFill>
                                        <w14:prstDash w14:val="solid"/>
                                        <w14:bevel/>
                                      </w14:textOutline>
                                    </w:rPr>
                                    <w:t>，</w:t>
                                  </w:r>
                                </w:p>
                              </w:txbxContent>
                            </wps:txbx>
                            <wps:bodyPr rot="0" vert="horz" wrap="square" lIns="0" tIns="0" rIns="0" bIns="0" anchor="t" anchorCtr="0" upright="1">
                              <a:noAutofit/>
                            </wps:bodyPr>
                          </wps:wsp>
                        </a:graphicData>
                      </a:graphic>
                    </wp:anchor>
                  </w:drawing>
                </mc:Choice>
                <mc:Fallback>
                  <w:pict>
                    <v:shape id="文本框 5" o:spid="_x0000_s1026" o:spt="202" type="#_x0000_t202" style="position:absolute;left:0pt;margin-left:33.1pt;margin-top:-4.1pt;height:9pt;width:9.65pt;mso-position-horizontal-relative:page;mso-position-vertical-relative:page;z-index:251661312;mso-width-relative:page;mso-height-relative:page;" filled="f" stroked="f" coordsize="21600,21600" o:gfxdata="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2lcd9UAAAAGAQAADwAAAAAAAAAB&#10;ACAAAAAiAAAAZHJzL2Rvd25yZXYueG1sUEsBAhQAFAAAAAgAh07iQGsYoqoTAgAADAQAAA4AAAAA&#10;AAAAAQAgAAAAJAEAAGRycy9lMm9Eb2MueG1sUEsFBgAAAAAGAAYAWQEAAKkFAAAAAA==&#10;">
                      <v:fill on="f" focussize="0,0"/>
                      <v:stroke on="f"/>
                      <v:imagedata o:title=""/>
                      <o:lock v:ext="edit" aspectratio="f"/>
                      <v:textbox inset="0mm,0mm,0mm,0mm">
                        <w:txbxContent>
                          <w:p w14:paraId="2657C85A">
                            <w:pPr>
                              <w:spacing w:before="20" w:line="139" w:lineRule="exact"/>
                              <w:ind w:firstLine="268"/>
                              <w:rPr>
                                <w:rFonts w:hint="eastAsia" w:ascii="微软雅黑" w:hAnsi="微软雅黑" w:eastAsia="微软雅黑" w:cs="微软雅黑"/>
                                <w:sz w:val="23"/>
                                <w:szCs w:val="23"/>
                              </w:rPr>
                            </w:pPr>
                            <w:r>
                              <w:rPr>
                                <w:rFonts w:ascii="微软雅黑" w:hAnsi="微软雅黑" w:eastAsia="微软雅黑" w:cs="微软雅黑"/>
                                <w:spacing w:val="-17"/>
                                <w:w w:val="73"/>
                                <w:position w:val="4"/>
                                <w:sz w:val="23"/>
                                <w:szCs w:val="23"/>
                                <w14:textOutline w14:w="4356" w14:cap="sq" w14:cmpd="sng" w14:algn="ctr">
                                  <w14:solidFill>
                                    <w14:srgbClr w14:val="000000"/>
                                  </w14:solidFill>
                                  <w14:prstDash w14:val="solid"/>
                                  <w14:bevel/>
                                </w14:textOutline>
                              </w:rPr>
                              <w:t>，</w:t>
                            </w:r>
                          </w:p>
                        </w:txbxContent>
                      </v:textbox>
                    </v:shape>
                  </w:pict>
                </mc:Fallback>
              </mc:AlternateContent>
            </w:r>
            <w:r>
              <w:rPr>
                <w:rFonts w:cstheme="minorBidi"/>
                <w:b/>
                <w:bCs/>
                <w:snapToGrid w:val="0"/>
                <w:color w:val="000000"/>
                <w:kern w:val="0"/>
                <w:sz w:val="21"/>
                <w:szCs w:val="21"/>
              </w:rPr>
              <w:t>铜</w:t>
            </w:r>
          </w:p>
        </w:tc>
        <w:tc>
          <w:tcPr>
            <w:tcW w:w="276" w:type="pct"/>
          </w:tcPr>
          <w:p w14:paraId="278A35C4">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锌</w:t>
            </w:r>
          </w:p>
        </w:tc>
        <w:tc>
          <w:tcPr>
            <w:tcW w:w="276" w:type="pct"/>
            <w:textDirection w:val="tbRlV"/>
          </w:tcPr>
          <w:p w14:paraId="7C3D6D3A">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    铅</w:t>
            </w:r>
          </w:p>
        </w:tc>
        <w:tc>
          <w:tcPr>
            <w:tcW w:w="310" w:type="pct"/>
          </w:tcPr>
          <w:p w14:paraId="5B943FC8">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镉</w:t>
            </w:r>
          </w:p>
        </w:tc>
        <w:tc>
          <w:tcPr>
            <w:tcW w:w="244" w:type="pct"/>
          </w:tcPr>
          <w:p w14:paraId="615FC348">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砷</w:t>
            </w:r>
          </w:p>
        </w:tc>
        <w:tc>
          <w:tcPr>
            <w:tcW w:w="246" w:type="pct"/>
          </w:tcPr>
          <w:p w14:paraId="31D38304">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铁</w:t>
            </w:r>
          </w:p>
        </w:tc>
        <w:tc>
          <w:tcPr>
            <w:tcW w:w="146" w:type="pct"/>
          </w:tcPr>
          <w:p w14:paraId="1A55EC79">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锰</w:t>
            </w:r>
          </w:p>
        </w:tc>
        <w:tc>
          <w:tcPr>
            <w:tcW w:w="276" w:type="pct"/>
          </w:tcPr>
          <w:p w14:paraId="6D5DA463">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六价</w:t>
            </w:r>
          </w:p>
          <w:p w14:paraId="3C786047">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铬</w:t>
            </w:r>
          </w:p>
        </w:tc>
      </w:tr>
      <w:tr w14:paraId="3585B7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0" w:hRule="atLeast"/>
          <w:jc w:val="center"/>
        </w:trPr>
        <w:tc>
          <w:tcPr>
            <w:tcW w:w="187" w:type="pct"/>
            <w:vMerge w:val="restart"/>
            <w:vAlign w:val="center"/>
          </w:tcPr>
          <w:p w14:paraId="678AEDF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环评</w:t>
            </w:r>
          </w:p>
        </w:tc>
        <w:tc>
          <w:tcPr>
            <w:tcW w:w="352" w:type="pct"/>
            <w:vMerge w:val="restart"/>
            <w:vAlign w:val="center"/>
          </w:tcPr>
          <w:p w14:paraId="2E7B257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1＃断面（陈大庄沟）</w:t>
            </w:r>
          </w:p>
        </w:tc>
        <w:tc>
          <w:tcPr>
            <w:tcW w:w="374" w:type="pct"/>
            <w:vAlign w:val="center"/>
          </w:tcPr>
          <w:p w14:paraId="45584CD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2009. 5.21</w:t>
            </w:r>
          </w:p>
        </w:tc>
        <w:tc>
          <w:tcPr>
            <w:tcW w:w="243" w:type="pct"/>
            <w:vAlign w:val="center"/>
          </w:tcPr>
          <w:p w14:paraId="6788F0C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7.80</w:t>
            </w:r>
          </w:p>
        </w:tc>
        <w:tc>
          <w:tcPr>
            <w:tcW w:w="178" w:type="pct"/>
            <w:vAlign w:val="center"/>
          </w:tcPr>
          <w:p w14:paraId="0B89FB3B">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29</w:t>
            </w:r>
          </w:p>
        </w:tc>
        <w:tc>
          <w:tcPr>
            <w:tcW w:w="224" w:type="pct"/>
            <w:vAlign w:val="center"/>
          </w:tcPr>
          <w:p w14:paraId="4777C05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3.1</w:t>
            </w:r>
          </w:p>
        </w:tc>
        <w:tc>
          <w:tcPr>
            <w:tcW w:w="275" w:type="pct"/>
            <w:vAlign w:val="center"/>
          </w:tcPr>
          <w:p w14:paraId="581B263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0.224</w:t>
            </w:r>
          </w:p>
        </w:tc>
        <w:tc>
          <w:tcPr>
            <w:tcW w:w="275" w:type="pct"/>
            <w:vAlign w:val="center"/>
          </w:tcPr>
          <w:p w14:paraId="24951C6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0.184</w:t>
            </w:r>
          </w:p>
        </w:tc>
        <w:tc>
          <w:tcPr>
            <w:tcW w:w="145" w:type="pct"/>
            <w:vAlign w:val="center"/>
          </w:tcPr>
          <w:p w14:paraId="68882EA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145" w:type="pct"/>
            <w:vAlign w:val="center"/>
          </w:tcPr>
          <w:p w14:paraId="08970D4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25E56BE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0.005</w:t>
            </w:r>
          </w:p>
        </w:tc>
        <w:tc>
          <w:tcPr>
            <w:tcW w:w="276" w:type="pct"/>
            <w:vAlign w:val="center"/>
          </w:tcPr>
          <w:p w14:paraId="6D697A9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0.764</w:t>
            </w:r>
          </w:p>
        </w:tc>
        <w:tc>
          <w:tcPr>
            <w:tcW w:w="276" w:type="pct"/>
            <w:vAlign w:val="center"/>
          </w:tcPr>
          <w:p w14:paraId="02902456">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0.003</w:t>
            </w:r>
          </w:p>
        </w:tc>
        <w:tc>
          <w:tcPr>
            <w:tcW w:w="276" w:type="pct"/>
            <w:vAlign w:val="center"/>
          </w:tcPr>
          <w:p w14:paraId="6ECE9CEE">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0.095</w:t>
            </w:r>
          </w:p>
        </w:tc>
        <w:tc>
          <w:tcPr>
            <w:tcW w:w="276" w:type="pct"/>
            <w:vAlign w:val="center"/>
          </w:tcPr>
          <w:p w14:paraId="07673E5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0.006</w:t>
            </w:r>
          </w:p>
        </w:tc>
        <w:tc>
          <w:tcPr>
            <w:tcW w:w="310" w:type="pct"/>
            <w:vAlign w:val="center"/>
          </w:tcPr>
          <w:p w14:paraId="1ECE6A8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0.0003</w:t>
            </w:r>
          </w:p>
        </w:tc>
        <w:tc>
          <w:tcPr>
            <w:tcW w:w="244" w:type="pct"/>
            <w:vAlign w:val="center"/>
          </w:tcPr>
          <w:p w14:paraId="6FDA040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0.21</w:t>
            </w:r>
          </w:p>
        </w:tc>
        <w:tc>
          <w:tcPr>
            <w:tcW w:w="246" w:type="pct"/>
            <w:vAlign w:val="center"/>
          </w:tcPr>
          <w:p w14:paraId="19DA515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0.22</w:t>
            </w:r>
          </w:p>
        </w:tc>
        <w:tc>
          <w:tcPr>
            <w:tcW w:w="146" w:type="pct"/>
            <w:vAlign w:val="center"/>
          </w:tcPr>
          <w:p w14:paraId="3CEB155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219D95B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0.004</w:t>
            </w:r>
          </w:p>
        </w:tc>
      </w:tr>
      <w:tr w14:paraId="310480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7" w:hRule="atLeast"/>
          <w:jc w:val="center"/>
        </w:trPr>
        <w:tc>
          <w:tcPr>
            <w:tcW w:w="187" w:type="pct"/>
            <w:vMerge w:val="continue"/>
            <w:vAlign w:val="center"/>
          </w:tcPr>
          <w:p w14:paraId="65CEDCBA">
            <w:pPr>
              <w:spacing w:line="240" w:lineRule="auto"/>
              <w:ind w:firstLine="0" w:firstLineChars="0"/>
              <w:jc w:val="center"/>
              <w:rPr>
                <w:rFonts w:cstheme="minorBidi"/>
                <w:snapToGrid w:val="0"/>
                <w:color w:val="000000"/>
                <w:kern w:val="0"/>
                <w:sz w:val="21"/>
                <w:szCs w:val="21"/>
              </w:rPr>
            </w:pPr>
          </w:p>
        </w:tc>
        <w:tc>
          <w:tcPr>
            <w:tcW w:w="352" w:type="pct"/>
            <w:vMerge w:val="continue"/>
            <w:vAlign w:val="center"/>
          </w:tcPr>
          <w:p w14:paraId="4BF6BBD0">
            <w:pPr>
              <w:spacing w:line="240" w:lineRule="auto"/>
              <w:ind w:firstLine="0" w:firstLineChars="0"/>
              <w:jc w:val="center"/>
              <w:rPr>
                <w:rFonts w:cstheme="minorBidi"/>
                <w:snapToGrid w:val="0"/>
                <w:color w:val="000000"/>
                <w:kern w:val="0"/>
                <w:sz w:val="21"/>
                <w:szCs w:val="21"/>
              </w:rPr>
            </w:pPr>
          </w:p>
        </w:tc>
        <w:tc>
          <w:tcPr>
            <w:tcW w:w="374" w:type="pct"/>
            <w:vAlign w:val="center"/>
          </w:tcPr>
          <w:p w14:paraId="538FF826">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2009.5.22</w:t>
            </w:r>
          </w:p>
        </w:tc>
        <w:tc>
          <w:tcPr>
            <w:tcW w:w="243" w:type="pct"/>
            <w:vAlign w:val="center"/>
          </w:tcPr>
          <w:p w14:paraId="1EE52B4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7 82</w:t>
            </w:r>
          </w:p>
        </w:tc>
        <w:tc>
          <w:tcPr>
            <w:tcW w:w="178" w:type="pct"/>
            <w:vAlign w:val="center"/>
          </w:tcPr>
          <w:p w14:paraId="77FA583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29</w:t>
            </w:r>
          </w:p>
        </w:tc>
        <w:tc>
          <w:tcPr>
            <w:tcW w:w="224" w:type="pct"/>
            <w:vAlign w:val="center"/>
          </w:tcPr>
          <w:p w14:paraId="63061E06">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2 9</w:t>
            </w:r>
          </w:p>
        </w:tc>
        <w:tc>
          <w:tcPr>
            <w:tcW w:w="275" w:type="pct"/>
            <w:vAlign w:val="center"/>
          </w:tcPr>
          <w:p w14:paraId="24BE431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0 197</w:t>
            </w:r>
          </w:p>
        </w:tc>
        <w:tc>
          <w:tcPr>
            <w:tcW w:w="275" w:type="pct"/>
            <w:vAlign w:val="center"/>
          </w:tcPr>
          <w:p w14:paraId="2DDE904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0 192</w:t>
            </w:r>
          </w:p>
        </w:tc>
        <w:tc>
          <w:tcPr>
            <w:tcW w:w="145" w:type="pct"/>
            <w:vAlign w:val="center"/>
          </w:tcPr>
          <w:p w14:paraId="4E5126FE">
            <w:pPr>
              <w:spacing w:line="240" w:lineRule="auto"/>
              <w:ind w:firstLine="0" w:firstLineChars="0"/>
              <w:jc w:val="center"/>
              <w:rPr>
                <w:rFonts w:cstheme="minorBidi"/>
                <w:snapToGrid w:val="0"/>
                <w:color w:val="000000"/>
                <w:kern w:val="0"/>
                <w:sz w:val="21"/>
                <w:szCs w:val="21"/>
              </w:rPr>
            </w:pPr>
          </w:p>
        </w:tc>
        <w:tc>
          <w:tcPr>
            <w:tcW w:w="145" w:type="pct"/>
            <w:vAlign w:val="center"/>
          </w:tcPr>
          <w:p w14:paraId="1A51B126">
            <w:pPr>
              <w:spacing w:line="240" w:lineRule="auto"/>
              <w:ind w:firstLine="0" w:firstLineChars="0"/>
              <w:jc w:val="center"/>
              <w:rPr>
                <w:rFonts w:cstheme="minorBidi"/>
                <w:snapToGrid w:val="0"/>
                <w:color w:val="000000"/>
                <w:kern w:val="0"/>
                <w:sz w:val="21"/>
                <w:szCs w:val="21"/>
              </w:rPr>
            </w:pPr>
          </w:p>
        </w:tc>
        <w:tc>
          <w:tcPr>
            <w:tcW w:w="276" w:type="pct"/>
            <w:vAlign w:val="center"/>
          </w:tcPr>
          <w:p w14:paraId="4B05AE3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≤0.005</w:t>
            </w:r>
          </w:p>
        </w:tc>
        <w:tc>
          <w:tcPr>
            <w:tcW w:w="276" w:type="pct"/>
            <w:vAlign w:val="center"/>
          </w:tcPr>
          <w:p w14:paraId="1ACA595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0 742</w:t>
            </w:r>
          </w:p>
        </w:tc>
        <w:tc>
          <w:tcPr>
            <w:tcW w:w="276" w:type="pct"/>
            <w:vAlign w:val="center"/>
          </w:tcPr>
          <w:p w14:paraId="5FD10C0E">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≤0.003</w:t>
            </w:r>
          </w:p>
        </w:tc>
        <w:tc>
          <w:tcPr>
            <w:tcW w:w="276" w:type="pct"/>
            <w:vAlign w:val="center"/>
          </w:tcPr>
          <w:p w14:paraId="2FECC4B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0 096</w:t>
            </w:r>
          </w:p>
        </w:tc>
        <w:tc>
          <w:tcPr>
            <w:tcW w:w="276" w:type="pct"/>
            <w:vAlign w:val="center"/>
          </w:tcPr>
          <w:p w14:paraId="294368F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≤0.006</w:t>
            </w:r>
          </w:p>
        </w:tc>
        <w:tc>
          <w:tcPr>
            <w:tcW w:w="310" w:type="pct"/>
            <w:vAlign w:val="center"/>
          </w:tcPr>
          <w:p w14:paraId="1A1D8B7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≤0.0003</w:t>
            </w:r>
          </w:p>
        </w:tc>
        <w:tc>
          <w:tcPr>
            <w:tcW w:w="244" w:type="pct"/>
            <w:vAlign w:val="center"/>
          </w:tcPr>
          <w:p w14:paraId="087C002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0 28</w:t>
            </w:r>
          </w:p>
        </w:tc>
        <w:tc>
          <w:tcPr>
            <w:tcW w:w="246" w:type="pct"/>
            <w:vAlign w:val="center"/>
          </w:tcPr>
          <w:p w14:paraId="77B7C89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0 25</w:t>
            </w:r>
          </w:p>
        </w:tc>
        <w:tc>
          <w:tcPr>
            <w:tcW w:w="146" w:type="pct"/>
            <w:vAlign w:val="center"/>
          </w:tcPr>
          <w:p w14:paraId="6098766B">
            <w:pPr>
              <w:spacing w:line="240" w:lineRule="auto"/>
              <w:ind w:firstLine="0" w:firstLineChars="0"/>
              <w:jc w:val="center"/>
              <w:rPr>
                <w:rFonts w:cstheme="minorBidi"/>
                <w:snapToGrid w:val="0"/>
                <w:color w:val="000000"/>
                <w:kern w:val="0"/>
                <w:sz w:val="21"/>
                <w:szCs w:val="21"/>
              </w:rPr>
            </w:pPr>
          </w:p>
        </w:tc>
        <w:tc>
          <w:tcPr>
            <w:tcW w:w="276" w:type="pct"/>
            <w:vAlign w:val="center"/>
          </w:tcPr>
          <w:p w14:paraId="5403CE0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r>
      <w:tr w14:paraId="349C36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9" w:hRule="atLeast"/>
          <w:jc w:val="center"/>
        </w:trPr>
        <w:tc>
          <w:tcPr>
            <w:tcW w:w="187" w:type="pct"/>
            <w:vMerge w:val="continue"/>
            <w:vAlign w:val="center"/>
          </w:tcPr>
          <w:p w14:paraId="21166B66">
            <w:pPr>
              <w:spacing w:line="240" w:lineRule="auto"/>
              <w:ind w:firstLine="0" w:firstLineChars="0"/>
              <w:jc w:val="center"/>
              <w:rPr>
                <w:rFonts w:cstheme="minorBidi"/>
                <w:snapToGrid w:val="0"/>
                <w:color w:val="000000"/>
                <w:kern w:val="0"/>
                <w:sz w:val="21"/>
                <w:szCs w:val="21"/>
              </w:rPr>
            </w:pPr>
          </w:p>
        </w:tc>
        <w:tc>
          <w:tcPr>
            <w:tcW w:w="352" w:type="pct"/>
            <w:vMerge w:val="restart"/>
            <w:vAlign w:val="center"/>
          </w:tcPr>
          <w:p w14:paraId="2C7D4456">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2＃断面（陈大庄沟）</w:t>
            </w:r>
          </w:p>
        </w:tc>
        <w:tc>
          <w:tcPr>
            <w:tcW w:w="374" w:type="pct"/>
            <w:vAlign w:val="center"/>
          </w:tcPr>
          <w:p w14:paraId="5CB36F8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2009. 5.21</w:t>
            </w:r>
          </w:p>
        </w:tc>
        <w:tc>
          <w:tcPr>
            <w:tcW w:w="243" w:type="pct"/>
            <w:vAlign w:val="center"/>
          </w:tcPr>
          <w:p w14:paraId="6AC9A70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7.77</w:t>
            </w:r>
          </w:p>
        </w:tc>
        <w:tc>
          <w:tcPr>
            <w:tcW w:w="178" w:type="pct"/>
            <w:vAlign w:val="center"/>
          </w:tcPr>
          <w:p w14:paraId="551927A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32</w:t>
            </w:r>
          </w:p>
        </w:tc>
        <w:tc>
          <w:tcPr>
            <w:tcW w:w="224" w:type="pct"/>
            <w:vAlign w:val="center"/>
          </w:tcPr>
          <w:p w14:paraId="411344C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3.4</w:t>
            </w:r>
          </w:p>
        </w:tc>
        <w:tc>
          <w:tcPr>
            <w:tcW w:w="275" w:type="pct"/>
            <w:vAlign w:val="center"/>
          </w:tcPr>
          <w:p w14:paraId="1B41691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0.235</w:t>
            </w:r>
          </w:p>
        </w:tc>
        <w:tc>
          <w:tcPr>
            <w:tcW w:w="275" w:type="pct"/>
            <w:vAlign w:val="center"/>
          </w:tcPr>
          <w:p w14:paraId="3769946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0.152</w:t>
            </w:r>
          </w:p>
        </w:tc>
        <w:tc>
          <w:tcPr>
            <w:tcW w:w="145" w:type="pct"/>
            <w:vAlign w:val="center"/>
          </w:tcPr>
          <w:p w14:paraId="13C4BFB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145" w:type="pct"/>
            <w:vAlign w:val="center"/>
          </w:tcPr>
          <w:p w14:paraId="64803DF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26D54E66">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0.005</w:t>
            </w:r>
          </w:p>
        </w:tc>
        <w:tc>
          <w:tcPr>
            <w:tcW w:w="276" w:type="pct"/>
            <w:vAlign w:val="center"/>
          </w:tcPr>
          <w:p w14:paraId="602D5E9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0.742</w:t>
            </w:r>
          </w:p>
        </w:tc>
        <w:tc>
          <w:tcPr>
            <w:tcW w:w="276" w:type="pct"/>
            <w:vAlign w:val="center"/>
          </w:tcPr>
          <w:p w14:paraId="4792C84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0.003</w:t>
            </w:r>
          </w:p>
        </w:tc>
        <w:tc>
          <w:tcPr>
            <w:tcW w:w="276" w:type="pct"/>
            <w:vAlign w:val="center"/>
          </w:tcPr>
          <w:p w14:paraId="65195A0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0.092</w:t>
            </w:r>
          </w:p>
        </w:tc>
        <w:tc>
          <w:tcPr>
            <w:tcW w:w="276" w:type="pct"/>
            <w:vAlign w:val="center"/>
          </w:tcPr>
          <w:p w14:paraId="18A088E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0.006</w:t>
            </w:r>
          </w:p>
        </w:tc>
        <w:tc>
          <w:tcPr>
            <w:tcW w:w="310" w:type="pct"/>
            <w:vAlign w:val="center"/>
          </w:tcPr>
          <w:p w14:paraId="61B0DA2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0.0003</w:t>
            </w:r>
          </w:p>
        </w:tc>
        <w:tc>
          <w:tcPr>
            <w:tcW w:w="244" w:type="pct"/>
            <w:vAlign w:val="center"/>
          </w:tcPr>
          <w:p w14:paraId="58AD50D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0.23</w:t>
            </w:r>
          </w:p>
        </w:tc>
        <w:tc>
          <w:tcPr>
            <w:tcW w:w="246" w:type="pct"/>
            <w:vAlign w:val="center"/>
          </w:tcPr>
          <w:p w14:paraId="0C037066">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0.22</w:t>
            </w:r>
          </w:p>
        </w:tc>
        <w:tc>
          <w:tcPr>
            <w:tcW w:w="146" w:type="pct"/>
            <w:vAlign w:val="center"/>
          </w:tcPr>
          <w:p w14:paraId="23E2F16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5453F99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0.004</w:t>
            </w:r>
          </w:p>
        </w:tc>
      </w:tr>
      <w:tr w14:paraId="0A657B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jc w:val="center"/>
        </w:trPr>
        <w:tc>
          <w:tcPr>
            <w:tcW w:w="187" w:type="pct"/>
            <w:vMerge w:val="continue"/>
            <w:vAlign w:val="center"/>
          </w:tcPr>
          <w:p w14:paraId="67E7BD16">
            <w:pPr>
              <w:spacing w:line="240" w:lineRule="auto"/>
              <w:ind w:firstLine="0" w:firstLineChars="0"/>
              <w:jc w:val="center"/>
              <w:rPr>
                <w:rFonts w:cstheme="minorBidi"/>
                <w:snapToGrid w:val="0"/>
                <w:color w:val="000000"/>
                <w:kern w:val="0"/>
                <w:sz w:val="21"/>
                <w:szCs w:val="21"/>
              </w:rPr>
            </w:pPr>
          </w:p>
        </w:tc>
        <w:tc>
          <w:tcPr>
            <w:tcW w:w="352" w:type="pct"/>
            <w:vMerge w:val="continue"/>
            <w:vAlign w:val="center"/>
          </w:tcPr>
          <w:p w14:paraId="404DDA98">
            <w:pPr>
              <w:spacing w:line="240" w:lineRule="auto"/>
              <w:ind w:firstLine="0" w:firstLineChars="0"/>
              <w:jc w:val="center"/>
              <w:rPr>
                <w:rFonts w:cstheme="minorBidi"/>
                <w:snapToGrid w:val="0"/>
                <w:color w:val="000000"/>
                <w:kern w:val="0"/>
                <w:sz w:val="21"/>
                <w:szCs w:val="21"/>
              </w:rPr>
            </w:pPr>
          </w:p>
        </w:tc>
        <w:tc>
          <w:tcPr>
            <w:tcW w:w="374" w:type="pct"/>
            <w:vAlign w:val="center"/>
          </w:tcPr>
          <w:p w14:paraId="05C7DEC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2009. 5.22</w:t>
            </w:r>
          </w:p>
        </w:tc>
        <w:tc>
          <w:tcPr>
            <w:tcW w:w="243" w:type="pct"/>
            <w:vAlign w:val="center"/>
          </w:tcPr>
          <w:p w14:paraId="5CA4DD9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7 94</w:t>
            </w:r>
          </w:p>
        </w:tc>
        <w:tc>
          <w:tcPr>
            <w:tcW w:w="178" w:type="pct"/>
            <w:vAlign w:val="center"/>
          </w:tcPr>
          <w:p w14:paraId="19C5E48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25</w:t>
            </w:r>
          </w:p>
        </w:tc>
        <w:tc>
          <w:tcPr>
            <w:tcW w:w="224" w:type="pct"/>
            <w:vAlign w:val="center"/>
          </w:tcPr>
          <w:p w14:paraId="57DC234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w:t>
            </w:r>
          </w:p>
        </w:tc>
        <w:tc>
          <w:tcPr>
            <w:tcW w:w="275" w:type="pct"/>
            <w:vAlign w:val="center"/>
          </w:tcPr>
          <w:p w14:paraId="29837EA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0 144</w:t>
            </w:r>
          </w:p>
        </w:tc>
        <w:tc>
          <w:tcPr>
            <w:tcW w:w="275" w:type="pct"/>
            <w:vAlign w:val="center"/>
          </w:tcPr>
          <w:p w14:paraId="33D6E52A">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0 080</w:t>
            </w:r>
          </w:p>
        </w:tc>
        <w:tc>
          <w:tcPr>
            <w:tcW w:w="145" w:type="pct"/>
            <w:vAlign w:val="center"/>
          </w:tcPr>
          <w:p w14:paraId="562255F2">
            <w:pPr>
              <w:spacing w:line="240" w:lineRule="auto"/>
              <w:ind w:firstLine="0" w:firstLineChars="0"/>
              <w:jc w:val="center"/>
              <w:rPr>
                <w:rFonts w:cstheme="minorBidi"/>
                <w:snapToGrid w:val="0"/>
                <w:color w:val="000000"/>
                <w:kern w:val="0"/>
                <w:sz w:val="21"/>
                <w:szCs w:val="21"/>
              </w:rPr>
            </w:pPr>
          </w:p>
        </w:tc>
        <w:tc>
          <w:tcPr>
            <w:tcW w:w="145" w:type="pct"/>
            <w:vAlign w:val="center"/>
          </w:tcPr>
          <w:p w14:paraId="7E480F02">
            <w:pPr>
              <w:spacing w:line="240" w:lineRule="auto"/>
              <w:ind w:firstLine="0" w:firstLineChars="0"/>
              <w:jc w:val="center"/>
              <w:rPr>
                <w:rFonts w:cstheme="minorBidi"/>
                <w:snapToGrid w:val="0"/>
                <w:color w:val="000000"/>
                <w:kern w:val="0"/>
                <w:sz w:val="21"/>
                <w:szCs w:val="21"/>
              </w:rPr>
            </w:pPr>
          </w:p>
        </w:tc>
        <w:tc>
          <w:tcPr>
            <w:tcW w:w="276" w:type="pct"/>
            <w:vAlign w:val="center"/>
          </w:tcPr>
          <w:p w14:paraId="2D74C7B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≤0.005</w:t>
            </w:r>
          </w:p>
        </w:tc>
        <w:tc>
          <w:tcPr>
            <w:tcW w:w="276" w:type="pct"/>
            <w:vAlign w:val="center"/>
          </w:tcPr>
          <w:p w14:paraId="741ED1C1">
            <w:pPr>
              <w:spacing w:line="240" w:lineRule="auto"/>
              <w:ind w:firstLine="0" w:firstLineChars="0"/>
              <w:jc w:val="center"/>
              <w:rPr>
                <w:rFonts w:cstheme="minorBidi"/>
                <w:snapToGrid w:val="0"/>
                <w:color w:val="000000"/>
                <w:kern w:val="0"/>
                <w:sz w:val="21"/>
                <w:szCs w:val="21"/>
              </w:rPr>
            </w:pPr>
          </w:p>
          <w:p w14:paraId="5D61D93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0 692</w:t>
            </w:r>
          </w:p>
        </w:tc>
        <w:tc>
          <w:tcPr>
            <w:tcW w:w="276" w:type="pct"/>
            <w:vAlign w:val="center"/>
          </w:tcPr>
          <w:p w14:paraId="0DD7EA6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≤0.003</w:t>
            </w:r>
          </w:p>
        </w:tc>
        <w:tc>
          <w:tcPr>
            <w:tcW w:w="276" w:type="pct"/>
            <w:vAlign w:val="center"/>
          </w:tcPr>
          <w:p w14:paraId="5DE145C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0 072</w:t>
            </w:r>
          </w:p>
        </w:tc>
        <w:tc>
          <w:tcPr>
            <w:tcW w:w="276" w:type="pct"/>
            <w:vAlign w:val="center"/>
          </w:tcPr>
          <w:p w14:paraId="263E19D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≤0.006</w:t>
            </w:r>
          </w:p>
        </w:tc>
        <w:tc>
          <w:tcPr>
            <w:tcW w:w="310" w:type="pct"/>
            <w:vAlign w:val="center"/>
          </w:tcPr>
          <w:p w14:paraId="37730CD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≤0.0003</w:t>
            </w:r>
          </w:p>
        </w:tc>
        <w:tc>
          <w:tcPr>
            <w:tcW w:w="244" w:type="pct"/>
            <w:vAlign w:val="center"/>
          </w:tcPr>
          <w:p w14:paraId="01A0D37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0 27</w:t>
            </w:r>
          </w:p>
        </w:tc>
        <w:tc>
          <w:tcPr>
            <w:tcW w:w="246" w:type="pct"/>
            <w:vAlign w:val="center"/>
          </w:tcPr>
          <w:p w14:paraId="4906885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0 26</w:t>
            </w:r>
          </w:p>
        </w:tc>
        <w:tc>
          <w:tcPr>
            <w:tcW w:w="146" w:type="pct"/>
            <w:vAlign w:val="center"/>
          </w:tcPr>
          <w:p w14:paraId="1AA99B82">
            <w:pPr>
              <w:spacing w:line="240" w:lineRule="auto"/>
              <w:ind w:firstLine="0" w:firstLineChars="0"/>
              <w:jc w:val="center"/>
              <w:rPr>
                <w:rFonts w:cstheme="minorBidi"/>
                <w:snapToGrid w:val="0"/>
                <w:color w:val="000000"/>
                <w:kern w:val="0"/>
                <w:sz w:val="21"/>
                <w:szCs w:val="21"/>
              </w:rPr>
            </w:pPr>
          </w:p>
        </w:tc>
        <w:tc>
          <w:tcPr>
            <w:tcW w:w="276" w:type="pct"/>
            <w:vAlign w:val="center"/>
          </w:tcPr>
          <w:p w14:paraId="77BF8BD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w:t>
            </w:r>
            <w:r>
              <w:rPr>
                <w:rFonts w:hint="eastAsia" w:cstheme="minorBidi"/>
                <w:snapToGrid w:val="0"/>
                <w:color w:val="000000"/>
                <w:kern w:val="0"/>
                <w:sz w:val="21"/>
                <w:szCs w:val="21"/>
              </w:rPr>
              <w:t>4</w:t>
            </w:r>
          </w:p>
        </w:tc>
      </w:tr>
      <w:tr w14:paraId="72E32A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0" w:hRule="atLeast"/>
          <w:jc w:val="center"/>
        </w:trPr>
        <w:tc>
          <w:tcPr>
            <w:tcW w:w="187" w:type="pct"/>
            <w:vMerge w:val="continue"/>
            <w:vAlign w:val="center"/>
          </w:tcPr>
          <w:p w14:paraId="26FBD61F">
            <w:pPr>
              <w:spacing w:line="240" w:lineRule="auto"/>
              <w:ind w:firstLine="0" w:firstLineChars="0"/>
              <w:jc w:val="center"/>
              <w:rPr>
                <w:rFonts w:cstheme="minorBidi"/>
                <w:snapToGrid w:val="0"/>
                <w:color w:val="000000"/>
                <w:kern w:val="0"/>
                <w:sz w:val="21"/>
                <w:szCs w:val="21"/>
              </w:rPr>
            </w:pPr>
          </w:p>
        </w:tc>
        <w:tc>
          <w:tcPr>
            <w:tcW w:w="352" w:type="pct"/>
            <w:vMerge w:val="restart"/>
            <w:vAlign w:val="center"/>
          </w:tcPr>
          <w:p w14:paraId="588B2D9B">
            <w:pPr>
              <w:spacing w:before="7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3＃断面（陈大庄沟）</w:t>
            </w:r>
          </w:p>
        </w:tc>
        <w:tc>
          <w:tcPr>
            <w:tcW w:w="374" w:type="pct"/>
            <w:vAlign w:val="center"/>
          </w:tcPr>
          <w:p w14:paraId="6E616820">
            <w:pPr>
              <w:spacing w:before="128"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2009. 5.21</w:t>
            </w:r>
          </w:p>
        </w:tc>
        <w:tc>
          <w:tcPr>
            <w:tcW w:w="243" w:type="pct"/>
            <w:vAlign w:val="center"/>
          </w:tcPr>
          <w:p w14:paraId="29E48525">
            <w:pPr>
              <w:spacing w:before="2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7.92</w:t>
            </w:r>
          </w:p>
        </w:tc>
        <w:tc>
          <w:tcPr>
            <w:tcW w:w="178" w:type="pct"/>
            <w:vAlign w:val="center"/>
          </w:tcPr>
          <w:p w14:paraId="3ED4971C">
            <w:pPr>
              <w:spacing w:before="2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28</w:t>
            </w:r>
          </w:p>
        </w:tc>
        <w:tc>
          <w:tcPr>
            <w:tcW w:w="224" w:type="pct"/>
            <w:vAlign w:val="center"/>
          </w:tcPr>
          <w:p w14:paraId="7CB5EFA0">
            <w:pPr>
              <w:spacing w:before="264"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2.5</w:t>
            </w:r>
          </w:p>
        </w:tc>
        <w:tc>
          <w:tcPr>
            <w:tcW w:w="275" w:type="pct"/>
            <w:vAlign w:val="center"/>
          </w:tcPr>
          <w:p w14:paraId="6AB6C0E3">
            <w:pPr>
              <w:spacing w:before="2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0.224</w:t>
            </w:r>
          </w:p>
        </w:tc>
        <w:tc>
          <w:tcPr>
            <w:tcW w:w="275" w:type="pct"/>
            <w:vAlign w:val="center"/>
          </w:tcPr>
          <w:p w14:paraId="0012B6BC">
            <w:pPr>
              <w:spacing w:before="2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0.088</w:t>
            </w:r>
          </w:p>
        </w:tc>
        <w:tc>
          <w:tcPr>
            <w:tcW w:w="145" w:type="pct"/>
            <w:vAlign w:val="center"/>
          </w:tcPr>
          <w:p w14:paraId="332F467A">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145" w:type="pct"/>
            <w:vAlign w:val="center"/>
          </w:tcPr>
          <w:p w14:paraId="60D65922">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1A2646D2">
            <w:pPr>
              <w:spacing w:before="9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0.005</w:t>
            </w:r>
          </w:p>
        </w:tc>
        <w:tc>
          <w:tcPr>
            <w:tcW w:w="276" w:type="pct"/>
            <w:vAlign w:val="center"/>
          </w:tcPr>
          <w:p w14:paraId="4977951E">
            <w:pPr>
              <w:spacing w:before="263"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0.810</w:t>
            </w:r>
          </w:p>
        </w:tc>
        <w:tc>
          <w:tcPr>
            <w:tcW w:w="276" w:type="pct"/>
            <w:vAlign w:val="center"/>
          </w:tcPr>
          <w:p w14:paraId="0BA08DE6">
            <w:pPr>
              <w:spacing w:before="7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0.003</w:t>
            </w:r>
          </w:p>
        </w:tc>
        <w:tc>
          <w:tcPr>
            <w:tcW w:w="276" w:type="pct"/>
            <w:vAlign w:val="center"/>
          </w:tcPr>
          <w:p w14:paraId="2970568C">
            <w:pPr>
              <w:spacing w:before="2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0.082</w:t>
            </w:r>
          </w:p>
        </w:tc>
        <w:tc>
          <w:tcPr>
            <w:tcW w:w="276" w:type="pct"/>
            <w:vAlign w:val="center"/>
          </w:tcPr>
          <w:p w14:paraId="55B4EFDB">
            <w:pPr>
              <w:spacing w:before="9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0.006</w:t>
            </w:r>
          </w:p>
        </w:tc>
        <w:tc>
          <w:tcPr>
            <w:tcW w:w="310" w:type="pct"/>
            <w:vAlign w:val="center"/>
          </w:tcPr>
          <w:p w14:paraId="19628AD7">
            <w:pPr>
              <w:spacing w:before="9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0.0003</w:t>
            </w:r>
          </w:p>
        </w:tc>
        <w:tc>
          <w:tcPr>
            <w:tcW w:w="244" w:type="pct"/>
            <w:vAlign w:val="center"/>
          </w:tcPr>
          <w:p w14:paraId="74750B41">
            <w:pPr>
              <w:spacing w:before="2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0.23</w:t>
            </w:r>
          </w:p>
        </w:tc>
        <w:tc>
          <w:tcPr>
            <w:tcW w:w="246" w:type="pct"/>
            <w:vAlign w:val="center"/>
          </w:tcPr>
          <w:p w14:paraId="493DC2CF">
            <w:pPr>
              <w:spacing w:before="2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0.28</w:t>
            </w:r>
          </w:p>
        </w:tc>
        <w:tc>
          <w:tcPr>
            <w:tcW w:w="146" w:type="pct"/>
            <w:vAlign w:val="center"/>
          </w:tcPr>
          <w:p w14:paraId="56A71118">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6247ADCB">
            <w:pPr>
              <w:spacing w:before="7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0.004</w:t>
            </w:r>
          </w:p>
        </w:tc>
      </w:tr>
      <w:tr w14:paraId="13D7A9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jc w:val="center"/>
        </w:trPr>
        <w:tc>
          <w:tcPr>
            <w:tcW w:w="187" w:type="pct"/>
            <w:vMerge w:val="continue"/>
            <w:vAlign w:val="center"/>
          </w:tcPr>
          <w:p w14:paraId="0FD0FE61">
            <w:pPr>
              <w:spacing w:line="240" w:lineRule="auto"/>
              <w:ind w:firstLine="0" w:firstLineChars="0"/>
              <w:jc w:val="center"/>
              <w:rPr>
                <w:rFonts w:cstheme="minorBidi"/>
                <w:snapToGrid w:val="0"/>
                <w:color w:val="000000"/>
                <w:kern w:val="0"/>
                <w:sz w:val="21"/>
                <w:szCs w:val="21"/>
              </w:rPr>
            </w:pPr>
          </w:p>
        </w:tc>
        <w:tc>
          <w:tcPr>
            <w:tcW w:w="352" w:type="pct"/>
            <w:vMerge w:val="continue"/>
            <w:vAlign w:val="center"/>
          </w:tcPr>
          <w:p w14:paraId="5FBB97FE">
            <w:pPr>
              <w:spacing w:line="240" w:lineRule="auto"/>
              <w:ind w:firstLine="0" w:firstLineChars="0"/>
              <w:jc w:val="center"/>
              <w:rPr>
                <w:rFonts w:cstheme="minorBidi"/>
                <w:snapToGrid w:val="0"/>
                <w:color w:val="000000"/>
                <w:kern w:val="0"/>
                <w:sz w:val="21"/>
                <w:szCs w:val="21"/>
              </w:rPr>
            </w:pPr>
          </w:p>
        </w:tc>
        <w:tc>
          <w:tcPr>
            <w:tcW w:w="374" w:type="pct"/>
            <w:vAlign w:val="center"/>
          </w:tcPr>
          <w:p w14:paraId="3AC2D36D">
            <w:pPr>
              <w:spacing w:before="180"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2009. 5.22</w:t>
            </w:r>
          </w:p>
        </w:tc>
        <w:tc>
          <w:tcPr>
            <w:tcW w:w="243" w:type="pct"/>
            <w:vAlign w:val="center"/>
          </w:tcPr>
          <w:p w14:paraId="2C73BAC3">
            <w:pPr>
              <w:spacing w:before="4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7 88</w:t>
            </w:r>
          </w:p>
        </w:tc>
        <w:tc>
          <w:tcPr>
            <w:tcW w:w="178" w:type="pct"/>
            <w:vAlign w:val="center"/>
          </w:tcPr>
          <w:p w14:paraId="52C695DA">
            <w:pPr>
              <w:spacing w:before="4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27</w:t>
            </w:r>
          </w:p>
        </w:tc>
        <w:tc>
          <w:tcPr>
            <w:tcW w:w="224" w:type="pct"/>
            <w:vAlign w:val="center"/>
          </w:tcPr>
          <w:p w14:paraId="0191F553">
            <w:pPr>
              <w:spacing w:before="4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2 3</w:t>
            </w:r>
          </w:p>
        </w:tc>
        <w:tc>
          <w:tcPr>
            <w:tcW w:w="275" w:type="pct"/>
            <w:vAlign w:val="center"/>
          </w:tcPr>
          <w:p w14:paraId="76D64774">
            <w:pPr>
              <w:spacing w:before="52"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0 213</w:t>
            </w:r>
          </w:p>
        </w:tc>
        <w:tc>
          <w:tcPr>
            <w:tcW w:w="275" w:type="pct"/>
            <w:vAlign w:val="center"/>
          </w:tcPr>
          <w:p w14:paraId="6DAC64ED">
            <w:pPr>
              <w:spacing w:before="52"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0 104</w:t>
            </w:r>
          </w:p>
        </w:tc>
        <w:tc>
          <w:tcPr>
            <w:tcW w:w="145" w:type="pct"/>
            <w:vAlign w:val="center"/>
          </w:tcPr>
          <w:p w14:paraId="09A8DCB9">
            <w:pPr>
              <w:spacing w:line="240" w:lineRule="auto"/>
              <w:ind w:firstLine="0" w:firstLineChars="0"/>
              <w:jc w:val="center"/>
              <w:rPr>
                <w:rFonts w:cstheme="minorBidi"/>
                <w:snapToGrid w:val="0"/>
                <w:color w:val="000000"/>
                <w:kern w:val="0"/>
                <w:sz w:val="21"/>
                <w:szCs w:val="21"/>
              </w:rPr>
            </w:pPr>
          </w:p>
        </w:tc>
        <w:tc>
          <w:tcPr>
            <w:tcW w:w="145" w:type="pct"/>
            <w:vAlign w:val="center"/>
          </w:tcPr>
          <w:p w14:paraId="2E286C2A">
            <w:pPr>
              <w:spacing w:line="240" w:lineRule="auto"/>
              <w:ind w:firstLine="0" w:firstLineChars="0"/>
              <w:jc w:val="center"/>
              <w:rPr>
                <w:rFonts w:cstheme="minorBidi"/>
                <w:snapToGrid w:val="0"/>
                <w:color w:val="000000"/>
                <w:kern w:val="0"/>
                <w:sz w:val="21"/>
                <w:szCs w:val="21"/>
              </w:rPr>
            </w:pPr>
          </w:p>
        </w:tc>
        <w:tc>
          <w:tcPr>
            <w:tcW w:w="276" w:type="pct"/>
            <w:vAlign w:val="center"/>
          </w:tcPr>
          <w:p w14:paraId="5FCA619F">
            <w:pPr>
              <w:spacing w:before="147"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≤0.005</w:t>
            </w:r>
          </w:p>
        </w:tc>
        <w:tc>
          <w:tcPr>
            <w:tcW w:w="276" w:type="pct"/>
            <w:vAlign w:val="center"/>
          </w:tcPr>
          <w:p w14:paraId="67FE23BC">
            <w:pPr>
              <w:spacing w:before="4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0 793</w:t>
            </w:r>
          </w:p>
        </w:tc>
        <w:tc>
          <w:tcPr>
            <w:tcW w:w="276" w:type="pct"/>
            <w:vAlign w:val="center"/>
          </w:tcPr>
          <w:p w14:paraId="1BADDA83">
            <w:pPr>
              <w:spacing w:before="127"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≤0.003</w:t>
            </w:r>
          </w:p>
        </w:tc>
        <w:tc>
          <w:tcPr>
            <w:tcW w:w="276" w:type="pct"/>
            <w:vAlign w:val="center"/>
          </w:tcPr>
          <w:p w14:paraId="7DD0097E">
            <w:pPr>
              <w:spacing w:before="4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0 088</w:t>
            </w:r>
          </w:p>
        </w:tc>
        <w:tc>
          <w:tcPr>
            <w:tcW w:w="276" w:type="pct"/>
            <w:vAlign w:val="center"/>
          </w:tcPr>
          <w:p w14:paraId="310914D8">
            <w:pPr>
              <w:spacing w:before="147"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≤0.006</w:t>
            </w:r>
          </w:p>
        </w:tc>
        <w:tc>
          <w:tcPr>
            <w:tcW w:w="310" w:type="pct"/>
            <w:vAlign w:val="center"/>
          </w:tcPr>
          <w:p w14:paraId="447175DD">
            <w:pPr>
              <w:spacing w:before="147"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≤0.0003</w:t>
            </w:r>
          </w:p>
        </w:tc>
        <w:tc>
          <w:tcPr>
            <w:tcW w:w="244" w:type="pct"/>
            <w:vAlign w:val="center"/>
          </w:tcPr>
          <w:p w14:paraId="19FEE74F">
            <w:pPr>
              <w:spacing w:before="4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0 25</w:t>
            </w:r>
          </w:p>
        </w:tc>
        <w:tc>
          <w:tcPr>
            <w:tcW w:w="246" w:type="pct"/>
            <w:vAlign w:val="center"/>
          </w:tcPr>
          <w:p w14:paraId="09563A77">
            <w:pPr>
              <w:spacing w:before="4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0 23</w:t>
            </w:r>
          </w:p>
        </w:tc>
        <w:tc>
          <w:tcPr>
            <w:tcW w:w="146" w:type="pct"/>
            <w:vAlign w:val="center"/>
          </w:tcPr>
          <w:p w14:paraId="4C0D9430">
            <w:pPr>
              <w:spacing w:line="240" w:lineRule="auto"/>
              <w:ind w:firstLine="0" w:firstLineChars="0"/>
              <w:jc w:val="center"/>
              <w:rPr>
                <w:rFonts w:cstheme="minorBidi"/>
                <w:snapToGrid w:val="0"/>
                <w:color w:val="000000"/>
                <w:kern w:val="0"/>
                <w:sz w:val="21"/>
                <w:szCs w:val="21"/>
              </w:rPr>
            </w:pPr>
          </w:p>
        </w:tc>
        <w:tc>
          <w:tcPr>
            <w:tcW w:w="276" w:type="pct"/>
            <w:vAlign w:val="center"/>
          </w:tcPr>
          <w:p w14:paraId="3FFACEAD">
            <w:pPr>
              <w:spacing w:before="127"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r>
      <w:tr w14:paraId="67F3BB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1" w:hRule="atLeast"/>
          <w:jc w:val="center"/>
        </w:trPr>
        <w:tc>
          <w:tcPr>
            <w:tcW w:w="187" w:type="pct"/>
            <w:vMerge w:val="continue"/>
            <w:vAlign w:val="center"/>
          </w:tcPr>
          <w:p w14:paraId="65597FA2">
            <w:pPr>
              <w:spacing w:line="240" w:lineRule="auto"/>
              <w:ind w:firstLine="0" w:firstLineChars="0"/>
              <w:jc w:val="center"/>
              <w:rPr>
                <w:rFonts w:cstheme="minorBidi"/>
                <w:snapToGrid w:val="0"/>
                <w:color w:val="000000"/>
                <w:kern w:val="0"/>
                <w:sz w:val="21"/>
                <w:szCs w:val="21"/>
              </w:rPr>
            </w:pPr>
          </w:p>
        </w:tc>
        <w:tc>
          <w:tcPr>
            <w:tcW w:w="352" w:type="pct"/>
            <w:vMerge w:val="restart"/>
            <w:vAlign w:val="center"/>
          </w:tcPr>
          <w:p w14:paraId="03FBF39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4＃断面（沿岗河）</w:t>
            </w:r>
          </w:p>
        </w:tc>
        <w:tc>
          <w:tcPr>
            <w:tcW w:w="374" w:type="pct"/>
            <w:vAlign w:val="center"/>
          </w:tcPr>
          <w:p w14:paraId="73BB9AB3">
            <w:pPr>
              <w:spacing w:before="133"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2009. 5.21</w:t>
            </w:r>
          </w:p>
        </w:tc>
        <w:tc>
          <w:tcPr>
            <w:tcW w:w="243" w:type="pct"/>
            <w:vAlign w:val="center"/>
          </w:tcPr>
          <w:p w14:paraId="7F2AB87D">
            <w:pPr>
              <w:spacing w:before="27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7.76</w:t>
            </w:r>
          </w:p>
        </w:tc>
        <w:tc>
          <w:tcPr>
            <w:tcW w:w="178" w:type="pct"/>
            <w:vAlign w:val="center"/>
          </w:tcPr>
          <w:p w14:paraId="24F4902B">
            <w:pPr>
              <w:spacing w:before="27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26</w:t>
            </w:r>
          </w:p>
        </w:tc>
        <w:tc>
          <w:tcPr>
            <w:tcW w:w="224" w:type="pct"/>
            <w:vAlign w:val="center"/>
          </w:tcPr>
          <w:p w14:paraId="554B85BB">
            <w:pPr>
              <w:spacing w:before="270"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2.2</w:t>
            </w:r>
          </w:p>
        </w:tc>
        <w:tc>
          <w:tcPr>
            <w:tcW w:w="275" w:type="pct"/>
            <w:vAlign w:val="center"/>
          </w:tcPr>
          <w:p w14:paraId="4D56350B">
            <w:pPr>
              <w:spacing w:before="26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0.117</w:t>
            </w:r>
          </w:p>
        </w:tc>
        <w:tc>
          <w:tcPr>
            <w:tcW w:w="275" w:type="pct"/>
            <w:vAlign w:val="center"/>
          </w:tcPr>
          <w:p w14:paraId="7F3DC63A">
            <w:pPr>
              <w:spacing w:before="26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0.160</w:t>
            </w:r>
          </w:p>
        </w:tc>
        <w:tc>
          <w:tcPr>
            <w:tcW w:w="145" w:type="pct"/>
            <w:vAlign w:val="center"/>
          </w:tcPr>
          <w:p w14:paraId="6626BB2C">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145" w:type="pct"/>
            <w:vAlign w:val="center"/>
          </w:tcPr>
          <w:p w14:paraId="29E11DA1">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3C3A7ED5">
            <w:pPr>
              <w:spacing w:before="10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0.005</w:t>
            </w:r>
          </w:p>
        </w:tc>
        <w:tc>
          <w:tcPr>
            <w:tcW w:w="276" w:type="pct"/>
            <w:vAlign w:val="center"/>
          </w:tcPr>
          <w:p w14:paraId="2B2086F3">
            <w:pPr>
              <w:spacing w:before="27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0.627</w:t>
            </w:r>
          </w:p>
        </w:tc>
        <w:tc>
          <w:tcPr>
            <w:tcW w:w="276" w:type="pct"/>
            <w:vAlign w:val="center"/>
          </w:tcPr>
          <w:p w14:paraId="19E5DC64">
            <w:pPr>
              <w:spacing w:before="82"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0.003</w:t>
            </w:r>
          </w:p>
        </w:tc>
        <w:tc>
          <w:tcPr>
            <w:tcW w:w="276" w:type="pct"/>
            <w:vAlign w:val="center"/>
          </w:tcPr>
          <w:p w14:paraId="2244A014">
            <w:pPr>
              <w:spacing w:before="27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0.070</w:t>
            </w:r>
          </w:p>
        </w:tc>
        <w:tc>
          <w:tcPr>
            <w:tcW w:w="276" w:type="pct"/>
            <w:vAlign w:val="center"/>
          </w:tcPr>
          <w:p w14:paraId="3DBDD823">
            <w:pPr>
              <w:spacing w:before="10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0.006</w:t>
            </w:r>
          </w:p>
        </w:tc>
        <w:tc>
          <w:tcPr>
            <w:tcW w:w="310" w:type="pct"/>
            <w:vAlign w:val="center"/>
          </w:tcPr>
          <w:p w14:paraId="37198B62">
            <w:pPr>
              <w:spacing w:before="10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0.0003</w:t>
            </w:r>
          </w:p>
        </w:tc>
        <w:tc>
          <w:tcPr>
            <w:tcW w:w="244" w:type="pct"/>
            <w:vAlign w:val="center"/>
          </w:tcPr>
          <w:p w14:paraId="6A05122E">
            <w:pPr>
              <w:spacing w:before="27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0.26</w:t>
            </w:r>
          </w:p>
        </w:tc>
        <w:tc>
          <w:tcPr>
            <w:tcW w:w="246" w:type="pct"/>
            <w:vAlign w:val="center"/>
          </w:tcPr>
          <w:p w14:paraId="5F9757E9">
            <w:pPr>
              <w:spacing w:before="26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0.21</w:t>
            </w:r>
          </w:p>
        </w:tc>
        <w:tc>
          <w:tcPr>
            <w:tcW w:w="146" w:type="pct"/>
            <w:vAlign w:val="center"/>
          </w:tcPr>
          <w:p w14:paraId="44C2682B">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712307EB">
            <w:pPr>
              <w:spacing w:before="82"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0.004</w:t>
            </w:r>
          </w:p>
        </w:tc>
      </w:tr>
      <w:tr w14:paraId="726778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3" w:hRule="atLeast"/>
          <w:jc w:val="center"/>
        </w:trPr>
        <w:tc>
          <w:tcPr>
            <w:tcW w:w="187" w:type="pct"/>
            <w:vMerge w:val="continue"/>
            <w:vAlign w:val="center"/>
          </w:tcPr>
          <w:p w14:paraId="0C6B3F5D">
            <w:pPr>
              <w:spacing w:line="240" w:lineRule="auto"/>
              <w:ind w:firstLine="0" w:firstLineChars="0"/>
              <w:jc w:val="center"/>
              <w:rPr>
                <w:rFonts w:cstheme="minorBidi"/>
                <w:snapToGrid w:val="0"/>
                <w:color w:val="000000"/>
                <w:kern w:val="0"/>
                <w:sz w:val="21"/>
                <w:szCs w:val="21"/>
              </w:rPr>
            </w:pPr>
          </w:p>
        </w:tc>
        <w:tc>
          <w:tcPr>
            <w:tcW w:w="352" w:type="pct"/>
            <w:vMerge w:val="continue"/>
            <w:vAlign w:val="center"/>
          </w:tcPr>
          <w:p w14:paraId="096A8DAF">
            <w:pPr>
              <w:spacing w:line="240" w:lineRule="auto"/>
              <w:ind w:firstLine="0" w:firstLineChars="0"/>
              <w:jc w:val="center"/>
              <w:rPr>
                <w:rFonts w:cstheme="minorBidi"/>
                <w:snapToGrid w:val="0"/>
                <w:color w:val="000000"/>
                <w:kern w:val="0"/>
                <w:sz w:val="21"/>
                <w:szCs w:val="21"/>
              </w:rPr>
            </w:pPr>
          </w:p>
        </w:tc>
        <w:tc>
          <w:tcPr>
            <w:tcW w:w="374" w:type="pct"/>
            <w:vAlign w:val="center"/>
          </w:tcPr>
          <w:p w14:paraId="57CA1D35">
            <w:pPr>
              <w:spacing w:before="183"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2009. 5.22</w:t>
            </w:r>
          </w:p>
        </w:tc>
        <w:tc>
          <w:tcPr>
            <w:tcW w:w="243" w:type="pct"/>
            <w:vAlign w:val="center"/>
          </w:tcPr>
          <w:p w14:paraId="51E236FB">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7.75</w:t>
            </w:r>
          </w:p>
        </w:tc>
        <w:tc>
          <w:tcPr>
            <w:tcW w:w="178" w:type="pct"/>
            <w:vAlign w:val="center"/>
          </w:tcPr>
          <w:p w14:paraId="13AC34A5">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26</w:t>
            </w:r>
          </w:p>
        </w:tc>
        <w:tc>
          <w:tcPr>
            <w:tcW w:w="224" w:type="pct"/>
            <w:vAlign w:val="center"/>
          </w:tcPr>
          <w:p w14:paraId="506C4E1F">
            <w:pPr>
              <w:spacing w:before="14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p w14:paraId="65FDCD3B">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w:t>
            </w:r>
          </w:p>
        </w:tc>
        <w:tc>
          <w:tcPr>
            <w:tcW w:w="275" w:type="pct"/>
            <w:vAlign w:val="center"/>
          </w:tcPr>
          <w:p w14:paraId="15F9A1C5">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0.144</w:t>
            </w:r>
          </w:p>
        </w:tc>
        <w:tc>
          <w:tcPr>
            <w:tcW w:w="275" w:type="pct"/>
            <w:vAlign w:val="center"/>
          </w:tcPr>
          <w:p w14:paraId="6D94692D">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0.176</w:t>
            </w:r>
          </w:p>
        </w:tc>
        <w:tc>
          <w:tcPr>
            <w:tcW w:w="145" w:type="pct"/>
            <w:vAlign w:val="center"/>
          </w:tcPr>
          <w:p w14:paraId="51C127A4">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145" w:type="pct"/>
            <w:vAlign w:val="center"/>
          </w:tcPr>
          <w:p w14:paraId="6AB4C2C3">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33A0AE8C">
            <w:pPr>
              <w:spacing w:before="150"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0.005</w:t>
            </w:r>
          </w:p>
        </w:tc>
        <w:tc>
          <w:tcPr>
            <w:tcW w:w="276" w:type="pct"/>
            <w:vAlign w:val="center"/>
          </w:tcPr>
          <w:p w14:paraId="76E46E11">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0.635</w:t>
            </w:r>
          </w:p>
        </w:tc>
        <w:tc>
          <w:tcPr>
            <w:tcW w:w="276" w:type="pct"/>
            <w:vAlign w:val="center"/>
          </w:tcPr>
          <w:p w14:paraId="345F86A6">
            <w:pPr>
              <w:spacing w:before="12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0.003</w:t>
            </w:r>
          </w:p>
        </w:tc>
        <w:tc>
          <w:tcPr>
            <w:tcW w:w="276" w:type="pct"/>
            <w:vAlign w:val="center"/>
          </w:tcPr>
          <w:p w14:paraId="31201BCE">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0.076</w:t>
            </w:r>
          </w:p>
        </w:tc>
        <w:tc>
          <w:tcPr>
            <w:tcW w:w="276" w:type="pct"/>
            <w:vAlign w:val="center"/>
          </w:tcPr>
          <w:p w14:paraId="37D76B0E">
            <w:pPr>
              <w:spacing w:before="150"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0.006</w:t>
            </w:r>
          </w:p>
        </w:tc>
        <w:tc>
          <w:tcPr>
            <w:tcW w:w="310" w:type="pct"/>
            <w:vAlign w:val="center"/>
          </w:tcPr>
          <w:p w14:paraId="5E32BAEC">
            <w:pPr>
              <w:spacing w:before="150"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0.0003</w:t>
            </w:r>
          </w:p>
        </w:tc>
        <w:tc>
          <w:tcPr>
            <w:tcW w:w="244" w:type="pct"/>
            <w:vAlign w:val="center"/>
          </w:tcPr>
          <w:p w14:paraId="53195C85">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0.24</w:t>
            </w:r>
          </w:p>
        </w:tc>
        <w:tc>
          <w:tcPr>
            <w:tcW w:w="246" w:type="pct"/>
            <w:vAlign w:val="center"/>
          </w:tcPr>
          <w:p w14:paraId="7385C5E7">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0.22</w:t>
            </w:r>
          </w:p>
        </w:tc>
        <w:tc>
          <w:tcPr>
            <w:tcW w:w="146" w:type="pct"/>
            <w:vAlign w:val="center"/>
          </w:tcPr>
          <w:p w14:paraId="7B98A90B">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2A9A0967">
            <w:pPr>
              <w:spacing w:before="12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0.004</w:t>
            </w:r>
          </w:p>
        </w:tc>
      </w:tr>
      <w:tr w14:paraId="124CFB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7" w:hRule="atLeast"/>
          <w:jc w:val="center"/>
        </w:trPr>
        <w:tc>
          <w:tcPr>
            <w:tcW w:w="187" w:type="pct"/>
            <w:vMerge w:val="continue"/>
            <w:vAlign w:val="center"/>
          </w:tcPr>
          <w:p w14:paraId="0681F16A">
            <w:pPr>
              <w:spacing w:line="240" w:lineRule="auto"/>
              <w:ind w:firstLine="0" w:firstLineChars="0"/>
              <w:jc w:val="center"/>
              <w:rPr>
                <w:rFonts w:cstheme="minorBidi"/>
                <w:snapToGrid w:val="0"/>
                <w:color w:val="000000"/>
                <w:kern w:val="0"/>
                <w:sz w:val="21"/>
                <w:szCs w:val="21"/>
              </w:rPr>
            </w:pPr>
          </w:p>
        </w:tc>
        <w:tc>
          <w:tcPr>
            <w:tcW w:w="352" w:type="pct"/>
            <w:vMerge w:val="restart"/>
            <w:vAlign w:val="center"/>
          </w:tcPr>
          <w:p w14:paraId="0EB6D76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5＃断面（沿岗河）</w:t>
            </w:r>
          </w:p>
        </w:tc>
        <w:tc>
          <w:tcPr>
            <w:tcW w:w="374" w:type="pct"/>
            <w:vAlign w:val="center"/>
          </w:tcPr>
          <w:p w14:paraId="17732C9E">
            <w:pPr>
              <w:spacing w:before="13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2009. 5.21</w:t>
            </w:r>
          </w:p>
        </w:tc>
        <w:tc>
          <w:tcPr>
            <w:tcW w:w="243" w:type="pct"/>
            <w:vAlign w:val="center"/>
          </w:tcPr>
          <w:p w14:paraId="38836FD5">
            <w:pPr>
              <w:spacing w:before="26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7.87</w:t>
            </w:r>
          </w:p>
        </w:tc>
        <w:tc>
          <w:tcPr>
            <w:tcW w:w="178" w:type="pct"/>
            <w:vAlign w:val="center"/>
          </w:tcPr>
          <w:p w14:paraId="25660E54">
            <w:pPr>
              <w:spacing w:before="26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27</w:t>
            </w:r>
          </w:p>
        </w:tc>
        <w:tc>
          <w:tcPr>
            <w:tcW w:w="224" w:type="pct"/>
            <w:vAlign w:val="center"/>
          </w:tcPr>
          <w:p w14:paraId="57407F16">
            <w:pPr>
              <w:spacing w:before="26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2.4</w:t>
            </w:r>
          </w:p>
        </w:tc>
        <w:tc>
          <w:tcPr>
            <w:tcW w:w="275" w:type="pct"/>
            <w:vAlign w:val="center"/>
          </w:tcPr>
          <w:p w14:paraId="60584F46">
            <w:pPr>
              <w:spacing w:before="2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0.128</w:t>
            </w:r>
          </w:p>
        </w:tc>
        <w:tc>
          <w:tcPr>
            <w:tcW w:w="275" w:type="pct"/>
            <w:vAlign w:val="center"/>
          </w:tcPr>
          <w:p w14:paraId="36E619EE">
            <w:pPr>
              <w:spacing w:before="26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0.096</w:t>
            </w:r>
          </w:p>
        </w:tc>
        <w:tc>
          <w:tcPr>
            <w:tcW w:w="145" w:type="pct"/>
            <w:vAlign w:val="center"/>
          </w:tcPr>
          <w:p w14:paraId="4FFF0133">
            <w:pPr>
              <w:spacing w:before="26" w:line="240" w:lineRule="auto"/>
              <w:ind w:firstLine="0" w:firstLineChars="0"/>
              <w:jc w:val="center"/>
              <w:rPr>
                <w:rFonts w:cstheme="minorBidi"/>
                <w:snapToGrid w:val="0"/>
                <w:color w:val="000000"/>
                <w:kern w:val="0"/>
                <w:sz w:val="21"/>
                <w:szCs w:val="21"/>
              </w:rPr>
            </w:pPr>
          </w:p>
        </w:tc>
        <w:tc>
          <w:tcPr>
            <w:tcW w:w="145" w:type="pct"/>
            <w:vAlign w:val="center"/>
          </w:tcPr>
          <w:p w14:paraId="4CB44826">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3B40C255">
            <w:pPr>
              <w:spacing w:before="9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0.005</w:t>
            </w:r>
          </w:p>
        </w:tc>
        <w:tc>
          <w:tcPr>
            <w:tcW w:w="276" w:type="pct"/>
            <w:vAlign w:val="center"/>
          </w:tcPr>
          <w:p w14:paraId="3E6BF944">
            <w:pPr>
              <w:spacing w:before="26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0.683</w:t>
            </w:r>
          </w:p>
        </w:tc>
        <w:tc>
          <w:tcPr>
            <w:tcW w:w="276" w:type="pct"/>
            <w:vAlign w:val="center"/>
          </w:tcPr>
          <w:p w14:paraId="4F467CFE">
            <w:pPr>
              <w:spacing w:before="80"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0.003</w:t>
            </w:r>
          </w:p>
        </w:tc>
        <w:tc>
          <w:tcPr>
            <w:tcW w:w="276" w:type="pct"/>
            <w:vAlign w:val="center"/>
          </w:tcPr>
          <w:p w14:paraId="5E360D90">
            <w:pPr>
              <w:spacing w:before="26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0.067</w:t>
            </w:r>
          </w:p>
        </w:tc>
        <w:tc>
          <w:tcPr>
            <w:tcW w:w="276" w:type="pct"/>
            <w:vAlign w:val="center"/>
          </w:tcPr>
          <w:p w14:paraId="5AB33FBA">
            <w:pPr>
              <w:spacing w:before="9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0.006</w:t>
            </w:r>
          </w:p>
        </w:tc>
        <w:tc>
          <w:tcPr>
            <w:tcW w:w="310" w:type="pct"/>
            <w:vAlign w:val="center"/>
          </w:tcPr>
          <w:p w14:paraId="29A0AA6C">
            <w:pPr>
              <w:spacing w:before="99"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0.0003</w:t>
            </w:r>
          </w:p>
        </w:tc>
        <w:tc>
          <w:tcPr>
            <w:tcW w:w="244" w:type="pct"/>
            <w:vAlign w:val="center"/>
          </w:tcPr>
          <w:p w14:paraId="13B6C1A3">
            <w:pPr>
              <w:spacing w:before="26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0.25</w:t>
            </w:r>
          </w:p>
        </w:tc>
        <w:tc>
          <w:tcPr>
            <w:tcW w:w="246" w:type="pct"/>
            <w:vAlign w:val="center"/>
          </w:tcPr>
          <w:p w14:paraId="652F39DE">
            <w:pPr>
              <w:spacing w:before="26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0.22</w:t>
            </w:r>
          </w:p>
        </w:tc>
        <w:tc>
          <w:tcPr>
            <w:tcW w:w="146" w:type="pct"/>
            <w:vAlign w:val="center"/>
          </w:tcPr>
          <w:p w14:paraId="2C7F916D">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34FABDB8">
            <w:pPr>
              <w:spacing w:before="80"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0.004</w:t>
            </w:r>
          </w:p>
        </w:tc>
      </w:tr>
      <w:tr w14:paraId="426FD4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3" w:hRule="atLeast"/>
          <w:jc w:val="center"/>
        </w:trPr>
        <w:tc>
          <w:tcPr>
            <w:tcW w:w="187" w:type="pct"/>
            <w:vMerge w:val="continue"/>
            <w:vAlign w:val="center"/>
          </w:tcPr>
          <w:p w14:paraId="2E54B9A4">
            <w:pPr>
              <w:spacing w:line="240" w:lineRule="auto"/>
              <w:ind w:firstLine="0" w:firstLineChars="0"/>
              <w:jc w:val="center"/>
              <w:rPr>
                <w:rFonts w:cstheme="minorBidi"/>
                <w:snapToGrid w:val="0"/>
                <w:color w:val="000000"/>
                <w:kern w:val="0"/>
                <w:sz w:val="21"/>
                <w:szCs w:val="21"/>
              </w:rPr>
            </w:pPr>
          </w:p>
        </w:tc>
        <w:tc>
          <w:tcPr>
            <w:tcW w:w="352" w:type="pct"/>
            <w:vMerge w:val="continue"/>
            <w:vAlign w:val="center"/>
          </w:tcPr>
          <w:p w14:paraId="783A68D8">
            <w:pPr>
              <w:spacing w:line="240" w:lineRule="auto"/>
              <w:ind w:firstLine="0" w:firstLineChars="0"/>
              <w:jc w:val="center"/>
              <w:rPr>
                <w:rFonts w:cstheme="minorBidi"/>
                <w:snapToGrid w:val="0"/>
                <w:color w:val="000000"/>
                <w:kern w:val="0"/>
                <w:sz w:val="21"/>
                <w:szCs w:val="21"/>
              </w:rPr>
            </w:pPr>
          </w:p>
        </w:tc>
        <w:tc>
          <w:tcPr>
            <w:tcW w:w="374" w:type="pct"/>
            <w:vAlign w:val="center"/>
          </w:tcPr>
          <w:p w14:paraId="73D5210C">
            <w:pPr>
              <w:spacing w:before="183"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2009. 5.22</w:t>
            </w:r>
          </w:p>
        </w:tc>
        <w:tc>
          <w:tcPr>
            <w:tcW w:w="243" w:type="pct"/>
            <w:vAlign w:val="center"/>
          </w:tcPr>
          <w:p w14:paraId="0D6FE033">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7.89</w:t>
            </w:r>
          </w:p>
        </w:tc>
        <w:tc>
          <w:tcPr>
            <w:tcW w:w="178" w:type="pct"/>
            <w:vAlign w:val="center"/>
          </w:tcPr>
          <w:p w14:paraId="3C8F6656">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26</w:t>
            </w:r>
          </w:p>
        </w:tc>
        <w:tc>
          <w:tcPr>
            <w:tcW w:w="224" w:type="pct"/>
            <w:vAlign w:val="center"/>
          </w:tcPr>
          <w:p w14:paraId="49F81AD4">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2.2</w:t>
            </w:r>
          </w:p>
        </w:tc>
        <w:tc>
          <w:tcPr>
            <w:tcW w:w="275" w:type="pct"/>
            <w:vAlign w:val="center"/>
          </w:tcPr>
          <w:p w14:paraId="3D62A3EA">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0.16</w:t>
            </w:r>
          </w:p>
        </w:tc>
        <w:tc>
          <w:tcPr>
            <w:tcW w:w="275" w:type="pct"/>
            <w:vAlign w:val="center"/>
          </w:tcPr>
          <w:p w14:paraId="39373DB9">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0.072</w:t>
            </w:r>
          </w:p>
        </w:tc>
        <w:tc>
          <w:tcPr>
            <w:tcW w:w="145" w:type="pct"/>
            <w:vAlign w:val="center"/>
          </w:tcPr>
          <w:p w14:paraId="3300ACD2">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145" w:type="pct"/>
            <w:vAlign w:val="center"/>
          </w:tcPr>
          <w:p w14:paraId="6C31014A">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2F0B5A3C">
            <w:pPr>
              <w:spacing w:before="152"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0.005</w:t>
            </w:r>
          </w:p>
        </w:tc>
        <w:tc>
          <w:tcPr>
            <w:tcW w:w="276" w:type="pct"/>
            <w:vAlign w:val="center"/>
          </w:tcPr>
          <w:p w14:paraId="2811FB9D">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0.672</w:t>
            </w:r>
          </w:p>
        </w:tc>
        <w:tc>
          <w:tcPr>
            <w:tcW w:w="276" w:type="pct"/>
            <w:vAlign w:val="center"/>
          </w:tcPr>
          <w:p w14:paraId="54EE6DDB">
            <w:pPr>
              <w:spacing w:before="13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0.003</w:t>
            </w:r>
          </w:p>
        </w:tc>
        <w:tc>
          <w:tcPr>
            <w:tcW w:w="276" w:type="pct"/>
            <w:vAlign w:val="center"/>
          </w:tcPr>
          <w:p w14:paraId="4C9C1963">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0.077</w:t>
            </w:r>
          </w:p>
        </w:tc>
        <w:tc>
          <w:tcPr>
            <w:tcW w:w="276" w:type="pct"/>
            <w:vAlign w:val="center"/>
          </w:tcPr>
          <w:p w14:paraId="1B86CEEC">
            <w:pPr>
              <w:spacing w:before="152"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0.006</w:t>
            </w:r>
          </w:p>
        </w:tc>
        <w:tc>
          <w:tcPr>
            <w:tcW w:w="310" w:type="pct"/>
            <w:vAlign w:val="center"/>
          </w:tcPr>
          <w:p w14:paraId="1DBCF30D">
            <w:pPr>
              <w:spacing w:before="152"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0.0003</w:t>
            </w:r>
          </w:p>
        </w:tc>
        <w:tc>
          <w:tcPr>
            <w:tcW w:w="244" w:type="pct"/>
            <w:vAlign w:val="center"/>
          </w:tcPr>
          <w:p w14:paraId="44984EFF">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0.26</w:t>
            </w:r>
          </w:p>
        </w:tc>
        <w:tc>
          <w:tcPr>
            <w:tcW w:w="246" w:type="pct"/>
            <w:vAlign w:val="center"/>
          </w:tcPr>
          <w:p w14:paraId="119B97F5">
            <w:pPr>
              <w:spacing w:before="65"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0.25</w:t>
            </w:r>
          </w:p>
        </w:tc>
        <w:tc>
          <w:tcPr>
            <w:tcW w:w="146" w:type="pct"/>
            <w:vAlign w:val="center"/>
          </w:tcPr>
          <w:p w14:paraId="304A6521">
            <w:pPr>
              <w:spacing w:before="26"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c>
          <w:tcPr>
            <w:tcW w:w="276" w:type="pct"/>
            <w:vAlign w:val="center"/>
          </w:tcPr>
          <w:p w14:paraId="3116600E">
            <w:pPr>
              <w:spacing w:before="13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 0.004</w:t>
            </w:r>
          </w:p>
        </w:tc>
      </w:tr>
      <w:tr w14:paraId="73F57A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3" w:hRule="atLeast"/>
          <w:jc w:val="center"/>
        </w:trPr>
        <w:tc>
          <w:tcPr>
            <w:tcW w:w="187" w:type="pct"/>
            <w:vMerge w:val="restart"/>
            <w:vAlign w:val="center"/>
          </w:tcPr>
          <w:p w14:paraId="4183D591">
            <w:pPr>
              <w:spacing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后评价</w:t>
            </w:r>
          </w:p>
        </w:tc>
        <w:tc>
          <w:tcPr>
            <w:tcW w:w="352" w:type="pct"/>
            <w:vAlign w:val="center"/>
          </w:tcPr>
          <w:p w14:paraId="79A4F18A">
            <w:pPr>
              <w:spacing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陈大庄沟 支流（W1）</w:t>
            </w:r>
          </w:p>
        </w:tc>
        <w:tc>
          <w:tcPr>
            <w:tcW w:w="374" w:type="pct"/>
            <w:vMerge w:val="restart"/>
            <w:vAlign w:val="center"/>
          </w:tcPr>
          <w:p w14:paraId="47D3417B">
            <w:pPr>
              <w:spacing w:before="183"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202</w:t>
            </w:r>
            <w:r>
              <w:rPr>
                <w:rFonts w:hint="eastAsia" w:cstheme="minorBidi"/>
                <w:snapToGrid w:val="0"/>
                <w:color w:val="000000"/>
                <w:kern w:val="0"/>
                <w:sz w:val="21"/>
                <w:szCs w:val="21"/>
              </w:rPr>
              <w:t>2</w:t>
            </w:r>
            <w:r>
              <w:rPr>
                <w:rFonts w:cstheme="minorBidi"/>
                <w:snapToGrid w:val="0"/>
                <w:color w:val="000000"/>
                <w:kern w:val="0"/>
                <w:sz w:val="21"/>
                <w:szCs w:val="21"/>
              </w:rPr>
              <w:t>.6.</w:t>
            </w:r>
            <w:r>
              <w:rPr>
                <w:rFonts w:hint="eastAsia" w:cstheme="minorBidi"/>
                <w:snapToGrid w:val="0"/>
                <w:color w:val="000000"/>
                <w:kern w:val="0"/>
                <w:sz w:val="21"/>
                <w:szCs w:val="21"/>
              </w:rPr>
              <w:t>21</w:t>
            </w:r>
          </w:p>
        </w:tc>
        <w:tc>
          <w:tcPr>
            <w:tcW w:w="243" w:type="pct"/>
            <w:vAlign w:val="center"/>
          </w:tcPr>
          <w:p w14:paraId="0E83D963">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6.95</w:t>
            </w:r>
          </w:p>
        </w:tc>
        <w:tc>
          <w:tcPr>
            <w:tcW w:w="178" w:type="pct"/>
            <w:vAlign w:val="center"/>
          </w:tcPr>
          <w:p w14:paraId="73376C4D">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224" w:type="pct"/>
            <w:vAlign w:val="center"/>
          </w:tcPr>
          <w:p w14:paraId="3042AECC">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275" w:type="pct"/>
            <w:vAlign w:val="center"/>
          </w:tcPr>
          <w:p w14:paraId="0938A673">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0.419</w:t>
            </w:r>
          </w:p>
        </w:tc>
        <w:tc>
          <w:tcPr>
            <w:tcW w:w="275" w:type="pct"/>
            <w:vAlign w:val="center"/>
          </w:tcPr>
          <w:p w14:paraId="5D563130">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145" w:type="pct"/>
            <w:vAlign w:val="center"/>
          </w:tcPr>
          <w:p w14:paraId="4EA9ED1B">
            <w:pPr>
              <w:spacing w:before="26"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20.7</w:t>
            </w:r>
          </w:p>
        </w:tc>
        <w:tc>
          <w:tcPr>
            <w:tcW w:w="145" w:type="pct"/>
            <w:vAlign w:val="center"/>
          </w:tcPr>
          <w:p w14:paraId="67FA0983">
            <w:pPr>
              <w:spacing w:before="26"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7.89</w:t>
            </w:r>
          </w:p>
        </w:tc>
        <w:tc>
          <w:tcPr>
            <w:tcW w:w="276" w:type="pct"/>
            <w:vAlign w:val="center"/>
          </w:tcPr>
          <w:p w14:paraId="7E4BC539">
            <w:pPr>
              <w:spacing w:before="152"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276" w:type="pct"/>
            <w:vAlign w:val="center"/>
          </w:tcPr>
          <w:p w14:paraId="3BDA055B">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0.588</w:t>
            </w:r>
          </w:p>
        </w:tc>
        <w:tc>
          <w:tcPr>
            <w:tcW w:w="276" w:type="pct"/>
            <w:vAlign w:val="center"/>
          </w:tcPr>
          <w:p w14:paraId="360C5265">
            <w:pPr>
              <w:spacing w:before="13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2.39</w:t>
            </w:r>
          </w:p>
        </w:tc>
        <w:tc>
          <w:tcPr>
            <w:tcW w:w="276" w:type="pct"/>
            <w:vAlign w:val="center"/>
          </w:tcPr>
          <w:p w14:paraId="11C1BA78">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＜0.67</w:t>
            </w:r>
          </w:p>
        </w:tc>
        <w:tc>
          <w:tcPr>
            <w:tcW w:w="276" w:type="pct"/>
            <w:vAlign w:val="center"/>
          </w:tcPr>
          <w:p w14:paraId="501B55E6">
            <w:pPr>
              <w:spacing w:before="152"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＜0.09</w:t>
            </w:r>
          </w:p>
        </w:tc>
        <w:tc>
          <w:tcPr>
            <w:tcW w:w="310" w:type="pct"/>
            <w:vAlign w:val="center"/>
          </w:tcPr>
          <w:p w14:paraId="43BB3D42">
            <w:pPr>
              <w:spacing w:before="152"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＜0.05</w:t>
            </w:r>
          </w:p>
        </w:tc>
        <w:tc>
          <w:tcPr>
            <w:tcW w:w="244" w:type="pct"/>
            <w:vAlign w:val="center"/>
          </w:tcPr>
          <w:p w14:paraId="0129EB9D">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246" w:type="pct"/>
            <w:vAlign w:val="center"/>
          </w:tcPr>
          <w:p w14:paraId="4040A952">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49.8</w:t>
            </w:r>
          </w:p>
        </w:tc>
        <w:tc>
          <w:tcPr>
            <w:tcW w:w="146" w:type="pct"/>
            <w:vAlign w:val="center"/>
          </w:tcPr>
          <w:p w14:paraId="0BAC8CFB">
            <w:pPr>
              <w:spacing w:before="26"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0.50</w:t>
            </w:r>
          </w:p>
        </w:tc>
        <w:tc>
          <w:tcPr>
            <w:tcW w:w="276" w:type="pct"/>
            <w:vAlign w:val="center"/>
          </w:tcPr>
          <w:p w14:paraId="75A91E1F">
            <w:pPr>
              <w:spacing w:before="13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0.007</w:t>
            </w:r>
          </w:p>
        </w:tc>
      </w:tr>
      <w:tr w14:paraId="72F2BC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3" w:hRule="atLeast"/>
          <w:jc w:val="center"/>
        </w:trPr>
        <w:tc>
          <w:tcPr>
            <w:tcW w:w="187" w:type="pct"/>
            <w:vMerge w:val="continue"/>
            <w:vAlign w:val="center"/>
          </w:tcPr>
          <w:p w14:paraId="1818465E">
            <w:pPr>
              <w:spacing w:line="240" w:lineRule="auto"/>
              <w:ind w:firstLine="0" w:firstLineChars="0"/>
              <w:jc w:val="center"/>
              <w:rPr>
                <w:rFonts w:cs="Arial"/>
                <w:snapToGrid w:val="0"/>
                <w:color w:val="000000"/>
                <w:kern w:val="0"/>
                <w:sz w:val="21"/>
                <w:szCs w:val="21"/>
              </w:rPr>
            </w:pPr>
          </w:p>
        </w:tc>
        <w:tc>
          <w:tcPr>
            <w:tcW w:w="352" w:type="pct"/>
            <w:vAlign w:val="center"/>
          </w:tcPr>
          <w:p w14:paraId="38818E86">
            <w:pPr>
              <w:spacing w:before="74"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沿岗河</w:t>
            </w:r>
          </w:p>
          <w:p w14:paraId="76504961">
            <w:pPr>
              <w:spacing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（W2）</w:t>
            </w:r>
          </w:p>
        </w:tc>
        <w:tc>
          <w:tcPr>
            <w:tcW w:w="374" w:type="pct"/>
            <w:vMerge w:val="continue"/>
            <w:vAlign w:val="center"/>
          </w:tcPr>
          <w:p w14:paraId="011C0827">
            <w:pPr>
              <w:spacing w:before="183" w:line="240" w:lineRule="auto"/>
              <w:ind w:firstLine="0" w:firstLineChars="0"/>
              <w:jc w:val="center"/>
              <w:rPr>
                <w:rFonts w:cs="Arial"/>
                <w:snapToGrid w:val="0"/>
                <w:color w:val="000000"/>
                <w:kern w:val="0"/>
                <w:sz w:val="21"/>
                <w:szCs w:val="21"/>
              </w:rPr>
            </w:pPr>
          </w:p>
        </w:tc>
        <w:tc>
          <w:tcPr>
            <w:tcW w:w="243" w:type="pct"/>
            <w:vAlign w:val="center"/>
          </w:tcPr>
          <w:p w14:paraId="2B7161AA">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7.08</w:t>
            </w:r>
          </w:p>
        </w:tc>
        <w:tc>
          <w:tcPr>
            <w:tcW w:w="178" w:type="pct"/>
            <w:vAlign w:val="center"/>
          </w:tcPr>
          <w:p w14:paraId="37BC71A7">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224" w:type="pct"/>
            <w:vAlign w:val="center"/>
          </w:tcPr>
          <w:p w14:paraId="5360F02B">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275" w:type="pct"/>
            <w:vAlign w:val="center"/>
          </w:tcPr>
          <w:p w14:paraId="48EA7158">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0.520</w:t>
            </w:r>
          </w:p>
        </w:tc>
        <w:tc>
          <w:tcPr>
            <w:tcW w:w="275" w:type="pct"/>
            <w:vAlign w:val="center"/>
          </w:tcPr>
          <w:p w14:paraId="650B20FF">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145" w:type="pct"/>
            <w:vAlign w:val="center"/>
          </w:tcPr>
          <w:p w14:paraId="76FDC348">
            <w:pPr>
              <w:spacing w:before="26"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20.9</w:t>
            </w:r>
          </w:p>
        </w:tc>
        <w:tc>
          <w:tcPr>
            <w:tcW w:w="145" w:type="pct"/>
            <w:vAlign w:val="center"/>
          </w:tcPr>
          <w:p w14:paraId="00398989">
            <w:pPr>
              <w:spacing w:before="26"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7.91</w:t>
            </w:r>
          </w:p>
        </w:tc>
        <w:tc>
          <w:tcPr>
            <w:tcW w:w="276" w:type="pct"/>
            <w:vAlign w:val="center"/>
          </w:tcPr>
          <w:p w14:paraId="3A5E014C">
            <w:pPr>
              <w:spacing w:before="152"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276" w:type="pct"/>
            <w:vAlign w:val="center"/>
          </w:tcPr>
          <w:p w14:paraId="436480C0">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0.628</w:t>
            </w:r>
          </w:p>
        </w:tc>
        <w:tc>
          <w:tcPr>
            <w:tcW w:w="276" w:type="pct"/>
            <w:vAlign w:val="center"/>
          </w:tcPr>
          <w:p w14:paraId="01AC1A33">
            <w:pPr>
              <w:spacing w:before="13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2.49</w:t>
            </w:r>
          </w:p>
        </w:tc>
        <w:tc>
          <w:tcPr>
            <w:tcW w:w="276" w:type="pct"/>
            <w:vAlign w:val="center"/>
          </w:tcPr>
          <w:p w14:paraId="4275BED7">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＜0.67</w:t>
            </w:r>
          </w:p>
        </w:tc>
        <w:tc>
          <w:tcPr>
            <w:tcW w:w="276" w:type="pct"/>
            <w:vAlign w:val="center"/>
          </w:tcPr>
          <w:p w14:paraId="3A270D4F">
            <w:pPr>
              <w:spacing w:before="152"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＜0.09</w:t>
            </w:r>
          </w:p>
        </w:tc>
        <w:tc>
          <w:tcPr>
            <w:tcW w:w="310" w:type="pct"/>
            <w:vAlign w:val="center"/>
          </w:tcPr>
          <w:p w14:paraId="073659F5">
            <w:pPr>
              <w:spacing w:before="152"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＜0.05</w:t>
            </w:r>
          </w:p>
        </w:tc>
        <w:tc>
          <w:tcPr>
            <w:tcW w:w="244" w:type="pct"/>
            <w:vAlign w:val="center"/>
          </w:tcPr>
          <w:p w14:paraId="4B25BFB4">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w:t>
            </w:r>
          </w:p>
        </w:tc>
        <w:tc>
          <w:tcPr>
            <w:tcW w:w="246" w:type="pct"/>
            <w:vAlign w:val="center"/>
          </w:tcPr>
          <w:p w14:paraId="023842F9">
            <w:pPr>
              <w:spacing w:before="65"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62.4</w:t>
            </w:r>
          </w:p>
        </w:tc>
        <w:tc>
          <w:tcPr>
            <w:tcW w:w="146" w:type="pct"/>
            <w:vAlign w:val="center"/>
          </w:tcPr>
          <w:p w14:paraId="436DF11F">
            <w:pPr>
              <w:spacing w:before="26"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1.47</w:t>
            </w:r>
          </w:p>
        </w:tc>
        <w:tc>
          <w:tcPr>
            <w:tcW w:w="276" w:type="pct"/>
            <w:vAlign w:val="center"/>
          </w:tcPr>
          <w:p w14:paraId="6BC8019C">
            <w:pPr>
              <w:spacing w:before="13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0.006</w:t>
            </w:r>
          </w:p>
        </w:tc>
      </w:tr>
    </w:tbl>
    <w:p w14:paraId="40D9459D">
      <w:pPr>
        <w:ind w:firstLine="480"/>
      </w:pPr>
      <w:r>
        <w:rPr>
          <w:rFonts w:hint="eastAsia"/>
        </w:rPr>
        <w:t>与例行监测地表水水质监测数据对比结果可知，后评价阶段各监测点位监测期间的监测结果变化不大，各监测因子均能达到《地表水环境质量标准》（GB3838-2002）</w:t>
      </w:r>
      <w:r>
        <w:rPr>
          <w:rFonts w:hint="eastAsia" w:cs="Times New Roman"/>
          <w:kern w:val="0"/>
          <w:szCs w:val="24"/>
        </w:rPr>
        <w:t>III</w:t>
      </w:r>
      <w:r>
        <w:rPr>
          <w:rFonts w:hint="eastAsia"/>
        </w:rPr>
        <w:t>类标准。</w:t>
      </w:r>
    </w:p>
    <w:p w14:paraId="05A1CFC0">
      <w:pPr>
        <w:ind w:firstLine="480"/>
        <w:sectPr>
          <w:pgSz w:w="16838" w:h="11906" w:orient="landscape"/>
          <w:pgMar w:top="1797" w:right="1440" w:bottom="1797" w:left="1440" w:header="964" w:footer="850" w:gutter="0"/>
          <w:cols w:space="720" w:num="1"/>
          <w:docGrid w:linePitch="326" w:charSpace="0"/>
        </w:sectPr>
      </w:pPr>
    </w:p>
    <w:p w14:paraId="6A5071A6">
      <w:pPr>
        <w:keepNext/>
        <w:keepLines/>
        <w:spacing w:before="260" w:after="260" w:line="415" w:lineRule="auto"/>
        <w:ind w:firstLine="0" w:firstLineChars="0"/>
        <w:jc w:val="left"/>
        <w:outlineLvl w:val="2"/>
        <w:rPr>
          <w:b/>
          <w:bCs/>
          <w:sz w:val="28"/>
          <w:szCs w:val="32"/>
        </w:rPr>
      </w:pPr>
      <w:r>
        <w:rPr>
          <w:rFonts w:hint="eastAsia"/>
          <w:b/>
          <w:bCs/>
          <w:sz w:val="28"/>
          <w:szCs w:val="32"/>
        </w:rPr>
        <w:t>4.4.3</w:t>
      </w:r>
      <w:r>
        <w:rPr>
          <w:b/>
          <w:bCs/>
          <w:sz w:val="28"/>
          <w:szCs w:val="32"/>
        </w:rPr>
        <w:t xml:space="preserve"> </w:t>
      </w:r>
      <w:r>
        <w:rPr>
          <w:rFonts w:hint="eastAsia"/>
          <w:b/>
          <w:bCs/>
          <w:sz w:val="28"/>
          <w:szCs w:val="32"/>
        </w:rPr>
        <w:t>地下水环境质量现状及变化分析</w:t>
      </w:r>
    </w:p>
    <w:p w14:paraId="0493D9F4">
      <w:pPr>
        <w:widowControl/>
        <w:ind w:firstLine="480"/>
        <w:jc w:val="left"/>
        <w:rPr>
          <w:kern w:val="0"/>
          <w:szCs w:val="24"/>
        </w:rPr>
      </w:pPr>
      <w:r>
        <w:rPr>
          <w:kern w:val="0"/>
          <w:szCs w:val="24"/>
        </w:rPr>
        <w:t>项目地下水现状监测引用安徽金安矿业有限公司例行监测中地表水现状监测数据，监测时间为 202</w:t>
      </w:r>
      <w:r>
        <w:rPr>
          <w:rFonts w:hint="eastAsia"/>
          <w:kern w:val="0"/>
          <w:szCs w:val="24"/>
        </w:rPr>
        <w:t>4</w:t>
      </w:r>
      <w:r>
        <w:rPr>
          <w:kern w:val="0"/>
          <w:szCs w:val="24"/>
        </w:rPr>
        <w:t xml:space="preserve"> 年 </w:t>
      </w:r>
      <w:r>
        <w:rPr>
          <w:rFonts w:hint="eastAsia"/>
          <w:kern w:val="0"/>
          <w:szCs w:val="24"/>
        </w:rPr>
        <w:t>3</w:t>
      </w:r>
      <w:r>
        <w:rPr>
          <w:kern w:val="0"/>
          <w:szCs w:val="24"/>
        </w:rPr>
        <w:t xml:space="preserve"> 月 </w:t>
      </w:r>
      <w:r>
        <w:rPr>
          <w:rFonts w:hint="eastAsia"/>
          <w:kern w:val="0"/>
          <w:szCs w:val="24"/>
        </w:rPr>
        <w:t>4</w:t>
      </w:r>
      <w:r>
        <w:rPr>
          <w:kern w:val="0"/>
          <w:szCs w:val="24"/>
        </w:rPr>
        <w:t xml:space="preserve"> 日，监测报告见附件。</w:t>
      </w:r>
    </w:p>
    <w:p w14:paraId="371D1EE3">
      <w:pPr>
        <w:widowControl/>
        <w:ind w:firstLine="480"/>
        <w:jc w:val="left"/>
        <w:rPr>
          <w:kern w:val="0"/>
          <w:szCs w:val="24"/>
        </w:rPr>
      </w:pPr>
      <w:r>
        <w:rPr>
          <w:kern w:val="0"/>
          <w:szCs w:val="24"/>
        </w:rPr>
        <w:t>（1）监测点位置</w:t>
      </w:r>
    </w:p>
    <w:p w14:paraId="7336BB9C">
      <w:pPr>
        <w:widowControl/>
        <w:ind w:firstLine="480"/>
        <w:jc w:val="left"/>
        <w:rPr>
          <w:kern w:val="0"/>
          <w:szCs w:val="24"/>
        </w:rPr>
      </w:pPr>
      <w:r>
        <w:rPr>
          <w:kern w:val="0"/>
          <w:szCs w:val="24"/>
        </w:rPr>
        <w:t xml:space="preserve">地下水监测点位共布设 </w:t>
      </w:r>
      <w:r>
        <w:rPr>
          <w:rFonts w:hint="eastAsia"/>
          <w:kern w:val="0"/>
          <w:szCs w:val="24"/>
        </w:rPr>
        <w:t>12</w:t>
      </w:r>
      <w:r>
        <w:rPr>
          <w:kern w:val="0"/>
          <w:szCs w:val="24"/>
        </w:rPr>
        <w:t xml:space="preserve"> 个监测点位，对所在区域地下水现状进行调查，监测 点位位置见下表 4.4-</w:t>
      </w:r>
      <w:r>
        <w:rPr>
          <w:rFonts w:hint="eastAsia"/>
          <w:kern w:val="0"/>
          <w:szCs w:val="24"/>
        </w:rPr>
        <w:t>9</w:t>
      </w:r>
      <w:r>
        <w:rPr>
          <w:kern w:val="0"/>
          <w:szCs w:val="24"/>
        </w:rPr>
        <w:t>。冀老庄、孟家后楼、王大庙、倪庄已搬迁。</w:t>
      </w:r>
    </w:p>
    <w:p w14:paraId="15C84503">
      <w:pPr>
        <w:ind w:firstLine="0" w:firstLineChars="0"/>
        <w:jc w:val="center"/>
        <w:rPr>
          <w:b/>
        </w:rPr>
      </w:pPr>
      <w:r>
        <w:rPr>
          <w:b/>
        </w:rPr>
        <w:t>表 4.4-</w:t>
      </w:r>
      <w:r>
        <w:rPr>
          <w:rFonts w:hint="eastAsia"/>
          <w:b/>
        </w:rPr>
        <w:t>9</w:t>
      </w:r>
      <w:r>
        <w:rPr>
          <w:b/>
        </w:rPr>
        <w:t xml:space="preserve">  地下水环境质量现状监测点位</w:t>
      </w:r>
    </w:p>
    <w:tbl>
      <w:tblPr>
        <w:tblStyle w:val="139"/>
        <w:tblW w:w="5966" w:type="dxa"/>
        <w:tblInd w:w="138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83"/>
        <w:gridCol w:w="2983"/>
      </w:tblGrid>
      <w:tr w14:paraId="157131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trPr>
        <w:tc>
          <w:tcPr>
            <w:tcW w:w="2983" w:type="dxa"/>
            <w:tcBorders>
              <w:left w:val="single" w:color="000000" w:sz="10" w:space="0"/>
            </w:tcBorders>
          </w:tcPr>
          <w:p w14:paraId="3F0C48F3">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测点序号</w:t>
            </w:r>
          </w:p>
        </w:tc>
        <w:tc>
          <w:tcPr>
            <w:tcW w:w="2983" w:type="dxa"/>
            <w:tcBorders>
              <w:right w:val="single" w:color="000000" w:sz="10" w:space="0"/>
            </w:tcBorders>
          </w:tcPr>
          <w:p w14:paraId="55576958">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监测点位</w:t>
            </w:r>
          </w:p>
        </w:tc>
      </w:tr>
      <w:tr w14:paraId="66B484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327F487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D1</w:t>
            </w:r>
          </w:p>
        </w:tc>
        <w:tc>
          <w:tcPr>
            <w:tcW w:w="2983" w:type="dxa"/>
            <w:tcBorders>
              <w:right w:val="single" w:color="000000" w:sz="10" w:space="0"/>
            </w:tcBorders>
          </w:tcPr>
          <w:p w14:paraId="580C30A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生产区 2 号水源井</w:t>
            </w:r>
          </w:p>
        </w:tc>
      </w:tr>
      <w:tr w14:paraId="58354F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364D693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D2</w:t>
            </w:r>
          </w:p>
        </w:tc>
        <w:tc>
          <w:tcPr>
            <w:tcW w:w="2983" w:type="dxa"/>
            <w:tcBorders>
              <w:right w:val="single" w:color="000000" w:sz="10" w:space="0"/>
            </w:tcBorders>
          </w:tcPr>
          <w:p w14:paraId="52CB317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尾矿库回水池水井</w:t>
            </w:r>
          </w:p>
        </w:tc>
      </w:tr>
      <w:tr w14:paraId="52833F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103FDCC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D3</w:t>
            </w:r>
          </w:p>
        </w:tc>
        <w:tc>
          <w:tcPr>
            <w:tcW w:w="2983" w:type="dxa"/>
            <w:tcBorders>
              <w:right w:val="single" w:color="000000" w:sz="10" w:space="0"/>
            </w:tcBorders>
          </w:tcPr>
          <w:p w14:paraId="7D0561BB">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尾矿库新增监测井2</w:t>
            </w:r>
          </w:p>
        </w:tc>
      </w:tr>
      <w:tr w14:paraId="6B386A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1037CCF3">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D4</w:t>
            </w:r>
          </w:p>
        </w:tc>
        <w:tc>
          <w:tcPr>
            <w:tcW w:w="2983" w:type="dxa"/>
            <w:tcBorders>
              <w:right w:val="single" w:color="000000" w:sz="10" w:space="0"/>
            </w:tcBorders>
          </w:tcPr>
          <w:p w14:paraId="47BE510E">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尾矿库新增监测井3</w:t>
            </w:r>
          </w:p>
        </w:tc>
      </w:tr>
      <w:tr w14:paraId="79E3C0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6E5D066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D5</w:t>
            </w:r>
          </w:p>
        </w:tc>
        <w:tc>
          <w:tcPr>
            <w:tcW w:w="2983" w:type="dxa"/>
            <w:tcBorders>
              <w:right w:val="single" w:color="000000" w:sz="10" w:space="0"/>
            </w:tcBorders>
          </w:tcPr>
          <w:p w14:paraId="01CB936F">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尾矿库新增监测井4</w:t>
            </w:r>
          </w:p>
        </w:tc>
      </w:tr>
      <w:tr w14:paraId="70AA34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314D507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D6</w:t>
            </w:r>
          </w:p>
        </w:tc>
        <w:tc>
          <w:tcPr>
            <w:tcW w:w="2983" w:type="dxa"/>
            <w:tcBorders>
              <w:right w:val="single" w:color="000000" w:sz="10" w:space="0"/>
            </w:tcBorders>
          </w:tcPr>
          <w:p w14:paraId="7E146D1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冀老庄</w:t>
            </w:r>
          </w:p>
        </w:tc>
      </w:tr>
      <w:tr w14:paraId="300F0C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4CB4579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D7</w:t>
            </w:r>
          </w:p>
        </w:tc>
        <w:tc>
          <w:tcPr>
            <w:tcW w:w="2983" w:type="dxa"/>
            <w:tcBorders>
              <w:right w:val="single" w:color="000000" w:sz="10" w:space="0"/>
            </w:tcBorders>
          </w:tcPr>
          <w:p w14:paraId="3D924933">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孟家前楼</w:t>
            </w:r>
          </w:p>
        </w:tc>
      </w:tr>
      <w:tr w14:paraId="453E45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983" w:type="dxa"/>
            <w:tcBorders>
              <w:left w:val="single" w:color="000000" w:sz="10" w:space="0"/>
            </w:tcBorders>
          </w:tcPr>
          <w:p w14:paraId="4C628EE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D8</w:t>
            </w:r>
          </w:p>
        </w:tc>
        <w:tc>
          <w:tcPr>
            <w:tcW w:w="2983" w:type="dxa"/>
            <w:tcBorders>
              <w:right w:val="single" w:color="000000" w:sz="10" w:space="0"/>
            </w:tcBorders>
          </w:tcPr>
          <w:p w14:paraId="7C11783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孟家后楼</w:t>
            </w:r>
          </w:p>
        </w:tc>
      </w:tr>
      <w:tr w14:paraId="491B79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00F85AE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D9</w:t>
            </w:r>
          </w:p>
        </w:tc>
        <w:tc>
          <w:tcPr>
            <w:tcW w:w="2983" w:type="dxa"/>
            <w:tcBorders>
              <w:right w:val="single" w:color="000000" w:sz="10" w:space="0"/>
            </w:tcBorders>
          </w:tcPr>
          <w:p w14:paraId="52C4206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王大庙</w:t>
            </w:r>
          </w:p>
        </w:tc>
      </w:tr>
      <w:tr w14:paraId="141394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3E09E753">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D10</w:t>
            </w:r>
          </w:p>
        </w:tc>
        <w:tc>
          <w:tcPr>
            <w:tcW w:w="2983" w:type="dxa"/>
            <w:tcBorders>
              <w:right w:val="single" w:color="000000" w:sz="10" w:space="0"/>
            </w:tcBorders>
          </w:tcPr>
          <w:p w14:paraId="1CFC3F4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腰庄</w:t>
            </w:r>
          </w:p>
        </w:tc>
      </w:tr>
      <w:tr w14:paraId="3E6105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3" w:type="dxa"/>
            <w:tcBorders>
              <w:left w:val="single" w:color="000000" w:sz="10" w:space="0"/>
            </w:tcBorders>
          </w:tcPr>
          <w:p w14:paraId="4E2A5953">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D11</w:t>
            </w:r>
          </w:p>
        </w:tc>
        <w:tc>
          <w:tcPr>
            <w:tcW w:w="2983" w:type="dxa"/>
            <w:tcBorders>
              <w:right w:val="single" w:color="000000" w:sz="10" w:space="0"/>
            </w:tcBorders>
          </w:tcPr>
          <w:p w14:paraId="49B1A05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薛圩</w:t>
            </w:r>
          </w:p>
        </w:tc>
      </w:tr>
      <w:tr w14:paraId="675E72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2983" w:type="dxa"/>
            <w:tcBorders>
              <w:left w:val="single" w:color="000000" w:sz="10" w:space="0"/>
            </w:tcBorders>
          </w:tcPr>
          <w:p w14:paraId="2B215A56">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D12</w:t>
            </w:r>
          </w:p>
        </w:tc>
        <w:tc>
          <w:tcPr>
            <w:tcW w:w="2983" w:type="dxa"/>
            <w:tcBorders>
              <w:right w:val="single" w:color="000000" w:sz="10" w:space="0"/>
            </w:tcBorders>
          </w:tcPr>
          <w:p w14:paraId="39936A3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倪庄</w:t>
            </w:r>
          </w:p>
        </w:tc>
      </w:tr>
    </w:tbl>
    <w:p w14:paraId="2D636278">
      <w:pPr>
        <w:widowControl/>
        <w:ind w:firstLine="480"/>
        <w:jc w:val="left"/>
        <w:rPr>
          <w:kern w:val="0"/>
          <w:szCs w:val="24"/>
        </w:rPr>
      </w:pPr>
      <w:r>
        <w:rPr>
          <w:kern w:val="0"/>
          <w:szCs w:val="24"/>
        </w:rPr>
        <w:t>（2）监测因子</w:t>
      </w:r>
    </w:p>
    <w:p w14:paraId="58C571D4">
      <w:pPr>
        <w:widowControl/>
        <w:ind w:firstLine="480"/>
        <w:jc w:val="left"/>
        <w:rPr>
          <w:kern w:val="0"/>
          <w:szCs w:val="24"/>
        </w:rPr>
      </w:pPr>
      <w:r>
        <w:rPr>
          <w:kern w:val="0"/>
          <w:szCs w:val="24"/>
        </w:rPr>
        <w:t>水质：pH、总硬度、氨氮、硝酸盐、亚硝酸盐、氟化物、硫酸盐、 铜、锌、铅、镉、铁、锰、六价铬、细菌总数、总大肠菌群。</w:t>
      </w:r>
    </w:p>
    <w:p w14:paraId="29ACC2DC">
      <w:pPr>
        <w:widowControl/>
        <w:ind w:firstLine="480"/>
        <w:jc w:val="left"/>
        <w:rPr>
          <w:kern w:val="0"/>
          <w:szCs w:val="24"/>
        </w:rPr>
      </w:pPr>
      <w:r>
        <w:rPr>
          <w:kern w:val="0"/>
          <w:szCs w:val="24"/>
        </w:rPr>
        <w:t>（3）监测时间及频次</w:t>
      </w:r>
    </w:p>
    <w:p w14:paraId="63BC3A87">
      <w:pPr>
        <w:widowControl/>
        <w:ind w:firstLine="480"/>
        <w:jc w:val="left"/>
        <w:rPr>
          <w:kern w:val="0"/>
          <w:szCs w:val="24"/>
        </w:rPr>
      </w:pPr>
      <w:r>
        <w:rPr>
          <w:kern w:val="0"/>
          <w:szCs w:val="24"/>
        </w:rPr>
        <w:t>监测时间：202</w:t>
      </w:r>
      <w:r>
        <w:rPr>
          <w:rFonts w:hint="eastAsia"/>
          <w:kern w:val="0"/>
          <w:szCs w:val="24"/>
        </w:rPr>
        <w:t>4</w:t>
      </w:r>
      <w:r>
        <w:rPr>
          <w:kern w:val="0"/>
          <w:szCs w:val="24"/>
        </w:rPr>
        <w:t xml:space="preserve"> 年 </w:t>
      </w:r>
      <w:r>
        <w:rPr>
          <w:rFonts w:hint="eastAsia"/>
          <w:kern w:val="0"/>
          <w:szCs w:val="24"/>
        </w:rPr>
        <w:t>3</w:t>
      </w:r>
      <w:r>
        <w:rPr>
          <w:kern w:val="0"/>
          <w:szCs w:val="24"/>
        </w:rPr>
        <w:t xml:space="preserve"> 月</w:t>
      </w:r>
      <w:r>
        <w:rPr>
          <w:rFonts w:hint="eastAsia"/>
          <w:kern w:val="0"/>
          <w:szCs w:val="24"/>
        </w:rPr>
        <w:t>4</w:t>
      </w:r>
      <w:r>
        <w:rPr>
          <w:kern w:val="0"/>
          <w:szCs w:val="24"/>
        </w:rPr>
        <w:t xml:space="preserve"> 日</w:t>
      </w:r>
    </w:p>
    <w:p w14:paraId="471E2742">
      <w:pPr>
        <w:widowControl/>
        <w:ind w:firstLine="480"/>
        <w:jc w:val="left"/>
        <w:rPr>
          <w:kern w:val="0"/>
          <w:szCs w:val="24"/>
        </w:rPr>
      </w:pPr>
      <w:r>
        <w:rPr>
          <w:kern w:val="0"/>
          <w:szCs w:val="24"/>
        </w:rPr>
        <w:t>监测频次：监测 1 天，采样 1 次。</w:t>
      </w:r>
    </w:p>
    <w:p w14:paraId="6AD4DD20">
      <w:pPr>
        <w:widowControl/>
        <w:ind w:firstLine="480"/>
        <w:jc w:val="left"/>
        <w:rPr>
          <w:kern w:val="0"/>
          <w:szCs w:val="24"/>
        </w:rPr>
      </w:pPr>
      <w:r>
        <w:rPr>
          <w:kern w:val="0"/>
          <w:szCs w:val="24"/>
        </w:rPr>
        <w:t>（4）监测分析方法</w:t>
      </w:r>
    </w:p>
    <w:p w14:paraId="0333FFC7">
      <w:pPr>
        <w:widowControl/>
        <w:ind w:firstLine="480"/>
        <w:jc w:val="left"/>
        <w:rPr>
          <w:kern w:val="0"/>
          <w:szCs w:val="24"/>
        </w:rPr>
      </w:pPr>
      <w:r>
        <w:rPr>
          <w:kern w:val="0"/>
          <w:szCs w:val="24"/>
        </w:rPr>
        <w:t>采样及分析方案按照《水和废水监测分析方法》的有关规定和要求执行，质量控制按照《环境监测技术规范》执行。</w:t>
      </w:r>
    </w:p>
    <w:p w14:paraId="7CE81F2D">
      <w:pPr>
        <w:widowControl/>
        <w:ind w:firstLine="480"/>
        <w:jc w:val="left"/>
        <w:rPr>
          <w:kern w:val="0"/>
          <w:szCs w:val="24"/>
        </w:rPr>
      </w:pPr>
      <w:r>
        <w:rPr>
          <w:kern w:val="0"/>
          <w:szCs w:val="24"/>
        </w:rPr>
        <w:t>（5）监测结果</w:t>
      </w:r>
    </w:p>
    <w:p w14:paraId="6CE1C81E">
      <w:pPr>
        <w:widowControl/>
        <w:ind w:firstLine="480"/>
        <w:jc w:val="left"/>
        <w:rPr>
          <w:kern w:val="0"/>
          <w:szCs w:val="24"/>
        </w:rPr>
      </w:pPr>
      <w:r>
        <w:rPr>
          <w:kern w:val="0"/>
          <w:szCs w:val="24"/>
        </w:rPr>
        <w:t>地表水现状监测结果见表 4.4-1</w:t>
      </w:r>
      <w:r>
        <w:rPr>
          <w:rFonts w:hint="eastAsia"/>
          <w:kern w:val="0"/>
          <w:szCs w:val="24"/>
        </w:rPr>
        <w:t>0</w:t>
      </w:r>
    </w:p>
    <w:p w14:paraId="7147662D">
      <w:pPr>
        <w:widowControl/>
        <w:ind w:firstLine="480"/>
        <w:jc w:val="left"/>
        <w:rPr>
          <w:kern w:val="0"/>
          <w:szCs w:val="24"/>
        </w:rPr>
        <w:sectPr>
          <w:pgSz w:w="11906" w:h="16838"/>
          <w:pgMar w:top="1440" w:right="1797" w:bottom="1440" w:left="1797" w:header="964" w:footer="850" w:gutter="0"/>
          <w:cols w:space="720" w:num="1"/>
          <w:docGrid w:linePitch="326" w:charSpace="0"/>
        </w:sectPr>
      </w:pPr>
    </w:p>
    <w:p w14:paraId="429515FA">
      <w:pPr>
        <w:ind w:firstLine="0" w:firstLineChars="0"/>
        <w:jc w:val="center"/>
        <w:rPr>
          <w:b/>
        </w:rPr>
      </w:pPr>
      <w:r>
        <w:rPr>
          <w:b/>
        </w:rPr>
        <w:t>表 4.4-1</w:t>
      </w:r>
      <w:r>
        <w:rPr>
          <w:rFonts w:hint="eastAsia"/>
          <w:b/>
        </w:rPr>
        <w:t>0</w:t>
      </w:r>
      <w:r>
        <w:rPr>
          <w:b/>
        </w:rPr>
        <w:t xml:space="preserve">  地下水环境质量现状监测结果表</w:t>
      </w:r>
    </w:p>
    <w:tbl>
      <w:tblPr>
        <w:tblStyle w:val="139"/>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31"/>
        <w:gridCol w:w="920"/>
        <w:gridCol w:w="920"/>
        <w:gridCol w:w="920"/>
        <w:gridCol w:w="920"/>
        <w:gridCol w:w="920"/>
        <w:gridCol w:w="920"/>
        <w:gridCol w:w="920"/>
        <w:gridCol w:w="920"/>
        <w:gridCol w:w="920"/>
        <w:gridCol w:w="920"/>
        <w:gridCol w:w="920"/>
        <w:gridCol w:w="920"/>
        <w:gridCol w:w="921"/>
        <w:gridCol w:w="1092"/>
      </w:tblGrid>
      <w:tr w14:paraId="129A0B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2" w:hRule="atLeast"/>
        </w:trPr>
        <w:tc>
          <w:tcPr>
            <w:tcW w:w="333" w:type="pct"/>
            <w:vMerge w:val="restart"/>
            <w:tcBorders>
              <w:left w:val="single" w:color="000000" w:sz="10" w:space="0"/>
              <w:bottom w:val="nil"/>
            </w:tcBorders>
          </w:tcPr>
          <w:p w14:paraId="2EED4D22">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检测项目</w:t>
            </w:r>
          </w:p>
        </w:tc>
        <w:tc>
          <w:tcPr>
            <w:tcW w:w="3948" w:type="pct"/>
            <w:gridSpan w:val="12"/>
          </w:tcPr>
          <w:p w14:paraId="60B4DB9B">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监测结果</w:t>
            </w:r>
          </w:p>
        </w:tc>
        <w:tc>
          <w:tcPr>
            <w:tcW w:w="329" w:type="pct"/>
            <w:vMerge w:val="restart"/>
            <w:tcBorders>
              <w:bottom w:val="nil"/>
            </w:tcBorders>
          </w:tcPr>
          <w:p w14:paraId="1559A360">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标准</w:t>
            </w:r>
          </w:p>
        </w:tc>
        <w:tc>
          <w:tcPr>
            <w:tcW w:w="390" w:type="pct"/>
            <w:vMerge w:val="restart"/>
            <w:tcBorders>
              <w:bottom w:val="nil"/>
              <w:right w:val="single" w:color="000000" w:sz="10" w:space="0"/>
            </w:tcBorders>
          </w:tcPr>
          <w:p w14:paraId="2ADD5A17">
            <w:pPr>
              <w:spacing w:line="240" w:lineRule="auto"/>
              <w:ind w:firstLine="0" w:firstLineChars="0"/>
              <w:jc w:val="center"/>
              <w:rPr>
                <w:rFonts w:cstheme="minorBidi"/>
                <w:b/>
                <w:bCs/>
                <w:snapToGrid w:val="0"/>
                <w:color w:val="000000"/>
                <w:kern w:val="0"/>
                <w:sz w:val="21"/>
                <w:szCs w:val="21"/>
              </w:rPr>
            </w:pPr>
            <w:r>
              <w:rPr>
                <w:rFonts w:hint="eastAsia" w:cstheme="minorBidi"/>
                <w:b/>
                <w:bCs/>
                <w:snapToGrid w:val="0"/>
                <w:color w:val="000000"/>
                <w:kern w:val="0"/>
                <w:sz w:val="21"/>
                <w:szCs w:val="21"/>
              </w:rPr>
              <w:t>是否</w:t>
            </w:r>
          </w:p>
          <w:p w14:paraId="08D5F163">
            <w:pPr>
              <w:spacing w:line="240" w:lineRule="auto"/>
              <w:ind w:firstLine="0" w:firstLineChars="0"/>
              <w:jc w:val="center"/>
              <w:rPr>
                <w:rFonts w:cstheme="minorBidi"/>
                <w:b/>
                <w:bCs/>
                <w:snapToGrid w:val="0"/>
                <w:color w:val="000000"/>
                <w:kern w:val="0"/>
                <w:sz w:val="21"/>
                <w:szCs w:val="21"/>
              </w:rPr>
            </w:pPr>
            <w:r>
              <w:rPr>
                <w:rFonts w:hint="eastAsia" w:cstheme="minorBidi"/>
                <w:b/>
                <w:bCs/>
                <w:snapToGrid w:val="0"/>
                <w:color w:val="000000"/>
                <w:kern w:val="0"/>
                <w:sz w:val="21"/>
                <w:szCs w:val="21"/>
              </w:rPr>
              <w:t>达标</w:t>
            </w:r>
          </w:p>
        </w:tc>
      </w:tr>
      <w:tr w14:paraId="3E6B7B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333" w:type="pct"/>
            <w:vMerge w:val="continue"/>
            <w:tcBorders>
              <w:top w:val="nil"/>
              <w:left w:val="single" w:color="000000" w:sz="10" w:space="0"/>
            </w:tcBorders>
          </w:tcPr>
          <w:p w14:paraId="3AC950D4">
            <w:pPr>
              <w:ind w:firstLine="480"/>
              <w:rPr>
                <w:rFonts w:cs="Arial"/>
                <w:snapToGrid w:val="0"/>
                <w:color w:val="000000"/>
                <w:kern w:val="0"/>
                <w:szCs w:val="21"/>
              </w:rPr>
            </w:pPr>
          </w:p>
        </w:tc>
        <w:tc>
          <w:tcPr>
            <w:tcW w:w="329" w:type="pct"/>
          </w:tcPr>
          <w:p w14:paraId="582EAFE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D1</w:t>
            </w:r>
          </w:p>
        </w:tc>
        <w:tc>
          <w:tcPr>
            <w:tcW w:w="329" w:type="pct"/>
          </w:tcPr>
          <w:p w14:paraId="121F176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D2</w:t>
            </w:r>
          </w:p>
        </w:tc>
        <w:tc>
          <w:tcPr>
            <w:tcW w:w="329" w:type="pct"/>
          </w:tcPr>
          <w:p w14:paraId="4DD2504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D3</w:t>
            </w:r>
          </w:p>
        </w:tc>
        <w:tc>
          <w:tcPr>
            <w:tcW w:w="329" w:type="pct"/>
          </w:tcPr>
          <w:p w14:paraId="185F20B8">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D4</w:t>
            </w:r>
          </w:p>
        </w:tc>
        <w:tc>
          <w:tcPr>
            <w:tcW w:w="329" w:type="pct"/>
          </w:tcPr>
          <w:p w14:paraId="1476F3A9">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D5</w:t>
            </w:r>
          </w:p>
        </w:tc>
        <w:tc>
          <w:tcPr>
            <w:tcW w:w="329" w:type="pct"/>
          </w:tcPr>
          <w:p w14:paraId="326E5271">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D6</w:t>
            </w:r>
          </w:p>
        </w:tc>
        <w:tc>
          <w:tcPr>
            <w:tcW w:w="329" w:type="pct"/>
          </w:tcPr>
          <w:p w14:paraId="4D5D8DC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w:t>
            </w:r>
            <w:r>
              <w:rPr>
                <w:rFonts w:hint="eastAsia" w:cstheme="minorBidi"/>
                <w:snapToGrid w:val="0"/>
                <w:color w:val="000000"/>
                <w:kern w:val="0"/>
                <w:sz w:val="21"/>
                <w:szCs w:val="21"/>
              </w:rPr>
              <w:t>7</w:t>
            </w:r>
          </w:p>
        </w:tc>
        <w:tc>
          <w:tcPr>
            <w:tcW w:w="329" w:type="pct"/>
          </w:tcPr>
          <w:p w14:paraId="19158F4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w:t>
            </w:r>
            <w:r>
              <w:rPr>
                <w:rFonts w:hint="eastAsia" w:cstheme="minorBidi"/>
                <w:snapToGrid w:val="0"/>
                <w:color w:val="000000"/>
                <w:kern w:val="0"/>
                <w:sz w:val="21"/>
                <w:szCs w:val="21"/>
              </w:rPr>
              <w:t>8</w:t>
            </w:r>
          </w:p>
        </w:tc>
        <w:tc>
          <w:tcPr>
            <w:tcW w:w="329" w:type="pct"/>
          </w:tcPr>
          <w:p w14:paraId="6B27155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w:t>
            </w:r>
            <w:r>
              <w:rPr>
                <w:rFonts w:hint="eastAsia" w:cstheme="minorBidi"/>
                <w:snapToGrid w:val="0"/>
                <w:color w:val="000000"/>
                <w:kern w:val="0"/>
                <w:sz w:val="21"/>
                <w:szCs w:val="21"/>
              </w:rPr>
              <w:t>9</w:t>
            </w:r>
          </w:p>
        </w:tc>
        <w:tc>
          <w:tcPr>
            <w:tcW w:w="329" w:type="pct"/>
          </w:tcPr>
          <w:p w14:paraId="5569EC4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w:t>
            </w:r>
            <w:r>
              <w:rPr>
                <w:rFonts w:hint="eastAsia" w:cstheme="minorBidi"/>
                <w:snapToGrid w:val="0"/>
                <w:color w:val="000000"/>
                <w:kern w:val="0"/>
                <w:sz w:val="21"/>
                <w:szCs w:val="21"/>
              </w:rPr>
              <w:t>10</w:t>
            </w:r>
          </w:p>
        </w:tc>
        <w:tc>
          <w:tcPr>
            <w:tcW w:w="329" w:type="pct"/>
          </w:tcPr>
          <w:p w14:paraId="5B99C1B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w:t>
            </w:r>
            <w:r>
              <w:rPr>
                <w:rFonts w:hint="eastAsia" w:cstheme="minorBidi"/>
                <w:snapToGrid w:val="0"/>
                <w:color w:val="000000"/>
                <w:kern w:val="0"/>
                <w:sz w:val="21"/>
                <w:szCs w:val="21"/>
              </w:rPr>
              <w:t>11</w:t>
            </w:r>
          </w:p>
        </w:tc>
        <w:tc>
          <w:tcPr>
            <w:tcW w:w="329" w:type="pct"/>
          </w:tcPr>
          <w:p w14:paraId="34AA9C7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D</w:t>
            </w:r>
            <w:r>
              <w:rPr>
                <w:rFonts w:hint="eastAsia" w:cstheme="minorBidi"/>
                <w:snapToGrid w:val="0"/>
                <w:color w:val="000000"/>
                <w:kern w:val="0"/>
                <w:sz w:val="21"/>
                <w:szCs w:val="21"/>
              </w:rPr>
              <w:t>12</w:t>
            </w:r>
          </w:p>
        </w:tc>
        <w:tc>
          <w:tcPr>
            <w:tcW w:w="329" w:type="pct"/>
            <w:vMerge w:val="continue"/>
            <w:tcBorders>
              <w:top w:val="nil"/>
            </w:tcBorders>
          </w:tcPr>
          <w:p w14:paraId="10409603">
            <w:pPr>
              <w:ind w:firstLine="480"/>
              <w:rPr>
                <w:rFonts w:cs="Arial"/>
                <w:snapToGrid w:val="0"/>
                <w:color w:val="000000"/>
                <w:kern w:val="0"/>
                <w:szCs w:val="21"/>
              </w:rPr>
            </w:pPr>
          </w:p>
        </w:tc>
        <w:tc>
          <w:tcPr>
            <w:tcW w:w="390" w:type="pct"/>
            <w:vMerge w:val="continue"/>
            <w:tcBorders>
              <w:top w:val="nil"/>
              <w:right w:val="single" w:color="000000" w:sz="10" w:space="0"/>
            </w:tcBorders>
          </w:tcPr>
          <w:p w14:paraId="18C7A757">
            <w:pPr>
              <w:ind w:firstLine="480"/>
              <w:rPr>
                <w:rFonts w:cs="Arial"/>
                <w:snapToGrid w:val="0"/>
                <w:color w:val="000000"/>
                <w:kern w:val="0"/>
                <w:szCs w:val="21"/>
              </w:rPr>
            </w:pPr>
          </w:p>
        </w:tc>
      </w:tr>
      <w:tr w14:paraId="0EEC13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3C701DA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pH</w:t>
            </w:r>
          </w:p>
        </w:tc>
        <w:tc>
          <w:tcPr>
            <w:tcW w:w="329" w:type="pct"/>
          </w:tcPr>
          <w:p w14:paraId="342F51F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w:t>
            </w:r>
            <w:r>
              <w:rPr>
                <w:rFonts w:hint="eastAsia" w:cstheme="minorBidi"/>
                <w:snapToGrid w:val="0"/>
                <w:color w:val="000000"/>
                <w:kern w:val="0"/>
                <w:sz w:val="21"/>
                <w:szCs w:val="21"/>
              </w:rPr>
              <w:t>0</w:t>
            </w:r>
          </w:p>
        </w:tc>
        <w:tc>
          <w:tcPr>
            <w:tcW w:w="329" w:type="pct"/>
          </w:tcPr>
          <w:p w14:paraId="166720B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w:t>
            </w:r>
            <w:r>
              <w:rPr>
                <w:rFonts w:hint="eastAsia" w:cstheme="minorBidi"/>
                <w:snapToGrid w:val="0"/>
                <w:color w:val="000000"/>
                <w:kern w:val="0"/>
                <w:sz w:val="21"/>
                <w:szCs w:val="21"/>
              </w:rPr>
              <w:t>2</w:t>
            </w:r>
          </w:p>
        </w:tc>
        <w:tc>
          <w:tcPr>
            <w:tcW w:w="329" w:type="pct"/>
          </w:tcPr>
          <w:p w14:paraId="0D5F76C9">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w:t>
            </w:r>
            <w:r>
              <w:rPr>
                <w:rFonts w:hint="eastAsia" w:cstheme="minorBidi"/>
                <w:snapToGrid w:val="0"/>
                <w:color w:val="000000"/>
                <w:kern w:val="0"/>
                <w:sz w:val="21"/>
                <w:szCs w:val="21"/>
              </w:rPr>
              <w:t>2</w:t>
            </w:r>
          </w:p>
        </w:tc>
        <w:tc>
          <w:tcPr>
            <w:tcW w:w="329" w:type="pct"/>
          </w:tcPr>
          <w:p w14:paraId="225CB01F">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7.1</w:t>
            </w:r>
          </w:p>
        </w:tc>
        <w:tc>
          <w:tcPr>
            <w:tcW w:w="329" w:type="pct"/>
          </w:tcPr>
          <w:p w14:paraId="58DD6A74">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7.0</w:t>
            </w:r>
          </w:p>
        </w:tc>
        <w:tc>
          <w:tcPr>
            <w:tcW w:w="329" w:type="pct"/>
          </w:tcPr>
          <w:p w14:paraId="4149D223">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7.2</w:t>
            </w:r>
          </w:p>
        </w:tc>
        <w:tc>
          <w:tcPr>
            <w:tcW w:w="329" w:type="pct"/>
          </w:tcPr>
          <w:p w14:paraId="480F551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w:t>
            </w:r>
            <w:r>
              <w:rPr>
                <w:rFonts w:hint="eastAsia" w:cstheme="minorBidi"/>
                <w:snapToGrid w:val="0"/>
                <w:color w:val="000000"/>
                <w:kern w:val="0"/>
                <w:sz w:val="21"/>
                <w:szCs w:val="21"/>
              </w:rPr>
              <w:t>2</w:t>
            </w:r>
          </w:p>
        </w:tc>
        <w:tc>
          <w:tcPr>
            <w:tcW w:w="329" w:type="pct"/>
          </w:tcPr>
          <w:p w14:paraId="0F3F4A8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w:t>
            </w:r>
            <w:r>
              <w:rPr>
                <w:rFonts w:hint="eastAsia" w:cstheme="minorBidi"/>
                <w:snapToGrid w:val="0"/>
                <w:color w:val="000000"/>
                <w:kern w:val="0"/>
                <w:sz w:val="21"/>
                <w:szCs w:val="21"/>
              </w:rPr>
              <w:t>1</w:t>
            </w:r>
          </w:p>
        </w:tc>
        <w:tc>
          <w:tcPr>
            <w:tcW w:w="329" w:type="pct"/>
          </w:tcPr>
          <w:p w14:paraId="0A1B500D">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7.2</w:t>
            </w:r>
          </w:p>
        </w:tc>
        <w:tc>
          <w:tcPr>
            <w:tcW w:w="329" w:type="pct"/>
          </w:tcPr>
          <w:p w14:paraId="54DAB3E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w:t>
            </w:r>
            <w:r>
              <w:rPr>
                <w:rFonts w:hint="eastAsia" w:cstheme="minorBidi"/>
                <w:snapToGrid w:val="0"/>
                <w:color w:val="000000"/>
                <w:kern w:val="0"/>
                <w:sz w:val="21"/>
                <w:szCs w:val="21"/>
              </w:rPr>
              <w:t>1</w:t>
            </w:r>
          </w:p>
        </w:tc>
        <w:tc>
          <w:tcPr>
            <w:tcW w:w="329" w:type="pct"/>
          </w:tcPr>
          <w:p w14:paraId="6533783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w:t>
            </w:r>
            <w:r>
              <w:rPr>
                <w:rFonts w:hint="eastAsia" w:cstheme="minorBidi"/>
                <w:snapToGrid w:val="0"/>
                <w:color w:val="000000"/>
                <w:kern w:val="0"/>
                <w:sz w:val="21"/>
                <w:szCs w:val="21"/>
              </w:rPr>
              <w:t>2</w:t>
            </w:r>
          </w:p>
        </w:tc>
        <w:tc>
          <w:tcPr>
            <w:tcW w:w="329" w:type="pct"/>
          </w:tcPr>
          <w:p w14:paraId="02976F4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w:t>
            </w:r>
            <w:r>
              <w:rPr>
                <w:rFonts w:hint="eastAsia" w:cstheme="minorBidi"/>
                <w:snapToGrid w:val="0"/>
                <w:color w:val="000000"/>
                <w:kern w:val="0"/>
                <w:sz w:val="21"/>
                <w:szCs w:val="21"/>
              </w:rPr>
              <w:t>2</w:t>
            </w:r>
          </w:p>
        </w:tc>
        <w:tc>
          <w:tcPr>
            <w:tcW w:w="329" w:type="pct"/>
          </w:tcPr>
          <w:p w14:paraId="0695EC5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6.5-8.5</w:t>
            </w:r>
          </w:p>
        </w:tc>
        <w:tc>
          <w:tcPr>
            <w:tcW w:w="390" w:type="pct"/>
            <w:tcBorders>
              <w:right w:val="single" w:color="000000" w:sz="10" w:space="0"/>
            </w:tcBorders>
          </w:tcPr>
          <w:p w14:paraId="40977EE6">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00DD9E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333" w:type="pct"/>
            <w:tcBorders>
              <w:left w:val="single" w:color="000000" w:sz="10" w:space="0"/>
            </w:tcBorders>
          </w:tcPr>
          <w:p w14:paraId="11A61AB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总硬度</w:t>
            </w:r>
          </w:p>
        </w:tc>
        <w:tc>
          <w:tcPr>
            <w:tcW w:w="329" w:type="pct"/>
          </w:tcPr>
          <w:p w14:paraId="2C5C073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143</w:t>
            </w:r>
          </w:p>
        </w:tc>
        <w:tc>
          <w:tcPr>
            <w:tcW w:w="329" w:type="pct"/>
          </w:tcPr>
          <w:p w14:paraId="618DCB4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135</w:t>
            </w:r>
          </w:p>
        </w:tc>
        <w:tc>
          <w:tcPr>
            <w:tcW w:w="329" w:type="pct"/>
          </w:tcPr>
          <w:p w14:paraId="17BC5E2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133</w:t>
            </w:r>
          </w:p>
        </w:tc>
        <w:tc>
          <w:tcPr>
            <w:tcW w:w="329" w:type="pct"/>
          </w:tcPr>
          <w:p w14:paraId="3073CAB7">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155</w:t>
            </w:r>
          </w:p>
        </w:tc>
        <w:tc>
          <w:tcPr>
            <w:tcW w:w="329" w:type="pct"/>
          </w:tcPr>
          <w:p w14:paraId="6534A732">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176</w:t>
            </w:r>
          </w:p>
        </w:tc>
        <w:tc>
          <w:tcPr>
            <w:tcW w:w="329" w:type="pct"/>
          </w:tcPr>
          <w:p w14:paraId="2FFF0567">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133</w:t>
            </w:r>
          </w:p>
        </w:tc>
        <w:tc>
          <w:tcPr>
            <w:tcW w:w="329" w:type="pct"/>
          </w:tcPr>
          <w:p w14:paraId="657F0AE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151</w:t>
            </w:r>
          </w:p>
        </w:tc>
        <w:tc>
          <w:tcPr>
            <w:tcW w:w="329" w:type="pct"/>
          </w:tcPr>
          <w:p w14:paraId="55D1E229">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175</w:t>
            </w:r>
          </w:p>
        </w:tc>
        <w:tc>
          <w:tcPr>
            <w:tcW w:w="329" w:type="pct"/>
          </w:tcPr>
          <w:p w14:paraId="6FDE191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203</w:t>
            </w:r>
          </w:p>
        </w:tc>
        <w:tc>
          <w:tcPr>
            <w:tcW w:w="329" w:type="pct"/>
          </w:tcPr>
          <w:p w14:paraId="36761553">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269</w:t>
            </w:r>
          </w:p>
        </w:tc>
        <w:tc>
          <w:tcPr>
            <w:tcW w:w="329" w:type="pct"/>
          </w:tcPr>
          <w:p w14:paraId="6B1CD60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174</w:t>
            </w:r>
          </w:p>
        </w:tc>
        <w:tc>
          <w:tcPr>
            <w:tcW w:w="329" w:type="pct"/>
          </w:tcPr>
          <w:p w14:paraId="4C4B082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165</w:t>
            </w:r>
          </w:p>
        </w:tc>
        <w:tc>
          <w:tcPr>
            <w:tcW w:w="329" w:type="pct"/>
          </w:tcPr>
          <w:p w14:paraId="7584C31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450</w:t>
            </w:r>
          </w:p>
        </w:tc>
        <w:tc>
          <w:tcPr>
            <w:tcW w:w="390" w:type="pct"/>
            <w:tcBorders>
              <w:right w:val="single" w:color="000000" w:sz="10" w:space="0"/>
            </w:tcBorders>
          </w:tcPr>
          <w:p w14:paraId="013C4988">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332F14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511D3C7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氨氮</w:t>
            </w:r>
          </w:p>
        </w:tc>
        <w:tc>
          <w:tcPr>
            <w:tcW w:w="329" w:type="pct"/>
          </w:tcPr>
          <w:p w14:paraId="69A6BDD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0.123</w:t>
            </w:r>
          </w:p>
        </w:tc>
        <w:tc>
          <w:tcPr>
            <w:tcW w:w="329" w:type="pct"/>
          </w:tcPr>
          <w:p w14:paraId="3CCCFF2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0.107</w:t>
            </w:r>
          </w:p>
        </w:tc>
        <w:tc>
          <w:tcPr>
            <w:tcW w:w="329" w:type="pct"/>
          </w:tcPr>
          <w:p w14:paraId="1F662BA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0.169</w:t>
            </w:r>
          </w:p>
        </w:tc>
        <w:tc>
          <w:tcPr>
            <w:tcW w:w="329" w:type="pct"/>
          </w:tcPr>
          <w:p w14:paraId="2DA66CE2">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0.223</w:t>
            </w:r>
          </w:p>
        </w:tc>
        <w:tc>
          <w:tcPr>
            <w:tcW w:w="329" w:type="pct"/>
          </w:tcPr>
          <w:p w14:paraId="64ABD631">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0.165</w:t>
            </w:r>
          </w:p>
        </w:tc>
        <w:tc>
          <w:tcPr>
            <w:tcW w:w="329" w:type="pct"/>
          </w:tcPr>
          <w:p w14:paraId="2F450991">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0.147</w:t>
            </w:r>
          </w:p>
        </w:tc>
        <w:tc>
          <w:tcPr>
            <w:tcW w:w="329" w:type="pct"/>
          </w:tcPr>
          <w:p w14:paraId="068CCB8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0.155</w:t>
            </w:r>
          </w:p>
        </w:tc>
        <w:tc>
          <w:tcPr>
            <w:tcW w:w="329" w:type="pct"/>
          </w:tcPr>
          <w:p w14:paraId="6267E6C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0.204</w:t>
            </w:r>
          </w:p>
        </w:tc>
        <w:tc>
          <w:tcPr>
            <w:tcW w:w="329" w:type="pct"/>
          </w:tcPr>
          <w:p w14:paraId="470E6FF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0.094</w:t>
            </w:r>
          </w:p>
        </w:tc>
        <w:tc>
          <w:tcPr>
            <w:tcW w:w="329" w:type="pct"/>
          </w:tcPr>
          <w:p w14:paraId="0FEA054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0.113</w:t>
            </w:r>
          </w:p>
        </w:tc>
        <w:tc>
          <w:tcPr>
            <w:tcW w:w="329" w:type="pct"/>
          </w:tcPr>
          <w:p w14:paraId="1FD8AD7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0.102</w:t>
            </w:r>
          </w:p>
        </w:tc>
        <w:tc>
          <w:tcPr>
            <w:tcW w:w="329" w:type="pct"/>
          </w:tcPr>
          <w:p w14:paraId="568364B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0.109</w:t>
            </w:r>
          </w:p>
        </w:tc>
        <w:tc>
          <w:tcPr>
            <w:tcW w:w="329" w:type="pct"/>
          </w:tcPr>
          <w:p w14:paraId="09BB294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w:t>
            </w:r>
          </w:p>
        </w:tc>
        <w:tc>
          <w:tcPr>
            <w:tcW w:w="390" w:type="pct"/>
            <w:tcBorders>
              <w:right w:val="single" w:color="000000" w:sz="10" w:space="0"/>
            </w:tcBorders>
          </w:tcPr>
          <w:p w14:paraId="6C2A709C">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2F3B1F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30288D3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硝酸盐</w:t>
            </w:r>
          </w:p>
        </w:tc>
        <w:tc>
          <w:tcPr>
            <w:tcW w:w="329" w:type="pct"/>
          </w:tcPr>
          <w:p w14:paraId="1EBEC9D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13.4</w:t>
            </w:r>
          </w:p>
        </w:tc>
        <w:tc>
          <w:tcPr>
            <w:tcW w:w="329" w:type="pct"/>
          </w:tcPr>
          <w:p w14:paraId="1851A91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11.9</w:t>
            </w:r>
          </w:p>
        </w:tc>
        <w:tc>
          <w:tcPr>
            <w:tcW w:w="329" w:type="pct"/>
          </w:tcPr>
          <w:p w14:paraId="0FD1112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18.0</w:t>
            </w:r>
          </w:p>
        </w:tc>
        <w:tc>
          <w:tcPr>
            <w:tcW w:w="329" w:type="pct"/>
          </w:tcPr>
          <w:p w14:paraId="628CD72B">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0.983</w:t>
            </w:r>
          </w:p>
        </w:tc>
        <w:tc>
          <w:tcPr>
            <w:tcW w:w="329" w:type="pct"/>
          </w:tcPr>
          <w:p w14:paraId="50277512">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3.95</w:t>
            </w:r>
          </w:p>
        </w:tc>
        <w:tc>
          <w:tcPr>
            <w:tcW w:w="329" w:type="pct"/>
          </w:tcPr>
          <w:p w14:paraId="14C31553">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1.45</w:t>
            </w:r>
          </w:p>
        </w:tc>
        <w:tc>
          <w:tcPr>
            <w:tcW w:w="329" w:type="pct"/>
          </w:tcPr>
          <w:p w14:paraId="1B15C63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14.0</w:t>
            </w:r>
          </w:p>
        </w:tc>
        <w:tc>
          <w:tcPr>
            <w:tcW w:w="329" w:type="pct"/>
          </w:tcPr>
          <w:p w14:paraId="2D61837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19.3</w:t>
            </w:r>
          </w:p>
        </w:tc>
        <w:tc>
          <w:tcPr>
            <w:tcW w:w="329" w:type="pct"/>
          </w:tcPr>
          <w:p w14:paraId="10FC7BF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19.4</w:t>
            </w:r>
          </w:p>
        </w:tc>
        <w:tc>
          <w:tcPr>
            <w:tcW w:w="329" w:type="pct"/>
          </w:tcPr>
          <w:p w14:paraId="412D6F0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13.3</w:t>
            </w:r>
          </w:p>
        </w:tc>
        <w:tc>
          <w:tcPr>
            <w:tcW w:w="329" w:type="pct"/>
          </w:tcPr>
          <w:p w14:paraId="070847E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19.6</w:t>
            </w:r>
          </w:p>
        </w:tc>
        <w:tc>
          <w:tcPr>
            <w:tcW w:w="329" w:type="pct"/>
          </w:tcPr>
          <w:p w14:paraId="63BAB71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12.7</w:t>
            </w:r>
          </w:p>
        </w:tc>
        <w:tc>
          <w:tcPr>
            <w:tcW w:w="329" w:type="pct"/>
          </w:tcPr>
          <w:p w14:paraId="0D0ECF3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w:t>
            </w:r>
          </w:p>
        </w:tc>
        <w:tc>
          <w:tcPr>
            <w:tcW w:w="390" w:type="pct"/>
            <w:tcBorders>
              <w:right w:val="single" w:color="000000" w:sz="10" w:space="0"/>
            </w:tcBorders>
          </w:tcPr>
          <w:p w14:paraId="0C302D00">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4AA60A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0A31B54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亚硝酸盐</w:t>
            </w:r>
          </w:p>
        </w:tc>
        <w:tc>
          <w:tcPr>
            <w:tcW w:w="329" w:type="pct"/>
          </w:tcPr>
          <w:p w14:paraId="3004110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＜0.016</w:t>
            </w:r>
          </w:p>
        </w:tc>
        <w:tc>
          <w:tcPr>
            <w:tcW w:w="329" w:type="pct"/>
          </w:tcPr>
          <w:p w14:paraId="270D0D49">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＜0.016</w:t>
            </w:r>
          </w:p>
        </w:tc>
        <w:tc>
          <w:tcPr>
            <w:tcW w:w="329" w:type="pct"/>
          </w:tcPr>
          <w:p w14:paraId="3AC36CA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＜0.016</w:t>
            </w:r>
          </w:p>
        </w:tc>
        <w:tc>
          <w:tcPr>
            <w:tcW w:w="329" w:type="pct"/>
          </w:tcPr>
          <w:p w14:paraId="762C3947">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0.069</w:t>
            </w:r>
          </w:p>
        </w:tc>
        <w:tc>
          <w:tcPr>
            <w:tcW w:w="329" w:type="pct"/>
          </w:tcPr>
          <w:p w14:paraId="199E473D">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＜0.016</w:t>
            </w:r>
          </w:p>
        </w:tc>
        <w:tc>
          <w:tcPr>
            <w:tcW w:w="329" w:type="pct"/>
          </w:tcPr>
          <w:p w14:paraId="681FBF1B">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＜0.016</w:t>
            </w:r>
          </w:p>
        </w:tc>
        <w:tc>
          <w:tcPr>
            <w:tcW w:w="329" w:type="pct"/>
          </w:tcPr>
          <w:p w14:paraId="24F367B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＜0.016</w:t>
            </w:r>
          </w:p>
        </w:tc>
        <w:tc>
          <w:tcPr>
            <w:tcW w:w="329" w:type="pct"/>
          </w:tcPr>
          <w:p w14:paraId="28DFC44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＜0.016</w:t>
            </w:r>
          </w:p>
        </w:tc>
        <w:tc>
          <w:tcPr>
            <w:tcW w:w="329" w:type="pct"/>
          </w:tcPr>
          <w:p w14:paraId="2B7ACDD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＜0.016</w:t>
            </w:r>
          </w:p>
        </w:tc>
        <w:tc>
          <w:tcPr>
            <w:tcW w:w="329" w:type="pct"/>
          </w:tcPr>
          <w:p w14:paraId="21375AF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＜0.016</w:t>
            </w:r>
          </w:p>
        </w:tc>
        <w:tc>
          <w:tcPr>
            <w:tcW w:w="329" w:type="pct"/>
          </w:tcPr>
          <w:p w14:paraId="63AA8A5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＜0.016</w:t>
            </w:r>
          </w:p>
        </w:tc>
        <w:tc>
          <w:tcPr>
            <w:tcW w:w="329" w:type="pct"/>
          </w:tcPr>
          <w:p w14:paraId="208A94D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＜0.016</w:t>
            </w:r>
          </w:p>
        </w:tc>
        <w:tc>
          <w:tcPr>
            <w:tcW w:w="329" w:type="pct"/>
          </w:tcPr>
          <w:p w14:paraId="7F7D808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90" w:type="pct"/>
            <w:tcBorders>
              <w:right w:val="single" w:color="000000" w:sz="10" w:space="0"/>
            </w:tcBorders>
          </w:tcPr>
          <w:p w14:paraId="0CB9B01D">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600773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5F00B6E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氟化物</w:t>
            </w:r>
          </w:p>
        </w:tc>
        <w:tc>
          <w:tcPr>
            <w:tcW w:w="329" w:type="pct"/>
          </w:tcPr>
          <w:p w14:paraId="39755C5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0.512</w:t>
            </w:r>
          </w:p>
        </w:tc>
        <w:tc>
          <w:tcPr>
            <w:tcW w:w="329" w:type="pct"/>
          </w:tcPr>
          <w:p w14:paraId="6665283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0.583</w:t>
            </w:r>
          </w:p>
        </w:tc>
        <w:tc>
          <w:tcPr>
            <w:tcW w:w="329" w:type="pct"/>
          </w:tcPr>
          <w:p w14:paraId="51C483F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0.373</w:t>
            </w:r>
          </w:p>
        </w:tc>
        <w:tc>
          <w:tcPr>
            <w:tcW w:w="329" w:type="pct"/>
          </w:tcPr>
          <w:p w14:paraId="7B06BD11">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0.551</w:t>
            </w:r>
          </w:p>
        </w:tc>
        <w:tc>
          <w:tcPr>
            <w:tcW w:w="329" w:type="pct"/>
          </w:tcPr>
          <w:p w14:paraId="4C90336E">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0.739</w:t>
            </w:r>
          </w:p>
        </w:tc>
        <w:tc>
          <w:tcPr>
            <w:tcW w:w="329" w:type="pct"/>
          </w:tcPr>
          <w:p w14:paraId="5311DF59">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0.468</w:t>
            </w:r>
          </w:p>
        </w:tc>
        <w:tc>
          <w:tcPr>
            <w:tcW w:w="329" w:type="pct"/>
          </w:tcPr>
          <w:p w14:paraId="6FB231B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0.651</w:t>
            </w:r>
          </w:p>
        </w:tc>
        <w:tc>
          <w:tcPr>
            <w:tcW w:w="329" w:type="pct"/>
          </w:tcPr>
          <w:p w14:paraId="222B531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0.403</w:t>
            </w:r>
          </w:p>
        </w:tc>
        <w:tc>
          <w:tcPr>
            <w:tcW w:w="329" w:type="pct"/>
          </w:tcPr>
          <w:p w14:paraId="73205A9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0.563</w:t>
            </w:r>
          </w:p>
        </w:tc>
        <w:tc>
          <w:tcPr>
            <w:tcW w:w="329" w:type="pct"/>
          </w:tcPr>
          <w:p w14:paraId="3B3F877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0.964</w:t>
            </w:r>
          </w:p>
        </w:tc>
        <w:tc>
          <w:tcPr>
            <w:tcW w:w="329" w:type="pct"/>
          </w:tcPr>
          <w:p w14:paraId="0F3D37A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0.394</w:t>
            </w:r>
          </w:p>
        </w:tc>
        <w:tc>
          <w:tcPr>
            <w:tcW w:w="329" w:type="pct"/>
          </w:tcPr>
          <w:p w14:paraId="3A8CBD7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0.509</w:t>
            </w:r>
          </w:p>
        </w:tc>
        <w:tc>
          <w:tcPr>
            <w:tcW w:w="329" w:type="pct"/>
          </w:tcPr>
          <w:p w14:paraId="444D2FC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90" w:type="pct"/>
            <w:tcBorders>
              <w:right w:val="single" w:color="000000" w:sz="10" w:space="0"/>
            </w:tcBorders>
          </w:tcPr>
          <w:p w14:paraId="602E01C9">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5254B0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18F376D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硫酸盐</w:t>
            </w:r>
          </w:p>
        </w:tc>
        <w:tc>
          <w:tcPr>
            <w:tcW w:w="329" w:type="pct"/>
          </w:tcPr>
          <w:p w14:paraId="4F23D6D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35.6</w:t>
            </w:r>
          </w:p>
        </w:tc>
        <w:tc>
          <w:tcPr>
            <w:tcW w:w="329" w:type="pct"/>
          </w:tcPr>
          <w:p w14:paraId="2CF71A0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23.9</w:t>
            </w:r>
          </w:p>
        </w:tc>
        <w:tc>
          <w:tcPr>
            <w:tcW w:w="329" w:type="pct"/>
          </w:tcPr>
          <w:p w14:paraId="1EAD6EE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25.3</w:t>
            </w:r>
          </w:p>
        </w:tc>
        <w:tc>
          <w:tcPr>
            <w:tcW w:w="329" w:type="pct"/>
          </w:tcPr>
          <w:p w14:paraId="7E848C40">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207</w:t>
            </w:r>
          </w:p>
        </w:tc>
        <w:tc>
          <w:tcPr>
            <w:tcW w:w="329" w:type="pct"/>
          </w:tcPr>
          <w:p w14:paraId="3E056883">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179</w:t>
            </w:r>
          </w:p>
        </w:tc>
        <w:tc>
          <w:tcPr>
            <w:tcW w:w="329" w:type="pct"/>
          </w:tcPr>
          <w:p w14:paraId="70874DC4">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165</w:t>
            </w:r>
          </w:p>
        </w:tc>
        <w:tc>
          <w:tcPr>
            <w:tcW w:w="329" w:type="pct"/>
          </w:tcPr>
          <w:p w14:paraId="11BF52C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23.7</w:t>
            </w:r>
          </w:p>
        </w:tc>
        <w:tc>
          <w:tcPr>
            <w:tcW w:w="329" w:type="pct"/>
          </w:tcPr>
          <w:p w14:paraId="73D7C92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40.7</w:t>
            </w:r>
          </w:p>
        </w:tc>
        <w:tc>
          <w:tcPr>
            <w:tcW w:w="329" w:type="pct"/>
          </w:tcPr>
          <w:p w14:paraId="384CB8B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96.5</w:t>
            </w:r>
          </w:p>
        </w:tc>
        <w:tc>
          <w:tcPr>
            <w:tcW w:w="329" w:type="pct"/>
          </w:tcPr>
          <w:p w14:paraId="7257B69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156</w:t>
            </w:r>
          </w:p>
        </w:tc>
        <w:tc>
          <w:tcPr>
            <w:tcW w:w="329" w:type="pct"/>
          </w:tcPr>
          <w:p w14:paraId="2A03FAA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54.9</w:t>
            </w:r>
          </w:p>
        </w:tc>
        <w:tc>
          <w:tcPr>
            <w:tcW w:w="329" w:type="pct"/>
          </w:tcPr>
          <w:p w14:paraId="75B4673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35.9</w:t>
            </w:r>
          </w:p>
        </w:tc>
        <w:tc>
          <w:tcPr>
            <w:tcW w:w="329" w:type="pct"/>
          </w:tcPr>
          <w:p w14:paraId="24E93EF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250</w:t>
            </w:r>
          </w:p>
        </w:tc>
        <w:tc>
          <w:tcPr>
            <w:tcW w:w="390" w:type="pct"/>
            <w:tcBorders>
              <w:right w:val="single" w:color="000000" w:sz="10" w:space="0"/>
            </w:tcBorders>
          </w:tcPr>
          <w:p w14:paraId="23215F60">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09F699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16155AA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铜</w:t>
            </w:r>
          </w:p>
        </w:tc>
        <w:tc>
          <w:tcPr>
            <w:tcW w:w="329" w:type="pct"/>
          </w:tcPr>
          <w:p w14:paraId="4C42B219">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35B73A3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5141B86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614C58DA">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w:t>
            </w:r>
          </w:p>
        </w:tc>
        <w:tc>
          <w:tcPr>
            <w:tcW w:w="329" w:type="pct"/>
          </w:tcPr>
          <w:p w14:paraId="48F992B0">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w:t>
            </w:r>
          </w:p>
        </w:tc>
        <w:tc>
          <w:tcPr>
            <w:tcW w:w="329" w:type="pct"/>
          </w:tcPr>
          <w:p w14:paraId="297D4E91">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w:t>
            </w:r>
          </w:p>
        </w:tc>
        <w:tc>
          <w:tcPr>
            <w:tcW w:w="329" w:type="pct"/>
          </w:tcPr>
          <w:p w14:paraId="473BE85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604D3F6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0E8523B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24B6DA4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15E17AC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062F6CE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64726AA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1000</w:t>
            </w:r>
          </w:p>
        </w:tc>
        <w:tc>
          <w:tcPr>
            <w:tcW w:w="390" w:type="pct"/>
            <w:tcBorders>
              <w:right w:val="single" w:color="000000" w:sz="10" w:space="0"/>
            </w:tcBorders>
          </w:tcPr>
          <w:p w14:paraId="14728F78">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129259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54640D5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锌</w:t>
            </w:r>
          </w:p>
        </w:tc>
        <w:tc>
          <w:tcPr>
            <w:tcW w:w="329" w:type="pct"/>
          </w:tcPr>
          <w:p w14:paraId="1D60B1C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0.53</w:t>
            </w:r>
          </w:p>
        </w:tc>
        <w:tc>
          <w:tcPr>
            <w:tcW w:w="329" w:type="pct"/>
          </w:tcPr>
          <w:p w14:paraId="2191CE3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329" w:type="pct"/>
          </w:tcPr>
          <w:p w14:paraId="71A16F3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329" w:type="pct"/>
          </w:tcPr>
          <w:p w14:paraId="5934A39D">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＜0.05</w:t>
            </w:r>
          </w:p>
        </w:tc>
        <w:tc>
          <w:tcPr>
            <w:tcW w:w="329" w:type="pct"/>
          </w:tcPr>
          <w:p w14:paraId="5375AA02">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＜0.05</w:t>
            </w:r>
          </w:p>
        </w:tc>
        <w:tc>
          <w:tcPr>
            <w:tcW w:w="329" w:type="pct"/>
          </w:tcPr>
          <w:p w14:paraId="6407DEC0">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＜0.05</w:t>
            </w:r>
          </w:p>
        </w:tc>
        <w:tc>
          <w:tcPr>
            <w:tcW w:w="329" w:type="pct"/>
          </w:tcPr>
          <w:p w14:paraId="1CF9454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329" w:type="pct"/>
          </w:tcPr>
          <w:p w14:paraId="21E4040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329" w:type="pct"/>
          </w:tcPr>
          <w:p w14:paraId="437C03D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329" w:type="pct"/>
          </w:tcPr>
          <w:p w14:paraId="07AD4EB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329" w:type="pct"/>
          </w:tcPr>
          <w:p w14:paraId="1EB2828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329" w:type="pct"/>
          </w:tcPr>
          <w:p w14:paraId="41453A2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＜0.05</w:t>
            </w:r>
          </w:p>
        </w:tc>
        <w:tc>
          <w:tcPr>
            <w:tcW w:w="329" w:type="pct"/>
          </w:tcPr>
          <w:p w14:paraId="17D5836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90" w:type="pct"/>
            <w:tcBorders>
              <w:right w:val="single" w:color="000000" w:sz="10" w:space="0"/>
            </w:tcBorders>
          </w:tcPr>
          <w:p w14:paraId="751DC819">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1E756B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8" w:hRule="atLeast"/>
        </w:trPr>
        <w:tc>
          <w:tcPr>
            <w:tcW w:w="333" w:type="pct"/>
            <w:tcBorders>
              <w:left w:val="single" w:color="000000" w:sz="10" w:space="0"/>
            </w:tcBorders>
          </w:tcPr>
          <w:p w14:paraId="1374C59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铅</w:t>
            </w:r>
          </w:p>
        </w:tc>
        <w:tc>
          <w:tcPr>
            <w:tcW w:w="329" w:type="pct"/>
          </w:tcPr>
          <w:p w14:paraId="01CCA69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29" w:type="pct"/>
          </w:tcPr>
          <w:p w14:paraId="2320CBC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29" w:type="pct"/>
          </w:tcPr>
          <w:p w14:paraId="3C37272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29" w:type="pct"/>
          </w:tcPr>
          <w:p w14:paraId="2AE4FB8D">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＜10</w:t>
            </w:r>
          </w:p>
        </w:tc>
        <w:tc>
          <w:tcPr>
            <w:tcW w:w="329" w:type="pct"/>
          </w:tcPr>
          <w:p w14:paraId="2D930C8B">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＜10</w:t>
            </w:r>
          </w:p>
        </w:tc>
        <w:tc>
          <w:tcPr>
            <w:tcW w:w="329" w:type="pct"/>
          </w:tcPr>
          <w:p w14:paraId="7D54EC6F">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＜10</w:t>
            </w:r>
          </w:p>
        </w:tc>
        <w:tc>
          <w:tcPr>
            <w:tcW w:w="329" w:type="pct"/>
          </w:tcPr>
          <w:p w14:paraId="3DFF6A8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29" w:type="pct"/>
          </w:tcPr>
          <w:p w14:paraId="0AA61E1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29" w:type="pct"/>
          </w:tcPr>
          <w:p w14:paraId="21DD7E4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29" w:type="pct"/>
          </w:tcPr>
          <w:p w14:paraId="4941169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29" w:type="pct"/>
          </w:tcPr>
          <w:p w14:paraId="610BB72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29" w:type="pct"/>
          </w:tcPr>
          <w:p w14:paraId="197E4463">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29" w:type="pct"/>
          </w:tcPr>
          <w:p w14:paraId="1C124F0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c>
          <w:tcPr>
            <w:tcW w:w="390" w:type="pct"/>
            <w:tcBorders>
              <w:right w:val="single" w:color="000000" w:sz="10" w:space="0"/>
            </w:tcBorders>
          </w:tcPr>
          <w:p w14:paraId="056F6B56">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17EF09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19B9567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镉</w:t>
            </w:r>
          </w:p>
        </w:tc>
        <w:tc>
          <w:tcPr>
            <w:tcW w:w="329" w:type="pct"/>
          </w:tcPr>
          <w:p w14:paraId="7636A2A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290B3DA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2F483CA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014BB37B">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w:t>
            </w:r>
          </w:p>
        </w:tc>
        <w:tc>
          <w:tcPr>
            <w:tcW w:w="329" w:type="pct"/>
          </w:tcPr>
          <w:p w14:paraId="50311CDF">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w:t>
            </w:r>
          </w:p>
        </w:tc>
        <w:tc>
          <w:tcPr>
            <w:tcW w:w="329" w:type="pct"/>
          </w:tcPr>
          <w:p w14:paraId="072D70C8">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＜1</w:t>
            </w:r>
          </w:p>
        </w:tc>
        <w:tc>
          <w:tcPr>
            <w:tcW w:w="329" w:type="pct"/>
          </w:tcPr>
          <w:p w14:paraId="754C587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0CEA7C5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1AB1B90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2F131E33">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0B7A654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718BBA4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1875B75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5</w:t>
            </w:r>
          </w:p>
        </w:tc>
        <w:tc>
          <w:tcPr>
            <w:tcW w:w="390" w:type="pct"/>
            <w:tcBorders>
              <w:right w:val="single" w:color="000000" w:sz="10" w:space="0"/>
            </w:tcBorders>
          </w:tcPr>
          <w:p w14:paraId="770863F1">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0E400D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485574C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铁</w:t>
            </w:r>
          </w:p>
        </w:tc>
        <w:tc>
          <w:tcPr>
            <w:tcW w:w="329" w:type="pct"/>
          </w:tcPr>
          <w:p w14:paraId="116E877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w:t>
            </w:r>
          </w:p>
        </w:tc>
        <w:tc>
          <w:tcPr>
            <w:tcW w:w="329" w:type="pct"/>
          </w:tcPr>
          <w:p w14:paraId="58505D9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w:t>
            </w:r>
          </w:p>
        </w:tc>
        <w:tc>
          <w:tcPr>
            <w:tcW w:w="329" w:type="pct"/>
          </w:tcPr>
          <w:p w14:paraId="1E223C0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w:t>
            </w:r>
          </w:p>
        </w:tc>
        <w:tc>
          <w:tcPr>
            <w:tcW w:w="329" w:type="pct"/>
          </w:tcPr>
          <w:p w14:paraId="22657C70">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＜0.03</w:t>
            </w:r>
          </w:p>
        </w:tc>
        <w:tc>
          <w:tcPr>
            <w:tcW w:w="329" w:type="pct"/>
          </w:tcPr>
          <w:p w14:paraId="2A638864">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＜0.03</w:t>
            </w:r>
          </w:p>
        </w:tc>
        <w:tc>
          <w:tcPr>
            <w:tcW w:w="329" w:type="pct"/>
          </w:tcPr>
          <w:p w14:paraId="4774248B">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＜0.03</w:t>
            </w:r>
          </w:p>
        </w:tc>
        <w:tc>
          <w:tcPr>
            <w:tcW w:w="329" w:type="pct"/>
          </w:tcPr>
          <w:p w14:paraId="4DAAB58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w:t>
            </w:r>
          </w:p>
        </w:tc>
        <w:tc>
          <w:tcPr>
            <w:tcW w:w="329" w:type="pct"/>
          </w:tcPr>
          <w:p w14:paraId="2902A50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w:t>
            </w:r>
          </w:p>
        </w:tc>
        <w:tc>
          <w:tcPr>
            <w:tcW w:w="329" w:type="pct"/>
          </w:tcPr>
          <w:p w14:paraId="6581E51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w:t>
            </w:r>
          </w:p>
        </w:tc>
        <w:tc>
          <w:tcPr>
            <w:tcW w:w="329" w:type="pct"/>
          </w:tcPr>
          <w:p w14:paraId="433EA49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w:t>
            </w:r>
          </w:p>
        </w:tc>
        <w:tc>
          <w:tcPr>
            <w:tcW w:w="329" w:type="pct"/>
          </w:tcPr>
          <w:p w14:paraId="553DB4C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w:t>
            </w:r>
          </w:p>
        </w:tc>
        <w:tc>
          <w:tcPr>
            <w:tcW w:w="329" w:type="pct"/>
          </w:tcPr>
          <w:p w14:paraId="3B4E559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＜0.03</w:t>
            </w:r>
          </w:p>
        </w:tc>
        <w:tc>
          <w:tcPr>
            <w:tcW w:w="329" w:type="pct"/>
          </w:tcPr>
          <w:p w14:paraId="4737883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0.3</w:t>
            </w:r>
          </w:p>
        </w:tc>
        <w:tc>
          <w:tcPr>
            <w:tcW w:w="390" w:type="pct"/>
            <w:tcBorders>
              <w:right w:val="single" w:color="000000" w:sz="10" w:space="0"/>
            </w:tcBorders>
          </w:tcPr>
          <w:p w14:paraId="3872269C">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6CBB70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4A42B35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锰</w:t>
            </w:r>
          </w:p>
        </w:tc>
        <w:tc>
          <w:tcPr>
            <w:tcW w:w="329" w:type="pct"/>
          </w:tcPr>
          <w:p w14:paraId="7BE82E0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w:t>
            </w:r>
          </w:p>
        </w:tc>
        <w:tc>
          <w:tcPr>
            <w:tcW w:w="329" w:type="pct"/>
          </w:tcPr>
          <w:p w14:paraId="153BDA8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w:t>
            </w:r>
          </w:p>
        </w:tc>
        <w:tc>
          <w:tcPr>
            <w:tcW w:w="329" w:type="pct"/>
          </w:tcPr>
          <w:p w14:paraId="343B483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w:t>
            </w:r>
          </w:p>
        </w:tc>
        <w:tc>
          <w:tcPr>
            <w:tcW w:w="329" w:type="pct"/>
          </w:tcPr>
          <w:p w14:paraId="614EDB72">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＜0.01</w:t>
            </w:r>
          </w:p>
        </w:tc>
        <w:tc>
          <w:tcPr>
            <w:tcW w:w="329" w:type="pct"/>
          </w:tcPr>
          <w:p w14:paraId="2945805A">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＜0.01</w:t>
            </w:r>
          </w:p>
        </w:tc>
        <w:tc>
          <w:tcPr>
            <w:tcW w:w="329" w:type="pct"/>
          </w:tcPr>
          <w:p w14:paraId="6A59D1A9">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＜0.01</w:t>
            </w:r>
          </w:p>
        </w:tc>
        <w:tc>
          <w:tcPr>
            <w:tcW w:w="329" w:type="pct"/>
          </w:tcPr>
          <w:p w14:paraId="12CD3FD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w:t>
            </w:r>
          </w:p>
        </w:tc>
        <w:tc>
          <w:tcPr>
            <w:tcW w:w="329" w:type="pct"/>
          </w:tcPr>
          <w:p w14:paraId="6717408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w:t>
            </w:r>
          </w:p>
        </w:tc>
        <w:tc>
          <w:tcPr>
            <w:tcW w:w="329" w:type="pct"/>
          </w:tcPr>
          <w:p w14:paraId="0214171A">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w:t>
            </w:r>
          </w:p>
        </w:tc>
        <w:tc>
          <w:tcPr>
            <w:tcW w:w="329" w:type="pct"/>
          </w:tcPr>
          <w:p w14:paraId="57C6E48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w:t>
            </w:r>
          </w:p>
        </w:tc>
        <w:tc>
          <w:tcPr>
            <w:tcW w:w="329" w:type="pct"/>
          </w:tcPr>
          <w:p w14:paraId="043B30E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w:t>
            </w:r>
          </w:p>
        </w:tc>
        <w:tc>
          <w:tcPr>
            <w:tcW w:w="329" w:type="pct"/>
          </w:tcPr>
          <w:p w14:paraId="6DD0989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＜0.01</w:t>
            </w:r>
          </w:p>
        </w:tc>
        <w:tc>
          <w:tcPr>
            <w:tcW w:w="329" w:type="pct"/>
          </w:tcPr>
          <w:p w14:paraId="767A9DF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0.1</w:t>
            </w:r>
          </w:p>
        </w:tc>
        <w:tc>
          <w:tcPr>
            <w:tcW w:w="390" w:type="pct"/>
            <w:tcBorders>
              <w:right w:val="single" w:color="000000" w:sz="10" w:space="0"/>
            </w:tcBorders>
          </w:tcPr>
          <w:p w14:paraId="5909EC4F">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136CFC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6DE0B48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六价铬</w:t>
            </w:r>
          </w:p>
        </w:tc>
        <w:tc>
          <w:tcPr>
            <w:tcW w:w="329" w:type="pct"/>
          </w:tcPr>
          <w:p w14:paraId="607BD14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c>
          <w:tcPr>
            <w:tcW w:w="329" w:type="pct"/>
          </w:tcPr>
          <w:p w14:paraId="0917757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c>
          <w:tcPr>
            <w:tcW w:w="329" w:type="pct"/>
          </w:tcPr>
          <w:p w14:paraId="640241A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c>
          <w:tcPr>
            <w:tcW w:w="329" w:type="pct"/>
          </w:tcPr>
          <w:p w14:paraId="459E75D2">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＜0.004</w:t>
            </w:r>
          </w:p>
        </w:tc>
        <w:tc>
          <w:tcPr>
            <w:tcW w:w="329" w:type="pct"/>
          </w:tcPr>
          <w:p w14:paraId="6B1AC94F">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＜0.004</w:t>
            </w:r>
          </w:p>
        </w:tc>
        <w:tc>
          <w:tcPr>
            <w:tcW w:w="329" w:type="pct"/>
          </w:tcPr>
          <w:p w14:paraId="7DA9DB99">
            <w:pPr>
              <w:spacing w:before="81" w:line="240" w:lineRule="auto"/>
              <w:ind w:firstLine="0" w:firstLineChars="0"/>
              <w:jc w:val="center"/>
              <w:rPr>
                <w:rFonts w:cs="Arial"/>
                <w:snapToGrid w:val="0"/>
                <w:color w:val="000000"/>
                <w:kern w:val="0"/>
                <w:sz w:val="21"/>
                <w:szCs w:val="21"/>
              </w:rPr>
            </w:pPr>
            <w:r>
              <w:rPr>
                <w:rFonts w:cstheme="minorBidi"/>
                <w:snapToGrid w:val="0"/>
                <w:color w:val="000000"/>
                <w:kern w:val="0"/>
                <w:sz w:val="21"/>
                <w:szCs w:val="21"/>
              </w:rPr>
              <w:t>＜0.004</w:t>
            </w:r>
          </w:p>
        </w:tc>
        <w:tc>
          <w:tcPr>
            <w:tcW w:w="329" w:type="pct"/>
          </w:tcPr>
          <w:p w14:paraId="785A7F2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c>
          <w:tcPr>
            <w:tcW w:w="329" w:type="pct"/>
          </w:tcPr>
          <w:p w14:paraId="42CDF8A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c>
          <w:tcPr>
            <w:tcW w:w="329" w:type="pct"/>
          </w:tcPr>
          <w:p w14:paraId="72C8082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c>
          <w:tcPr>
            <w:tcW w:w="329" w:type="pct"/>
          </w:tcPr>
          <w:p w14:paraId="7EED03C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c>
          <w:tcPr>
            <w:tcW w:w="329" w:type="pct"/>
          </w:tcPr>
          <w:p w14:paraId="65B6B3D8">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c>
          <w:tcPr>
            <w:tcW w:w="329" w:type="pct"/>
          </w:tcPr>
          <w:p w14:paraId="2D1E5B7B">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＜0.004</w:t>
            </w:r>
          </w:p>
        </w:tc>
        <w:tc>
          <w:tcPr>
            <w:tcW w:w="329" w:type="pct"/>
          </w:tcPr>
          <w:p w14:paraId="00A85AC0">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0.005</w:t>
            </w:r>
          </w:p>
        </w:tc>
        <w:tc>
          <w:tcPr>
            <w:tcW w:w="390" w:type="pct"/>
            <w:tcBorders>
              <w:right w:val="single" w:color="000000" w:sz="10" w:space="0"/>
            </w:tcBorders>
          </w:tcPr>
          <w:p w14:paraId="55AE1BCA">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724F65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333" w:type="pct"/>
            <w:tcBorders>
              <w:left w:val="single" w:color="000000" w:sz="10" w:space="0"/>
            </w:tcBorders>
          </w:tcPr>
          <w:p w14:paraId="571B256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菌落总数</w:t>
            </w:r>
          </w:p>
        </w:tc>
        <w:tc>
          <w:tcPr>
            <w:tcW w:w="329" w:type="pct"/>
          </w:tcPr>
          <w:p w14:paraId="4776A62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23</w:t>
            </w:r>
          </w:p>
        </w:tc>
        <w:tc>
          <w:tcPr>
            <w:tcW w:w="329" w:type="pct"/>
          </w:tcPr>
          <w:p w14:paraId="2DD1EA4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16</w:t>
            </w:r>
          </w:p>
        </w:tc>
        <w:tc>
          <w:tcPr>
            <w:tcW w:w="329" w:type="pct"/>
          </w:tcPr>
          <w:p w14:paraId="6916A9F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w:t>
            </w:r>
          </w:p>
        </w:tc>
        <w:tc>
          <w:tcPr>
            <w:tcW w:w="329" w:type="pct"/>
          </w:tcPr>
          <w:p w14:paraId="2584788D">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21</w:t>
            </w:r>
          </w:p>
        </w:tc>
        <w:tc>
          <w:tcPr>
            <w:tcW w:w="329" w:type="pct"/>
          </w:tcPr>
          <w:p w14:paraId="661175B0">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38</w:t>
            </w:r>
          </w:p>
        </w:tc>
        <w:tc>
          <w:tcPr>
            <w:tcW w:w="329" w:type="pct"/>
          </w:tcPr>
          <w:p w14:paraId="46DCD12E">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36</w:t>
            </w:r>
          </w:p>
        </w:tc>
        <w:tc>
          <w:tcPr>
            <w:tcW w:w="329" w:type="pct"/>
          </w:tcPr>
          <w:p w14:paraId="2051AF4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22</w:t>
            </w:r>
          </w:p>
        </w:tc>
        <w:tc>
          <w:tcPr>
            <w:tcW w:w="329" w:type="pct"/>
          </w:tcPr>
          <w:p w14:paraId="78BECB6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25</w:t>
            </w:r>
          </w:p>
        </w:tc>
        <w:tc>
          <w:tcPr>
            <w:tcW w:w="329" w:type="pct"/>
          </w:tcPr>
          <w:p w14:paraId="4A8F061D">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21</w:t>
            </w:r>
          </w:p>
        </w:tc>
        <w:tc>
          <w:tcPr>
            <w:tcW w:w="329" w:type="pct"/>
          </w:tcPr>
          <w:p w14:paraId="6BEA6791">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14</w:t>
            </w:r>
          </w:p>
        </w:tc>
        <w:tc>
          <w:tcPr>
            <w:tcW w:w="329" w:type="pct"/>
          </w:tcPr>
          <w:p w14:paraId="1A940822">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17</w:t>
            </w:r>
          </w:p>
        </w:tc>
        <w:tc>
          <w:tcPr>
            <w:tcW w:w="329" w:type="pct"/>
          </w:tcPr>
          <w:p w14:paraId="3C08CDE7">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19</w:t>
            </w:r>
          </w:p>
        </w:tc>
        <w:tc>
          <w:tcPr>
            <w:tcW w:w="329" w:type="pct"/>
          </w:tcPr>
          <w:p w14:paraId="38CFF0A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100</w:t>
            </w:r>
          </w:p>
        </w:tc>
        <w:tc>
          <w:tcPr>
            <w:tcW w:w="390" w:type="pct"/>
            <w:tcBorders>
              <w:right w:val="single" w:color="000000" w:sz="10" w:space="0"/>
            </w:tcBorders>
          </w:tcPr>
          <w:p w14:paraId="1C513448">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r w14:paraId="0D4A70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3" w:hRule="atLeast"/>
        </w:trPr>
        <w:tc>
          <w:tcPr>
            <w:tcW w:w="333" w:type="pct"/>
            <w:tcBorders>
              <w:left w:val="single" w:color="000000" w:sz="10" w:space="0"/>
            </w:tcBorders>
          </w:tcPr>
          <w:p w14:paraId="6AEE2F2F">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总大肠菌 群</w:t>
            </w:r>
          </w:p>
        </w:tc>
        <w:tc>
          <w:tcPr>
            <w:tcW w:w="329" w:type="pct"/>
          </w:tcPr>
          <w:p w14:paraId="4E9513C9">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4824EDA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w:t>
            </w:r>
          </w:p>
        </w:tc>
        <w:tc>
          <w:tcPr>
            <w:tcW w:w="329" w:type="pct"/>
          </w:tcPr>
          <w:p w14:paraId="4BBDB4CC">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47CDD87D">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0</w:t>
            </w:r>
          </w:p>
        </w:tc>
        <w:tc>
          <w:tcPr>
            <w:tcW w:w="329" w:type="pct"/>
          </w:tcPr>
          <w:p w14:paraId="3EF72035">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1</w:t>
            </w:r>
          </w:p>
        </w:tc>
        <w:tc>
          <w:tcPr>
            <w:tcW w:w="329" w:type="pct"/>
          </w:tcPr>
          <w:p w14:paraId="299B6134">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1</w:t>
            </w:r>
          </w:p>
        </w:tc>
        <w:tc>
          <w:tcPr>
            <w:tcW w:w="329" w:type="pct"/>
          </w:tcPr>
          <w:p w14:paraId="48ECDA7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4185C12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434FB84E">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645E5895">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w:t>
            </w:r>
          </w:p>
        </w:tc>
        <w:tc>
          <w:tcPr>
            <w:tcW w:w="329" w:type="pct"/>
          </w:tcPr>
          <w:p w14:paraId="12793A9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w:t>
            </w:r>
          </w:p>
        </w:tc>
        <w:tc>
          <w:tcPr>
            <w:tcW w:w="329" w:type="pct"/>
          </w:tcPr>
          <w:p w14:paraId="4FC8E933">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w:t>
            </w:r>
          </w:p>
        </w:tc>
        <w:tc>
          <w:tcPr>
            <w:tcW w:w="329" w:type="pct"/>
          </w:tcPr>
          <w:p w14:paraId="69A73486">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3.0</w:t>
            </w:r>
          </w:p>
        </w:tc>
        <w:tc>
          <w:tcPr>
            <w:tcW w:w="390" w:type="pct"/>
            <w:tcBorders>
              <w:right w:val="single" w:color="000000" w:sz="10" w:space="0"/>
            </w:tcBorders>
          </w:tcPr>
          <w:p w14:paraId="4E96E134">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达标</w:t>
            </w:r>
          </w:p>
        </w:tc>
      </w:tr>
    </w:tbl>
    <w:p w14:paraId="5D0C911B">
      <w:pPr>
        <w:ind w:firstLine="480"/>
        <w:rPr>
          <w:b/>
        </w:rPr>
      </w:pPr>
      <w:bookmarkStart w:id="42" w:name="_Hlk61362380"/>
      <w:r>
        <w:rPr>
          <w:rFonts w:hint="eastAsia" w:cs="Times New Roman"/>
          <w:szCs w:val="28"/>
        </w:rPr>
        <w:t>通过与环评、验收监测地下水水质监测数据对比结果可知，后评价阶段各监测点位监测期间的监测结果与环评、验收监测时监测结果变化不明显，各监测因子均达到《地下水质量标准》（GB/T 14848-2017）Ⅲ类标准限值要求。</w:t>
      </w:r>
      <w:bookmarkEnd w:id="42"/>
    </w:p>
    <w:p w14:paraId="51D4CD48">
      <w:pPr>
        <w:widowControl/>
        <w:ind w:firstLine="480"/>
        <w:jc w:val="left"/>
        <w:rPr>
          <w:kern w:val="0"/>
          <w:szCs w:val="24"/>
        </w:rPr>
        <w:sectPr>
          <w:pgSz w:w="16838" w:h="11906" w:orient="landscape"/>
          <w:pgMar w:top="1797" w:right="1440" w:bottom="1797" w:left="1440" w:header="964" w:footer="850" w:gutter="0"/>
          <w:cols w:space="720" w:num="1"/>
          <w:docGrid w:linePitch="326" w:charSpace="0"/>
        </w:sectPr>
      </w:pPr>
    </w:p>
    <w:p w14:paraId="471E38FD">
      <w:pPr>
        <w:keepNext/>
        <w:keepLines/>
        <w:spacing w:before="260" w:after="260" w:line="415" w:lineRule="auto"/>
        <w:ind w:firstLine="0" w:firstLineChars="0"/>
        <w:jc w:val="left"/>
        <w:outlineLvl w:val="2"/>
        <w:rPr>
          <w:b/>
          <w:bCs/>
          <w:sz w:val="28"/>
          <w:szCs w:val="32"/>
        </w:rPr>
      </w:pPr>
      <w:r>
        <w:rPr>
          <w:rFonts w:hint="eastAsia"/>
          <w:b/>
          <w:bCs/>
          <w:sz w:val="28"/>
          <w:szCs w:val="32"/>
        </w:rPr>
        <w:t>4.4.4</w:t>
      </w:r>
      <w:r>
        <w:rPr>
          <w:b/>
          <w:bCs/>
          <w:sz w:val="28"/>
          <w:szCs w:val="32"/>
        </w:rPr>
        <w:t xml:space="preserve"> </w:t>
      </w:r>
      <w:r>
        <w:rPr>
          <w:rFonts w:hint="eastAsia"/>
          <w:b/>
          <w:bCs/>
          <w:sz w:val="28"/>
          <w:szCs w:val="32"/>
        </w:rPr>
        <w:t>声环境质量现状及变化分析</w:t>
      </w:r>
    </w:p>
    <w:p w14:paraId="28DB6363">
      <w:pPr>
        <w:widowControl/>
        <w:ind w:firstLine="480"/>
        <w:jc w:val="left"/>
        <w:rPr>
          <w:rFonts w:cs="Times New Roman"/>
          <w:kern w:val="0"/>
          <w:szCs w:val="24"/>
        </w:rPr>
      </w:pPr>
      <w:r>
        <w:rPr>
          <w:rFonts w:cs="Times New Roman"/>
          <w:kern w:val="0"/>
          <w:szCs w:val="24"/>
        </w:rPr>
        <w:t>声环境现状监测引用安徽金安矿业有限公司例行监测中声环境现状监测数据， 监测时间为 202</w:t>
      </w:r>
      <w:r>
        <w:rPr>
          <w:rFonts w:hint="eastAsia" w:cs="Times New Roman"/>
          <w:kern w:val="0"/>
          <w:szCs w:val="24"/>
        </w:rPr>
        <w:t>3</w:t>
      </w:r>
      <w:r>
        <w:rPr>
          <w:rFonts w:cs="Times New Roman"/>
          <w:kern w:val="0"/>
          <w:szCs w:val="24"/>
        </w:rPr>
        <w:t xml:space="preserve"> 年 </w:t>
      </w:r>
      <w:r>
        <w:rPr>
          <w:rFonts w:hint="eastAsia" w:cs="Times New Roman"/>
          <w:kern w:val="0"/>
          <w:szCs w:val="24"/>
        </w:rPr>
        <w:t>5</w:t>
      </w:r>
      <w:r>
        <w:rPr>
          <w:rFonts w:cs="Times New Roman"/>
          <w:kern w:val="0"/>
          <w:szCs w:val="24"/>
        </w:rPr>
        <w:t xml:space="preserve"> 月 </w:t>
      </w:r>
      <w:r>
        <w:rPr>
          <w:rFonts w:hint="eastAsia" w:cs="Times New Roman"/>
          <w:kern w:val="0"/>
          <w:szCs w:val="24"/>
        </w:rPr>
        <w:t>8</w:t>
      </w:r>
      <w:r>
        <w:rPr>
          <w:rFonts w:cs="Times New Roman"/>
          <w:kern w:val="0"/>
          <w:szCs w:val="24"/>
        </w:rPr>
        <w:t xml:space="preserve"> 日。监测报告见附件。</w:t>
      </w:r>
    </w:p>
    <w:p w14:paraId="03809127">
      <w:pPr>
        <w:widowControl/>
        <w:ind w:firstLine="480"/>
        <w:jc w:val="left"/>
        <w:rPr>
          <w:rFonts w:cs="Times New Roman"/>
          <w:kern w:val="0"/>
          <w:szCs w:val="24"/>
        </w:rPr>
      </w:pPr>
      <w:r>
        <w:rPr>
          <w:rFonts w:cs="Times New Roman"/>
          <w:kern w:val="0"/>
          <w:szCs w:val="24"/>
        </w:rPr>
        <w:t>（1）监测点位</w:t>
      </w:r>
    </w:p>
    <w:p w14:paraId="764D43E1">
      <w:pPr>
        <w:widowControl/>
        <w:ind w:firstLine="480"/>
        <w:jc w:val="left"/>
        <w:rPr>
          <w:rFonts w:cs="Times New Roman"/>
          <w:kern w:val="0"/>
          <w:szCs w:val="24"/>
        </w:rPr>
      </w:pPr>
      <w:r>
        <w:rPr>
          <w:rFonts w:cs="Times New Roman"/>
          <w:kern w:val="0"/>
          <w:szCs w:val="24"/>
        </w:rPr>
        <w:t xml:space="preserve">共设置 </w:t>
      </w:r>
      <w:r>
        <w:rPr>
          <w:rFonts w:hint="eastAsia" w:cs="Times New Roman"/>
          <w:kern w:val="0"/>
          <w:szCs w:val="24"/>
        </w:rPr>
        <w:t>6</w:t>
      </w:r>
      <w:r>
        <w:rPr>
          <w:rFonts w:cs="Times New Roman"/>
          <w:kern w:val="0"/>
          <w:szCs w:val="24"/>
        </w:rPr>
        <w:t>个声环境监测点。</w:t>
      </w:r>
    </w:p>
    <w:p w14:paraId="0D321038">
      <w:pPr>
        <w:ind w:firstLine="0" w:firstLineChars="0"/>
        <w:jc w:val="center"/>
        <w:rPr>
          <w:b/>
        </w:rPr>
      </w:pPr>
      <w:r>
        <w:rPr>
          <w:b/>
        </w:rPr>
        <w:t>表 4.4-1</w:t>
      </w:r>
      <w:r>
        <w:rPr>
          <w:rFonts w:hint="eastAsia"/>
          <w:b/>
        </w:rPr>
        <w:t>1</w:t>
      </w:r>
      <w:r>
        <w:rPr>
          <w:b/>
        </w:rPr>
        <w:t xml:space="preserve">  声环境敏感点一览表</w:t>
      </w:r>
    </w:p>
    <w:tbl>
      <w:tblPr>
        <w:tblStyle w:val="139"/>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171"/>
        <w:gridCol w:w="4157"/>
      </w:tblGrid>
      <w:tr w14:paraId="088821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2504" w:type="pct"/>
            <w:tcBorders>
              <w:left w:val="single" w:color="000000" w:sz="10" w:space="0"/>
            </w:tcBorders>
          </w:tcPr>
          <w:p w14:paraId="54A4E306">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编号</w:t>
            </w:r>
          </w:p>
        </w:tc>
        <w:tc>
          <w:tcPr>
            <w:tcW w:w="2496" w:type="pct"/>
          </w:tcPr>
          <w:p w14:paraId="54A63D3D">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噪声监测点位名称</w:t>
            </w:r>
          </w:p>
        </w:tc>
      </w:tr>
      <w:tr w14:paraId="1D7010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504" w:type="pct"/>
            <w:tcBorders>
              <w:left w:val="single" w:color="000000" w:sz="10" w:space="0"/>
            </w:tcBorders>
          </w:tcPr>
          <w:p w14:paraId="6983C5B9">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N1</w:t>
            </w:r>
          </w:p>
        </w:tc>
        <w:tc>
          <w:tcPr>
            <w:tcW w:w="2496" w:type="pct"/>
          </w:tcPr>
          <w:p w14:paraId="7F453786">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厂界东侧</w:t>
            </w:r>
          </w:p>
        </w:tc>
      </w:tr>
      <w:tr w14:paraId="18AF20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2504" w:type="pct"/>
            <w:tcBorders>
              <w:left w:val="single" w:color="000000" w:sz="10" w:space="0"/>
            </w:tcBorders>
          </w:tcPr>
          <w:p w14:paraId="6F324204">
            <w:pPr>
              <w:spacing w:before="81"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N2</w:t>
            </w:r>
          </w:p>
        </w:tc>
        <w:tc>
          <w:tcPr>
            <w:tcW w:w="2496" w:type="pct"/>
          </w:tcPr>
          <w:p w14:paraId="761B844B">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厂界南侧</w:t>
            </w:r>
          </w:p>
        </w:tc>
      </w:tr>
      <w:tr w14:paraId="208290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2504" w:type="pct"/>
            <w:tcBorders>
              <w:left w:val="single" w:color="000000" w:sz="10" w:space="0"/>
            </w:tcBorders>
          </w:tcPr>
          <w:p w14:paraId="4FABE479">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N3</w:t>
            </w:r>
          </w:p>
        </w:tc>
        <w:tc>
          <w:tcPr>
            <w:tcW w:w="2496" w:type="pct"/>
          </w:tcPr>
          <w:p w14:paraId="1068D365">
            <w:pPr>
              <w:spacing w:before="81" w:line="240" w:lineRule="auto"/>
              <w:ind w:firstLine="0" w:firstLineChars="0"/>
              <w:jc w:val="center"/>
              <w:rPr>
                <w:rFonts w:cs="Arial"/>
                <w:snapToGrid w:val="0"/>
                <w:color w:val="000000"/>
                <w:kern w:val="0"/>
                <w:sz w:val="21"/>
                <w:szCs w:val="21"/>
              </w:rPr>
            </w:pPr>
            <w:r>
              <w:rPr>
                <w:rFonts w:hint="eastAsia" w:cstheme="minorBidi"/>
                <w:snapToGrid w:val="0"/>
                <w:color w:val="000000"/>
                <w:kern w:val="0"/>
                <w:sz w:val="21"/>
                <w:szCs w:val="21"/>
              </w:rPr>
              <w:t>厂界西侧</w:t>
            </w:r>
          </w:p>
        </w:tc>
      </w:tr>
      <w:tr w14:paraId="07C7FA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2504" w:type="pct"/>
            <w:tcBorders>
              <w:left w:val="single" w:color="000000" w:sz="10" w:space="0"/>
            </w:tcBorders>
          </w:tcPr>
          <w:p w14:paraId="6F2969F4">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N4</w:t>
            </w:r>
          </w:p>
        </w:tc>
        <w:tc>
          <w:tcPr>
            <w:tcW w:w="2496" w:type="pct"/>
          </w:tcPr>
          <w:p w14:paraId="22D2B073">
            <w:pPr>
              <w:spacing w:before="81" w:line="240" w:lineRule="auto"/>
              <w:ind w:firstLine="0" w:firstLineChars="0"/>
              <w:jc w:val="center"/>
              <w:rPr>
                <w:rFonts w:cs="Arial"/>
                <w:snapToGrid w:val="0"/>
                <w:color w:val="000000"/>
                <w:kern w:val="0"/>
                <w:sz w:val="21"/>
                <w:szCs w:val="21"/>
              </w:rPr>
            </w:pPr>
            <w:r>
              <w:rPr>
                <w:rFonts w:hint="eastAsia" w:cstheme="minorBidi"/>
                <w:snapToGrid w:val="0"/>
                <w:color w:val="000000"/>
                <w:kern w:val="0"/>
                <w:sz w:val="21"/>
                <w:szCs w:val="21"/>
              </w:rPr>
              <w:t>厂界北侧</w:t>
            </w:r>
          </w:p>
        </w:tc>
      </w:tr>
      <w:tr w14:paraId="09EE82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2504" w:type="pct"/>
            <w:tcBorders>
              <w:left w:val="single" w:color="000000" w:sz="10" w:space="0"/>
            </w:tcBorders>
          </w:tcPr>
          <w:p w14:paraId="629469AD">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N5</w:t>
            </w:r>
          </w:p>
        </w:tc>
        <w:tc>
          <w:tcPr>
            <w:tcW w:w="2496" w:type="pct"/>
          </w:tcPr>
          <w:p w14:paraId="72A6F413">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孟家前楼</w:t>
            </w:r>
          </w:p>
        </w:tc>
      </w:tr>
      <w:tr w14:paraId="1667AC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2504" w:type="pct"/>
            <w:tcBorders>
              <w:left w:val="single" w:color="000000" w:sz="10" w:space="0"/>
            </w:tcBorders>
          </w:tcPr>
          <w:p w14:paraId="7459967E">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N6</w:t>
            </w:r>
          </w:p>
        </w:tc>
        <w:tc>
          <w:tcPr>
            <w:tcW w:w="2496" w:type="pct"/>
          </w:tcPr>
          <w:p w14:paraId="2BEF4CF2">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薛圩</w:t>
            </w:r>
          </w:p>
        </w:tc>
      </w:tr>
    </w:tbl>
    <w:p w14:paraId="7BFDD7F7">
      <w:pPr>
        <w:widowControl/>
        <w:ind w:firstLine="480"/>
        <w:jc w:val="left"/>
        <w:rPr>
          <w:rFonts w:cs="Times New Roman"/>
          <w:kern w:val="0"/>
          <w:szCs w:val="24"/>
        </w:rPr>
      </w:pPr>
      <w:r>
        <w:rPr>
          <w:rFonts w:cs="Times New Roman"/>
          <w:kern w:val="0"/>
          <w:szCs w:val="24"/>
        </w:rPr>
        <w:t>（2）监测项目</w:t>
      </w:r>
    </w:p>
    <w:p w14:paraId="54530681">
      <w:pPr>
        <w:widowControl/>
        <w:ind w:firstLine="480"/>
        <w:jc w:val="left"/>
        <w:rPr>
          <w:rFonts w:cs="Times New Roman"/>
          <w:kern w:val="0"/>
          <w:szCs w:val="24"/>
        </w:rPr>
      </w:pPr>
      <w:r>
        <w:rPr>
          <w:rFonts w:cs="Times New Roman"/>
          <w:kern w:val="0"/>
          <w:szCs w:val="24"/>
        </w:rPr>
        <w:t>昼间和夜间等效 A 声级 Leq。</w:t>
      </w:r>
    </w:p>
    <w:p w14:paraId="102D72BC">
      <w:pPr>
        <w:widowControl/>
        <w:ind w:firstLine="480"/>
        <w:jc w:val="left"/>
        <w:rPr>
          <w:rFonts w:cs="Times New Roman"/>
          <w:kern w:val="0"/>
          <w:szCs w:val="24"/>
        </w:rPr>
      </w:pPr>
      <w:r>
        <w:rPr>
          <w:rFonts w:cs="Times New Roman"/>
          <w:kern w:val="0"/>
          <w:szCs w:val="24"/>
        </w:rPr>
        <w:t>（3）监测时间及频次</w:t>
      </w:r>
    </w:p>
    <w:p w14:paraId="3A97510B">
      <w:pPr>
        <w:widowControl/>
        <w:ind w:firstLine="480"/>
        <w:jc w:val="left"/>
        <w:rPr>
          <w:rFonts w:cs="Times New Roman"/>
          <w:kern w:val="0"/>
          <w:szCs w:val="24"/>
        </w:rPr>
      </w:pPr>
      <w:r>
        <w:rPr>
          <w:rFonts w:cs="Times New Roman"/>
          <w:kern w:val="0"/>
          <w:szCs w:val="24"/>
        </w:rPr>
        <w:t>监测时间：监测 1 天</w:t>
      </w:r>
    </w:p>
    <w:p w14:paraId="7269B26F">
      <w:pPr>
        <w:widowControl/>
        <w:ind w:firstLine="480"/>
        <w:jc w:val="left"/>
        <w:rPr>
          <w:rFonts w:cs="Times New Roman"/>
          <w:kern w:val="0"/>
          <w:szCs w:val="24"/>
        </w:rPr>
      </w:pPr>
      <w:r>
        <w:rPr>
          <w:rFonts w:cs="Times New Roman"/>
          <w:kern w:val="0"/>
          <w:szCs w:val="24"/>
        </w:rPr>
        <w:t xml:space="preserve">测量频次：每天昼间（06:00～22:00）、夜间（22:00~06:00）各监测一次。 </w:t>
      </w:r>
    </w:p>
    <w:p w14:paraId="5A0CD60E">
      <w:pPr>
        <w:widowControl/>
        <w:ind w:firstLine="480"/>
        <w:jc w:val="left"/>
        <w:rPr>
          <w:rFonts w:cs="Times New Roman"/>
          <w:kern w:val="0"/>
          <w:szCs w:val="24"/>
        </w:rPr>
      </w:pPr>
      <w:r>
        <w:rPr>
          <w:rFonts w:cs="Times New Roman"/>
          <w:kern w:val="0"/>
          <w:szCs w:val="24"/>
        </w:rPr>
        <w:t>（4）采样分析方法</w:t>
      </w:r>
    </w:p>
    <w:p w14:paraId="02E0C024">
      <w:pPr>
        <w:widowControl/>
        <w:ind w:firstLine="480"/>
        <w:jc w:val="left"/>
        <w:rPr>
          <w:rFonts w:cs="Times New Roman"/>
          <w:kern w:val="0"/>
          <w:szCs w:val="24"/>
        </w:rPr>
      </w:pPr>
      <w:r>
        <w:rPr>
          <w:rFonts w:cs="Times New Roman"/>
          <w:kern w:val="0"/>
          <w:szCs w:val="24"/>
        </w:rPr>
        <w:t>数据监测分别按《声环境质量标准》  （GB3096-2008）中要求的测量方法进行。对于非稳态、非周期性噪声影响较大的测点，适当延长测量时间，并作相应记录。</w:t>
      </w:r>
    </w:p>
    <w:p w14:paraId="0337CE25">
      <w:pPr>
        <w:widowControl/>
        <w:ind w:firstLine="480"/>
        <w:jc w:val="left"/>
        <w:rPr>
          <w:rFonts w:cs="Times New Roman"/>
          <w:kern w:val="0"/>
          <w:szCs w:val="24"/>
        </w:rPr>
      </w:pPr>
      <w:r>
        <w:rPr>
          <w:rFonts w:cs="Times New Roman"/>
          <w:kern w:val="0"/>
          <w:szCs w:val="24"/>
        </w:rPr>
        <w:t>（5）监测结果</w:t>
      </w:r>
    </w:p>
    <w:p w14:paraId="0EEC033D">
      <w:pPr>
        <w:ind w:firstLine="0" w:firstLineChars="0"/>
        <w:jc w:val="center"/>
        <w:rPr>
          <w:b/>
        </w:rPr>
      </w:pPr>
      <w:r>
        <w:rPr>
          <w:b/>
        </w:rPr>
        <w:t>表 4.4-1</w:t>
      </w:r>
      <w:r>
        <w:rPr>
          <w:rFonts w:hint="eastAsia"/>
          <w:b/>
        </w:rPr>
        <w:t>2</w:t>
      </w:r>
      <w:r>
        <w:rPr>
          <w:b/>
        </w:rPr>
        <w:t xml:space="preserve">  声环境敏感点监测结果表</w:t>
      </w:r>
    </w:p>
    <w:tbl>
      <w:tblPr>
        <w:tblStyle w:val="139"/>
        <w:tblW w:w="8946"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86"/>
        <w:gridCol w:w="2971"/>
        <w:gridCol w:w="2989"/>
      </w:tblGrid>
      <w:tr w14:paraId="000510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trPr>
        <w:tc>
          <w:tcPr>
            <w:tcW w:w="2986" w:type="dxa"/>
            <w:vMerge w:val="restart"/>
            <w:tcBorders>
              <w:left w:val="single" w:color="000000" w:sz="10" w:space="0"/>
              <w:bottom w:val="nil"/>
            </w:tcBorders>
          </w:tcPr>
          <w:p w14:paraId="0F450291">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监测点位</w:t>
            </w:r>
          </w:p>
        </w:tc>
        <w:tc>
          <w:tcPr>
            <w:tcW w:w="5960" w:type="dxa"/>
            <w:gridSpan w:val="2"/>
            <w:tcBorders>
              <w:right w:val="single" w:color="000000" w:sz="10" w:space="0"/>
            </w:tcBorders>
          </w:tcPr>
          <w:p w14:paraId="6580247F">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检测结果 dB（A）</w:t>
            </w:r>
          </w:p>
        </w:tc>
      </w:tr>
      <w:tr w14:paraId="7BC73B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986" w:type="dxa"/>
            <w:vMerge w:val="continue"/>
            <w:tcBorders>
              <w:top w:val="nil"/>
              <w:left w:val="single" w:color="000000" w:sz="10" w:space="0"/>
            </w:tcBorders>
          </w:tcPr>
          <w:p w14:paraId="5D49344E">
            <w:pPr>
              <w:spacing w:line="240" w:lineRule="auto"/>
              <w:ind w:firstLine="0" w:firstLineChars="0"/>
              <w:jc w:val="center"/>
              <w:rPr>
                <w:rFonts w:cstheme="minorBidi"/>
                <w:b/>
                <w:bCs/>
                <w:snapToGrid w:val="0"/>
                <w:color w:val="000000"/>
                <w:kern w:val="0"/>
                <w:sz w:val="21"/>
                <w:szCs w:val="21"/>
              </w:rPr>
            </w:pPr>
          </w:p>
        </w:tc>
        <w:tc>
          <w:tcPr>
            <w:tcW w:w="2971" w:type="dxa"/>
          </w:tcPr>
          <w:p w14:paraId="5C687E82">
            <w:pPr>
              <w:spacing w:before="71"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昼间</w:t>
            </w:r>
          </w:p>
        </w:tc>
        <w:tc>
          <w:tcPr>
            <w:tcW w:w="2989" w:type="dxa"/>
            <w:tcBorders>
              <w:right w:val="single" w:color="000000" w:sz="10" w:space="0"/>
            </w:tcBorders>
          </w:tcPr>
          <w:p w14:paraId="2FCA37B1">
            <w:pPr>
              <w:spacing w:before="71"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夜间</w:t>
            </w:r>
          </w:p>
        </w:tc>
      </w:tr>
      <w:tr w14:paraId="34C3BF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986" w:type="dxa"/>
            <w:tcBorders>
              <w:left w:val="single" w:color="000000" w:sz="10" w:space="0"/>
            </w:tcBorders>
          </w:tcPr>
          <w:p w14:paraId="25405C75">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厂界东侧</w:t>
            </w:r>
          </w:p>
        </w:tc>
        <w:tc>
          <w:tcPr>
            <w:tcW w:w="2971" w:type="dxa"/>
          </w:tcPr>
          <w:p w14:paraId="3127B877">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57</w:t>
            </w:r>
          </w:p>
        </w:tc>
        <w:tc>
          <w:tcPr>
            <w:tcW w:w="2989" w:type="dxa"/>
            <w:tcBorders>
              <w:right w:val="single" w:color="000000" w:sz="10" w:space="0"/>
            </w:tcBorders>
          </w:tcPr>
          <w:p w14:paraId="5BDC7D67">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48</w:t>
            </w:r>
          </w:p>
        </w:tc>
      </w:tr>
      <w:tr w14:paraId="1F9A68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986" w:type="dxa"/>
            <w:tcBorders>
              <w:left w:val="single" w:color="000000" w:sz="10" w:space="0"/>
            </w:tcBorders>
          </w:tcPr>
          <w:p w14:paraId="46906866">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厂界南侧</w:t>
            </w:r>
          </w:p>
        </w:tc>
        <w:tc>
          <w:tcPr>
            <w:tcW w:w="2971" w:type="dxa"/>
          </w:tcPr>
          <w:p w14:paraId="2D01E1E7">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55</w:t>
            </w:r>
          </w:p>
        </w:tc>
        <w:tc>
          <w:tcPr>
            <w:tcW w:w="2989" w:type="dxa"/>
            <w:tcBorders>
              <w:right w:val="single" w:color="000000" w:sz="10" w:space="0"/>
            </w:tcBorders>
          </w:tcPr>
          <w:p w14:paraId="3C443462">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46</w:t>
            </w:r>
          </w:p>
        </w:tc>
      </w:tr>
      <w:tr w14:paraId="319C33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986" w:type="dxa"/>
            <w:tcBorders>
              <w:left w:val="single" w:color="000000" w:sz="10" w:space="0"/>
            </w:tcBorders>
          </w:tcPr>
          <w:p w14:paraId="731C0D13">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厂界西侧</w:t>
            </w:r>
          </w:p>
        </w:tc>
        <w:tc>
          <w:tcPr>
            <w:tcW w:w="2971" w:type="dxa"/>
          </w:tcPr>
          <w:p w14:paraId="162E86B8">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57</w:t>
            </w:r>
          </w:p>
        </w:tc>
        <w:tc>
          <w:tcPr>
            <w:tcW w:w="2989" w:type="dxa"/>
            <w:tcBorders>
              <w:right w:val="single" w:color="000000" w:sz="10" w:space="0"/>
            </w:tcBorders>
          </w:tcPr>
          <w:p w14:paraId="11F2FB37">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47</w:t>
            </w:r>
          </w:p>
        </w:tc>
      </w:tr>
      <w:tr w14:paraId="55E031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986" w:type="dxa"/>
            <w:tcBorders>
              <w:left w:val="single" w:color="000000" w:sz="10" w:space="0"/>
            </w:tcBorders>
          </w:tcPr>
          <w:p w14:paraId="4D306850">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厂界北侧</w:t>
            </w:r>
          </w:p>
        </w:tc>
        <w:tc>
          <w:tcPr>
            <w:tcW w:w="2971" w:type="dxa"/>
          </w:tcPr>
          <w:p w14:paraId="551E9276">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59</w:t>
            </w:r>
          </w:p>
        </w:tc>
        <w:tc>
          <w:tcPr>
            <w:tcW w:w="2989" w:type="dxa"/>
            <w:tcBorders>
              <w:right w:val="single" w:color="000000" w:sz="10" w:space="0"/>
            </w:tcBorders>
          </w:tcPr>
          <w:p w14:paraId="10E5AB10">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47</w:t>
            </w:r>
          </w:p>
        </w:tc>
      </w:tr>
      <w:tr w14:paraId="0D3962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2986" w:type="dxa"/>
            <w:tcBorders>
              <w:left w:val="single" w:color="000000" w:sz="10" w:space="0"/>
            </w:tcBorders>
          </w:tcPr>
          <w:p w14:paraId="39D5EC11">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孟家前楼</w:t>
            </w:r>
          </w:p>
        </w:tc>
        <w:tc>
          <w:tcPr>
            <w:tcW w:w="2971" w:type="dxa"/>
          </w:tcPr>
          <w:p w14:paraId="5ECE21DD">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52</w:t>
            </w:r>
          </w:p>
        </w:tc>
        <w:tc>
          <w:tcPr>
            <w:tcW w:w="2989" w:type="dxa"/>
            <w:tcBorders>
              <w:right w:val="single" w:color="000000" w:sz="10" w:space="0"/>
            </w:tcBorders>
          </w:tcPr>
          <w:p w14:paraId="24F60563">
            <w:pPr>
              <w:spacing w:before="81" w:line="240" w:lineRule="auto"/>
              <w:ind w:firstLine="0" w:firstLineChars="0"/>
              <w:jc w:val="center"/>
              <w:rPr>
                <w:rFonts w:cs="Arial"/>
                <w:snapToGrid w:val="0"/>
                <w:color w:val="000000"/>
                <w:kern w:val="0"/>
                <w:sz w:val="21"/>
                <w:szCs w:val="21"/>
              </w:rPr>
            </w:pPr>
            <w:r>
              <w:rPr>
                <w:rFonts w:hint="eastAsia" w:cs="Arial"/>
                <w:snapToGrid w:val="0"/>
                <w:color w:val="000000"/>
                <w:kern w:val="0"/>
                <w:sz w:val="21"/>
                <w:szCs w:val="21"/>
              </w:rPr>
              <w:t>43</w:t>
            </w:r>
          </w:p>
        </w:tc>
      </w:tr>
      <w:tr w14:paraId="406A81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2986" w:type="dxa"/>
            <w:tcBorders>
              <w:left w:val="single" w:color="000000" w:sz="10" w:space="0"/>
            </w:tcBorders>
          </w:tcPr>
          <w:p w14:paraId="54A5881C">
            <w:pPr>
              <w:spacing w:before="81" w:line="240" w:lineRule="auto"/>
              <w:ind w:firstLine="0" w:firstLineChars="0"/>
              <w:jc w:val="center"/>
              <w:rPr>
                <w:rFonts w:cstheme="minorBidi"/>
                <w:snapToGrid w:val="0"/>
                <w:color w:val="000000"/>
                <w:kern w:val="0"/>
                <w:sz w:val="21"/>
                <w:szCs w:val="21"/>
              </w:rPr>
            </w:pPr>
            <w:r>
              <w:rPr>
                <w:rFonts w:hint="eastAsia" w:cs="Arial"/>
                <w:snapToGrid w:val="0"/>
                <w:color w:val="000000"/>
                <w:kern w:val="0"/>
                <w:sz w:val="21"/>
                <w:szCs w:val="21"/>
              </w:rPr>
              <w:t>薛圩</w:t>
            </w:r>
          </w:p>
        </w:tc>
        <w:tc>
          <w:tcPr>
            <w:tcW w:w="2971" w:type="dxa"/>
          </w:tcPr>
          <w:p w14:paraId="6D6384CB">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51</w:t>
            </w:r>
          </w:p>
        </w:tc>
        <w:tc>
          <w:tcPr>
            <w:tcW w:w="2989" w:type="dxa"/>
            <w:tcBorders>
              <w:right w:val="single" w:color="000000" w:sz="10" w:space="0"/>
            </w:tcBorders>
          </w:tcPr>
          <w:p w14:paraId="1DEA4BCC">
            <w:pPr>
              <w:spacing w:before="81" w:line="240" w:lineRule="auto"/>
              <w:ind w:firstLine="0" w:firstLineChars="0"/>
              <w:jc w:val="center"/>
              <w:rPr>
                <w:rFonts w:cstheme="minorBidi"/>
                <w:snapToGrid w:val="0"/>
                <w:color w:val="000000"/>
                <w:kern w:val="0"/>
                <w:sz w:val="21"/>
                <w:szCs w:val="21"/>
              </w:rPr>
            </w:pPr>
            <w:r>
              <w:rPr>
                <w:rFonts w:hint="eastAsia" w:cstheme="minorBidi"/>
                <w:snapToGrid w:val="0"/>
                <w:color w:val="000000"/>
                <w:kern w:val="0"/>
                <w:sz w:val="21"/>
                <w:szCs w:val="21"/>
              </w:rPr>
              <w:t>43</w:t>
            </w:r>
          </w:p>
        </w:tc>
      </w:tr>
      <w:tr w14:paraId="11C49D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2986" w:type="dxa"/>
            <w:tcBorders>
              <w:left w:val="single" w:color="000000" w:sz="10" w:space="0"/>
            </w:tcBorders>
          </w:tcPr>
          <w:p w14:paraId="5105C4D2">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执行标准</w:t>
            </w:r>
          </w:p>
        </w:tc>
        <w:tc>
          <w:tcPr>
            <w:tcW w:w="2971" w:type="dxa"/>
          </w:tcPr>
          <w:p w14:paraId="655C8095">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60</w:t>
            </w:r>
          </w:p>
        </w:tc>
        <w:tc>
          <w:tcPr>
            <w:tcW w:w="2989" w:type="dxa"/>
            <w:tcBorders>
              <w:right w:val="single" w:color="000000" w:sz="10" w:space="0"/>
            </w:tcBorders>
          </w:tcPr>
          <w:p w14:paraId="28BDBB3B">
            <w:pPr>
              <w:spacing w:line="240" w:lineRule="auto"/>
              <w:ind w:firstLine="0" w:firstLineChars="0"/>
              <w:jc w:val="center"/>
              <w:rPr>
                <w:rFonts w:cstheme="minorBidi"/>
                <w:b/>
                <w:bCs/>
                <w:snapToGrid w:val="0"/>
                <w:color w:val="000000"/>
                <w:kern w:val="0"/>
                <w:sz w:val="21"/>
                <w:szCs w:val="21"/>
              </w:rPr>
            </w:pPr>
            <w:r>
              <w:rPr>
                <w:rFonts w:cstheme="minorBidi"/>
                <w:b/>
                <w:bCs/>
                <w:snapToGrid w:val="0"/>
                <w:color w:val="000000"/>
                <w:kern w:val="0"/>
                <w:sz w:val="21"/>
                <w:szCs w:val="21"/>
              </w:rPr>
              <w:t>50</w:t>
            </w:r>
          </w:p>
        </w:tc>
      </w:tr>
    </w:tbl>
    <w:p w14:paraId="0AF9AB83">
      <w:pPr>
        <w:ind w:firstLine="480"/>
        <w:rPr>
          <w:rFonts w:cs="Times New Roman"/>
          <w:szCs w:val="24"/>
        </w:rPr>
      </w:pPr>
      <w:r>
        <w:rPr>
          <w:rFonts w:hint="eastAsia" w:cs="Times New Roman"/>
          <w:szCs w:val="24"/>
        </w:rPr>
        <w:t>2、厂界处历年噪声监测结果统计</w:t>
      </w:r>
    </w:p>
    <w:p w14:paraId="27357857">
      <w:pPr>
        <w:ind w:firstLine="480"/>
        <w:rPr>
          <w:rFonts w:cs="Times New Roman"/>
          <w:szCs w:val="24"/>
        </w:rPr>
      </w:pPr>
      <w:r>
        <w:rPr>
          <w:rFonts w:hint="eastAsia" w:cs="Times New Roman"/>
          <w:szCs w:val="24"/>
        </w:rPr>
        <w:t>通过对比环评阶段、验收阶段噪声监测结果，分析后评价阶段声环境质量变化情况。</w:t>
      </w:r>
    </w:p>
    <w:p w14:paraId="49565A7A">
      <w:pPr>
        <w:ind w:firstLine="0" w:firstLineChars="0"/>
        <w:jc w:val="center"/>
        <w:rPr>
          <w:b/>
        </w:rPr>
      </w:pPr>
      <w:r>
        <w:rPr>
          <w:rFonts w:hint="eastAsia"/>
          <w:b/>
        </w:rPr>
        <w:t>表4.4-13</w:t>
      </w:r>
      <w:r>
        <w:rPr>
          <w:b/>
        </w:rPr>
        <w:t xml:space="preserve"> </w:t>
      </w:r>
      <w:r>
        <w:rPr>
          <w:rFonts w:hint="eastAsia"/>
          <w:b/>
        </w:rPr>
        <w:t>历年噪声监测结果表</w:t>
      </w:r>
    </w:p>
    <w:tbl>
      <w:tblPr>
        <w:tblStyle w:val="8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4"/>
        <w:gridCol w:w="2622"/>
        <w:gridCol w:w="2081"/>
        <w:gridCol w:w="2171"/>
      </w:tblGrid>
      <w:tr w14:paraId="2ECCF6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Align w:val="center"/>
          </w:tcPr>
          <w:p w14:paraId="10D9CEFE">
            <w:pPr>
              <w:spacing w:line="240" w:lineRule="auto"/>
              <w:ind w:firstLine="0" w:firstLineChars="0"/>
              <w:jc w:val="center"/>
              <w:rPr>
                <w:b/>
                <w:bCs/>
                <w:sz w:val="21"/>
                <w:szCs w:val="21"/>
              </w:rPr>
            </w:pPr>
            <w:r>
              <w:rPr>
                <w:rFonts w:hint="eastAsia"/>
                <w:b/>
                <w:bCs/>
                <w:sz w:val="21"/>
                <w:szCs w:val="21"/>
              </w:rPr>
              <w:t>监测位置</w:t>
            </w:r>
          </w:p>
        </w:tc>
        <w:tc>
          <w:tcPr>
            <w:tcW w:w="2556" w:type="dxa"/>
            <w:vAlign w:val="center"/>
          </w:tcPr>
          <w:p w14:paraId="0EE6A37E">
            <w:pPr>
              <w:spacing w:line="240" w:lineRule="auto"/>
              <w:ind w:firstLine="0" w:firstLineChars="0"/>
              <w:jc w:val="center"/>
              <w:rPr>
                <w:b/>
                <w:bCs/>
                <w:sz w:val="21"/>
                <w:szCs w:val="21"/>
              </w:rPr>
            </w:pPr>
            <w:r>
              <w:rPr>
                <w:rFonts w:hint="eastAsia"/>
                <w:b/>
                <w:bCs/>
                <w:sz w:val="21"/>
                <w:szCs w:val="21"/>
              </w:rPr>
              <w:t>监测时间</w:t>
            </w:r>
          </w:p>
        </w:tc>
        <w:tc>
          <w:tcPr>
            <w:tcW w:w="2028" w:type="dxa"/>
            <w:vAlign w:val="center"/>
          </w:tcPr>
          <w:p w14:paraId="411ADB9C">
            <w:pPr>
              <w:spacing w:line="240" w:lineRule="auto"/>
              <w:ind w:firstLine="0" w:firstLineChars="0"/>
              <w:jc w:val="center"/>
              <w:rPr>
                <w:b/>
                <w:bCs/>
                <w:sz w:val="21"/>
                <w:szCs w:val="21"/>
              </w:rPr>
            </w:pPr>
            <w:r>
              <w:rPr>
                <w:rFonts w:hint="eastAsia"/>
                <w:b/>
                <w:bCs/>
                <w:sz w:val="21"/>
                <w:szCs w:val="21"/>
              </w:rPr>
              <w:t>昼间</w:t>
            </w:r>
          </w:p>
        </w:tc>
        <w:tc>
          <w:tcPr>
            <w:tcW w:w="2116" w:type="dxa"/>
            <w:vAlign w:val="center"/>
          </w:tcPr>
          <w:p w14:paraId="3E67CA69">
            <w:pPr>
              <w:spacing w:line="240" w:lineRule="auto"/>
              <w:ind w:firstLine="0" w:firstLineChars="0"/>
              <w:jc w:val="center"/>
              <w:rPr>
                <w:b/>
                <w:bCs/>
                <w:sz w:val="21"/>
                <w:szCs w:val="21"/>
              </w:rPr>
            </w:pPr>
            <w:r>
              <w:rPr>
                <w:rFonts w:hint="eastAsia"/>
                <w:b/>
                <w:bCs/>
                <w:sz w:val="21"/>
                <w:szCs w:val="21"/>
              </w:rPr>
              <w:t>夜间</w:t>
            </w:r>
          </w:p>
        </w:tc>
      </w:tr>
      <w:tr w14:paraId="71B827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restart"/>
            <w:vAlign w:val="center"/>
          </w:tcPr>
          <w:p w14:paraId="0821726C">
            <w:pPr>
              <w:spacing w:line="240" w:lineRule="auto"/>
              <w:ind w:firstLine="0" w:firstLineChars="0"/>
              <w:jc w:val="center"/>
              <w:rPr>
                <w:sz w:val="21"/>
                <w:szCs w:val="21"/>
              </w:rPr>
            </w:pPr>
            <w:r>
              <w:rPr>
                <w:rFonts w:hint="eastAsia"/>
                <w:sz w:val="21"/>
                <w:szCs w:val="21"/>
              </w:rPr>
              <w:t>东厂界</w:t>
            </w:r>
          </w:p>
        </w:tc>
        <w:tc>
          <w:tcPr>
            <w:tcW w:w="2556" w:type="dxa"/>
            <w:vAlign w:val="center"/>
          </w:tcPr>
          <w:p w14:paraId="062F4599">
            <w:pPr>
              <w:spacing w:line="240" w:lineRule="auto"/>
              <w:ind w:firstLine="0" w:firstLineChars="0"/>
              <w:jc w:val="center"/>
              <w:rPr>
                <w:sz w:val="21"/>
                <w:szCs w:val="21"/>
              </w:rPr>
            </w:pPr>
            <w:r>
              <w:rPr>
                <w:rFonts w:hint="eastAsia"/>
                <w:sz w:val="21"/>
                <w:szCs w:val="21"/>
              </w:rPr>
              <w:t>2013年</w:t>
            </w:r>
          </w:p>
        </w:tc>
        <w:tc>
          <w:tcPr>
            <w:tcW w:w="2028" w:type="dxa"/>
            <w:vAlign w:val="center"/>
          </w:tcPr>
          <w:p w14:paraId="5E8DA013">
            <w:pPr>
              <w:spacing w:line="240" w:lineRule="auto"/>
              <w:ind w:firstLine="0" w:firstLineChars="0"/>
              <w:jc w:val="center"/>
              <w:rPr>
                <w:sz w:val="21"/>
                <w:szCs w:val="21"/>
              </w:rPr>
            </w:pPr>
            <w:r>
              <w:rPr>
                <w:rFonts w:hint="eastAsia"/>
                <w:sz w:val="21"/>
                <w:szCs w:val="21"/>
              </w:rPr>
              <w:t>54.2</w:t>
            </w:r>
          </w:p>
        </w:tc>
        <w:tc>
          <w:tcPr>
            <w:tcW w:w="2116" w:type="dxa"/>
            <w:vAlign w:val="center"/>
          </w:tcPr>
          <w:p w14:paraId="7A42DA28">
            <w:pPr>
              <w:spacing w:line="240" w:lineRule="auto"/>
              <w:ind w:firstLine="0" w:firstLineChars="0"/>
              <w:jc w:val="center"/>
              <w:rPr>
                <w:sz w:val="21"/>
                <w:szCs w:val="21"/>
              </w:rPr>
            </w:pPr>
            <w:r>
              <w:rPr>
                <w:rFonts w:hint="eastAsia"/>
                <w:sz w:val="21"/>
                <w:szCs w:val="21"/>
              </w:rPr>
              <w:t>48.5</w:t>
            </w:r>
          </w:p>
        </w:tc>
      </w:tr>
      <w:tr w14:paraId="6F3D73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40DF3D4E">
            <w:pPr>
              <w:spacing w:line="240" w:lineRule="auto"/>
              <w:ind w:firstLine="0" w:firstLineChars="0"/>
              <w:jc w:val="center"/>
              <w:rPr>
                <w:sz w:val="21"/>
                <w:szCs w:val="21"/>
              </w:rPr>
            </w:pPr>
          </w:p>
        </w:tc>
        <w:tc>
          <w:tcPr>
            <w:tcW w:w="2556" w:type="dxa"/>
            <w:vAlign w:val="center"/>
          </w:tcPr>
          <w:p w14:paraId="4F3FAD54">
            <w:pPr>
              <w:spacing w:line="240" w:lineRule="auto"/>
              <w:ind w:firstLine="0" w:firstLineChars="0"/>
              <w:jc w:val="center"/>
              <w:rPr>
                <w:sz w:val="21"/>
                <w:szCs w:val="21"/>
              </w:rPr>
            </w:pPr>
            <w:r>
              <w:rPr>
                <w:rFonts w:hint="eastAsia"/>
                <w:sz w:val="21"/>
                <w:szCs w:val="21"/>
              </w:rPr>
              <w:t>2022年6月22日</w:t>
            </w:r>
          </w:p>
        </w:tc>
        <w:tc>
          <w:tcPr>
            <w:tcW w:w="2028" w:type="dxa"/>
            <w:vAlign w:val="center"/>
          </w:tcPr>
          <w:p w14:paraId="58E9611B">
            <w:pPr>
              <w:spacing w:line="240" w:lineRule="auto"/>
              <w:ind w:firstLine="0" w:firstLineChars="0"/>
              <w:jc w:val="center"/>
              <w:rPr>
                <w:sz w:val="21"/>
                <w:szCs w:val="21"/>
              </w:rPr>
            </w:pPr>
            <w:r>
              <w:rPr>
                <w:rFonts w:hint="eastAsia"/>
                <w:sz w:val="21"/>
                <w:szCs w:val="21"/>
              </w:rPr>
              <w:t>57</w:t>
            </w:r>
          </w:p>
        </w:tc>
        <w:tc>
          <w:tcPr>
            <w:tcW w:w="2116" w:type="dxa"/>
            <w:vAlign w:val="center"/>
          </w:tcPr>
          <w:p w14:paraId="0C3F30BD">
            <w:pPr>
              <w:spacing w:line="240" w:lineRule="auto"/>
              <w:ind w:firstLine="0" w:firstLineChars="0"/>
              <w:jc w:val="center"/>
              <w:rPr>
                <w:sz w:val="21"/>
                <w:szCs w:val="21"/>
              </w:rPr>
            </w:pPr>
            <w:r>
              <w:rPr>
                <w:rFonts w:hint="eastAsia"/>
                <w:sz w:val="21"/>
                <w:szCs w:val="21"/>
              </w:rPr>
              <w:t>46</w:t>
            </w:r>
          </w:p>
        </w:tc>
      </w:tr>
      <w:tr w14:paraId="58EBB7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238B12A8">
            <w:pPr>
              <w:spacing w:line="240" w:lineRule="auto"/>
              <w:ind w:firstLine="0" w:firstLineChars="0"/>
              <w:jc w:val="center"/>
              <w:rPr>
                <w:sz w:val="21"/>
                <w:szCs w:val="21"/>
              </w:rPr>
            </w:pPr>
          </w:p>
        </w:tc>
        <w:tc>
          <w:tcPr>
            <w:tcW w:w="2556" w:type="dxa"/>
            <w:vAlign w:val="center"/>
          </w:tcPr>
          <w:p w14:paraId="29577F0A">
            <w:pPr>
              <w:spacing w:line="240" w:lineRule="auto"/>
              <w:ind w:firstLine="0" w:firstLineChars="0"/>
              <w:jc w:val="center"/>
              <w:rPr>
                <w:sz w:val="21"/>
                <w:szCs w:val="21"/>
              </w:rPr>
            </w:pPr>
            <w:r>
              <w:rPr>
                <w:rFonts w:hint="eastAsia"/>
                <w:sz w:val="21"/>
                <w:szCs w:val="21"/>
              </w:rPr>
              <w:t>2023年5月8日</w:t>
            </w:r>
          </w:p>
        </w:tc>
        <w:tc>
          <w:tcPr>
            <w:tcW w:w="2028" w:type="dxa"/>
            <w:vAlign w:val="center"/>
          </w:tcPr>
          <w:p w14:paraId="1CB16B77">
            <w:pPr>
              <w:spacing w:line="240" w:lineRule="auto"/>
              <w:ind w:firstLine="0" w:firstLineChars="0"/>
              <w:jc w:val="center"/>
              <w:rPr>
                <w:sz w:val="21"/>
                <w:szCs w:val="21"/>
              </w:rPr>
            </w:pPr>
            <w:r>
              <w:rPr>
                <w:rFonts w:hint="eastAsia"/>
                <w:sz w:val="21"/>
                <w:szCs w:val="21"/>
              </w:rPr>
              <w:t>57</w:t>
            </w:r>
          </w:p>
        </w:tc>
        <w:tc>
          <w:tcPr>
            <w:tcW w:w="2116" w:type="dxa"/>
            <w:vAlign w:val="center"/>
          </w:tcPr>
          <w:p w14:paraId="5D747CFC">
            <w:pPr>
              <w:spacing w:line="240" w:lineRule="auto"/>
              <w:ind w:firstLine="0" w:firstLineChars="0"/>
              <w:jc w:val="center"/>
              <w:rPr>
                <w:sz w:val="21"/>
                <w:szCs w:val="21"/>
              </w:rPr>
            </w:pPr>
            <w:r>
              <w:rPr>
                <w:rFonts w:hint="eastAsia"/>
                <w:sz w:val="21"/>
                <w:szCs w:val="21"/>
              </w:rPr>
              <w:t>48</w:t>
            </w:r>
          </w:p>
        </w:tc>
      </w:tr>
      <w:tr w14:paraId="088264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65F313EF">
            <w:pPr>
              <w:spacing w:line="240" w:lineRule="auto"/>
              <w:ind w:firstLine="0" w:firstLineChars="0"/>
              <w:jc w:val="center"/>
              <w:rPr>
                <w:sz w:val="21"/>
                <w:szCs w:val="21"/>
              </w:rPr>
            </w:pPr>
          </w:p>
        </w:tc>
        <w:tc>
          <w:tcPr>
            <w:tcW w:w="2556" w:type="dxa"/>
            <w:vAlign w:val="center"/>
          </w:tcPr>
          <w:p w14:paraId="3950A3B9">
            <w:pPr>
              <w:spacing w:line="240" w:lineRule="auto"/>
              <w:ind w:firstLine="0" w:firstLineChars="0"/>
              <w:jc w:val="center"/>
              <w:rPr>
                <w:sz w:val="21"/>
                <w:szCs w:val="21"/>
              </w:rPr>
            </w:pPr>
            <w:r>
              <w:rPr>
                <w:rFonts w:hint="eastAsia"/>
                <w:sz w:val="21"/>
                <w:szCs w:val="21"/>
              </w:rPr>
              <w:t>2023年12月12日</w:t>
            </w:r>
          </w:p>
        </w:tc>
        <w:tc>
          <w:tcPr>
            <w:tcW w:w="2028" w:type="dxa"/>
            <w:vAlign w:val="center"/>
          </w:tcPr>
          <w:p w14:paraId="65A5B943">
            <w:pPr>
              <w:spacing w:line="240" w:lineRule="auto"/>
              <w:ind w:firstLine="0" w:firstLineChars="0"/>
              <w:jc w:val="center"/>
              <w:rPr>
                <w:sz w:val="21"/>
                <w:szCs w:val="21"/>
              </w:rPr>
            </w:pPr>
            <w:r>
              <w:rPr>
                <w:rFonts w:hint="eastAsia"/>
                <w:sz w:val="21"/>
                <w:szCs w:val="21"/>
              </w:rPr>
              <w:t>57</w:t>
            </w:r>
          </w:p>
        </w:tc>
        <w:tc>
          <w:tcPr>
            <w:tcW w:w="2116" w:type="dxa"/>
            <w:vAlign w:val="center"/>
          </w:tcPr>
          <w:p w14:paraId="21C11D01">
            <w:pPr>
              <w:spacing w:line="240" w:lineRule="auto"/>
              <w:ind w:firstLine="0" w:firstLineChars="0"/>
              <w:jc w:val="center"/>
              <w:rPr>
                <w:sz w:val="21"/>
                <w:szCs w:val="21"/>
              </w:rPr>
            </w:pPr>
            <w:r>
              <w:rPr>
                <w:rFonts w:hint="eastAsia"/>
                <w:sz w:val="21"/>
                <w:szCs w:val="21"/>
              </w:rPr>
              <w:t>47</w:t>
            </w:r>
          </w:p>
        </w:tc>
      </w:tr>
      <w:tr w14:paraId="1E31E5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0D61606B">
            <w:pPr>
              <w:spacing w:line="240" w:lineRule="auto"/>
              <w:ind w:firstLine="0" w:firstLineChars="0"/>
              <w:jc w:val="center"/>
              <w:rPr>
                <w:sz w:val="21"/>
                <w:szCs w:val="21"/>
              </w:rPr>
            </w:pPr>
          </w:p>
        </w:tc>
        <w:tc>
          <w:tcPr>
            <w:tcW w:w="2556" w:type="dxa"/>
            <w:vAlign w:val="center"/>
          </w:tcPr>
          <w:p w14:paraId="6BBCA3D6">
            <w:pPr>
              <w:spacing w:line="240" w:lineRule="auto"/>
              <w:ind w:firstLine="0" w:firstLineChars="0"/>
              <w:jc w:val="center"/>
              <w:rPr>
                <w:sz w:val="21"/>
                <w:szCs w:val="21"/>
              </w:rPr>
            </w:pPr>
            <w:r>
              <w:rPr>
                <w:rFonts w:hint="eastAsia"/>
                <w:sz w:val="21"/>
                <w:szCs w:val="21"/>
              </w:rPr>
              <w:t>2024年3月4日</w:t>
            </w:r>
          </w:p>
        </w:tc>
        <w:tc>
          <w:tcPr>
            <w:tcW w:w="2028" w:type="dxa"/>
            <w:vAlign w:val="center"/>
          </w:tcPr>
          <w:p w14:paraId="3EE64712">
            <w:pPr>
              <w:spacing w:line="240" w:lineRule="auto"/>
              <w:ind w:firstLine="0" w:firstLineChars="0"/>
              <w:jc w:val="center"/>
              <w:rPr>
                <w:sz w:val="21"/>
                <w:szCs w:val="21"/>
              </w:rPr>
            </w:pPr>
            <w:r>
              <w:rPr>
                <w:rFonts w:hint="eastAsia"/>
                <w:sz w:val="21"/>
                <w:szCs w:val="21"/>
              </w:rPr>
              <w:t>56</w:t>
            </w:r>
          </w:p>
        </w:tc>
        <w:tc>
          <w:tcPr>
            <w:tcW w:w="2116" w:type="dxa"/>
            <w:vAlign w:val="center"/>
          </w:tcPr>
          <w:p w14:paraId="234160F9">
            <w:pPr>
              <w:spacing w:line="240" w:lineRule="auto"/>
              <w:ind w:firstLine="0" w:firstLineChars="0"/>
              <w:jc w:val="center"/>
              <w:rPr>
                <w:sz w:val="21"/>
                <w:szCs w:val="21"/>
              </w:rPr>
            </w:pPr>
            <w:r>
              <w:rPr>
                <w:rFonts w:hint="eastAsia"/>
                <w:sz w:val="21"/>
                <w:szCs w:val="21"/>
              </w:rPr>
              <w:t>45</w:t>
            </w:r>
          </w:p>
        </w:tc>
      </w:tr>
      <w:tr w14:paraId="58BE96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restart"/>
            <w:vAlign w:val="center"/>
          </w:tcPr>
          <w:p w14:paraId="0CFC71EE">
            <w:pPr>
              <w:spacing w:line="240" w:lineRule="auto"/>
              <w:ind w:firstLine="0" w:firstLineChars="0"/>
              <w:jc w:val="center"/>
              <w:rPr>
                <w:sz w:val="21"/>
                <w:szCs w:val="21"/>
              </w:rPr>
            </w:pPr>
            <w:r>
              <w:rPr>
                <w:rFonts w:hint="eastAsia"/>
                <w:sz w:val="21"/>
                <w:szCs w:val="21"/>
              </w:rPr>
              <w:t>南厂界</w:t>
            </w:r>
          </w:p>
        </w:tc>
        <w:tc>
          <w:tcPr>
            <w:tcW w:w="2556" w:type="dxa"/>
            <w:vAlign w:val="center"/>
          </w:tcPr>
          <w:p w14:paraId="4BAB6099">
            <w:pPr>
              <w:spacing w:line="240" w:lineRule="auto"/>
              <w:ind w:firstLine="0" w:firstLineChars="0"/>
              <w:jc w:val="center"/>
              <w:rPr>
                <w:sz w:val="21"/>
                <w:szCs w:val="21"/>
              </w:rPr>
            </w:pPr>
            <w:r>
              <w:rPr>
                <w:rFonts w:hint="eastAsia"/>
                <w:sz w:val="21"/>
                <w:szCs w:val="21"/>
              </w:rPr>
              <w:t>2013年</w:t>
            </w:r>
          </w:p>
        </w:tc>
        <w:tc>
          <w:tcPr>
            <w:tcW w:w="2028" w:type="dxa"/>
            <w:vAlign w:val="center"/>
          </w:tcPr>
          <w:p w14:paraId="08A59CB6">
            <w:pPr>
              <w:spacing w:line="240" w:lineRule="auto"/>
              <w:ind w:firstLine="0" w:firstLineChars="0"/>
              <w:jc w:val="center"/>
              <w:rPr>
                <w:sz w:val="21"/>
                <w:szCs w:val="21"/>
              </w:rPr>
            </w:pPr>
            <w:r>
              <w:rPr>
                <w:rFonts w:hint="eastAsia"/>
                <w:sz w:val="21"/>
                <w:szCs w:val="21"/>
              </w:rPr>
              <w:t>5</w:t>
            </w:r>
            <w:r>
              <w:rPr>
                <w:sz w:val="21"/>
                <w:szCs w:val="21"/>
              </w:rPr>
              <w:t>2.6</w:t>
            </w:r>
          </w:p>
        </w:tc>
        <w:tc>
          <w:tcPr>
            <w:tcW w:w="2116" w:type="dxa"/>
            <w:vAlign w:val="center"/>
          </w:tcPr>
          <w:p w14:paraId="54799E66">
            <w:pPr>
              <w:spacing w:line="240" w:lineRule="auto"/>
              <w:ind w:firstLine="0" w:firstLineChars="0"/>
              <w:jc w:val="center"/>
              <w:rPr>
                <w:sz w:val="21"/>
                <w:szCs w:val="21"/>
              </w:rPr>
            </w:pPr>
            <w:r>
              <w:rPr>
                <w:rFonts w:hint="eastAsia"/>
                <w:sz w:val="21"/>
                <w:szCs w:val="21"/>
              </w:rPr>
              <w:t>4</w:t>
            </w:r>
            <w:r>
              <w:rPr>
                <w:sz w:val="21"/>
                <w:szCs w:val="21"/>
              </w:rPr>
              <w:t>4.7</w:t>
            </w:r>
          </w:p>
        </w:tc>
      </w:tr>
      <w:tr w14:paraId="426FA5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229913B7">
            <w:pPr>
              <w:spacing w:line="240" w:lineRule="auto"/>
              <w:ind w:firstLine="0" w:firstLineChars="0"/>
              <w:jc w:val="center"/>
              <w:rPr>
                <w:sz w:val="21"/>
                <w:szCs w:val="21"/>
              </w:rPr>
            </w:pPr>
          </w:p>
        </w:tc>
        <w:tc>
          <w:tcPr>
            <w:tcW w:w="2556" w:type="dxa"/>
            <w:vAlign w:val="center"/>
          </w:tcPr>
          <w:p w14:paraId="6596241A">
            <w:pPr>
              <w:spacing w:line="240" w:lineRule="auto"/>
              <w:ind w:firstLine="0" w:firstLineChars="0"/>
              <w:jc w:val="center"/>
              <w:rPr>
                <w:sz w:val="21"/>
                <w:szCs w:val="21"/>
              </w:rPr>
            </w:pPr>
            <w:r>
              <w:rPr>
                <w:rFonts w:hint="eastAsia"/>
                <w:sz w:val="21"/>
                <w:szCs w:val="21"/>
              </w:rPr>
              <w:t>2022年6月22日</w:t>
            </w:r>
          </w:p>
        </w:tc>
        <w:tc>
          <w:tcPr>
            <w:tcW w:w="2028" w:type="dxa"/>
            <w:vAlign w:val="center"/>
          </w:tcPr>
          <w:p w14:paraId="4BF3E45E">
            <w:pPr>
              <w:spacing w:line="240" w:lineRule="auto"/>
              <w:ind w:firstLine="0" w:firstLineChars="0"/>
              <w:jc w:val="center"/>
              <w:rPr>
                <w:sz w:val="21"/>
                <w:szCs w:val="21"/>
              </w:rPr>
            </w:pPr>
            <w:r>
              <w:rPr>
                <w:rFonts w:hint="eastAsia"/>
                <w:sz w:val="21"/>
                <w:szCs w:val="21"/>
              </w:rPr>
              <w:t>58</w:t>
            </w:r>
          </w:p>
        </w:tc>
        <w:tc>
          <w:tcPr>
            <w:tcW w:w="2116" w:type="dxa"/>
            <w:vAlign w:val="center"/>
          </w:tcPr>
          <w:p w14:paraId="668CCBB4">
            <w:pPr>
              <w:spacing w:line="240" w:lineRule="auto"/>
              <w:ind w:firstLine="0" w:firstLineChars="0"/>
              <w:jc w:val="center"/>
              <w:rPr>
                <w:sz w:val="21"/>
                <w:szCs w:val="21"/>
              </w:rPr>
            </w:pPr>
            <w:r>
              <w:rPr>
                <w:rFonts w:hint="eastAsia"/>
                <w:sz w:val="21"/>
                <w:szCs w:val="21"/>
              </w:rPr>
              <w:t>46</w:t>
            </w:r>
          </w:p>
        </w:tc>
      </w:tr>
      <w:tr w14:paraId="029A0B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5023D242">
            <w:pPr>
              <w:spacing w:line="240" w:lineRule="auto"/>
              <w:ind w:firstLine="0" w:firstLineChars="0"/>
              <w:jc w:val="center"/>
              <w:rPr>
                <w:sz w:val="21"/>
                <w:szCs w:val="21"/>
              </w:rPr>
            </w:pPr>
          </w:p>
        </w:tc>
        <w:tc>
          <w:tcPr>
            <w:tcW w:w="2556" w:type="dxa"/>
            <w:vAlign w:val="center"/>
          </w:tcPr>
          <w:p w14:paraId="0945FC6E">
            <w:pPr>
              <w:spacing w:line="240" w:lineRule="auto"/>
              <w:ind w:firstLine="0" w:firstLineChars="0"/>
              <w:jc w:val="center"/>
              <w:rPr>
                <w:sz w:val="21"/>
                <w:szCs w:val="21"/>
              </w:rPr>
            </w:pPr>
            <w:r>
              <w:rPr>
                <w:rFonts w:hint="eastAsia"/>
                <w:sz w:val="21"/>
                <w:szCs w:val="21"/>
              </w:rPr>
              <w:t>2023年5月8日</w:t>
            </w:r>
          </w:p>
        </w:tc>
        <w:tc>
          <w:tcPr>
            <w:tcW w:w="2028" w:type="dxa"/>
            <w:vAlign w:val="center"/>
          </w:tcPr>
          <w:p w14:paraId="5CF1C241">
            <w:pPr>
              <w:spacing w:line="240" w:lineRule="auto"/>
              <w:ind w:firstLine="0" w:firstLineChars="0"/>
              <w:jc w:val="center"/>
              <w:rPr>
                <w:sz w:val="21"/>
                <w:szCs w:val="21"/>
              </w:rPr>
            </w:pPr>
            <w:r>
              <w:rPr>
                <w:rFonts w:hint="eastAsia"/>
                <w:sz w:val="21"/>
                <w:szCs w:val="21"/>
              </w:rPr>
              <w:t>55</w:t>
            </w:r>
          </w:p>
        </w:tc>
        <w:tc>
          <w:tcPr>
            <w:tcW w:w="2116" w:type="dxa"/>
            <w:vAlign w:val="center"/>
          </w:tcPr>
          <w:p w14:paraId="41B61D97">
            <w:pPr>
              <w:spacing w:line="240" w:lineRule="auto"/>
              <w:ind w:firstLine="0" w:firstLineChars="0"/>
              <w:jc w:val="center"/>
              <w:rPr>
                <w:sz w:val="21"/>
                <w:szCs w:val="21"/>
              </w:rPr>
            </w:pPr>
            <w:r>
              <w:rPr>
                <w:rFonts w:hint="eastAsia"/>
                <w:sz w:val="21"/>
                <w:szCs w:val="21"/>
              </w:rPr>
              <w:t>46</w:t>
            </w:r>
          </w:p>
        </w:tc>
      </w:tr>
      <w:tr w14:paraId="15E5FB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6AC5E73D">
            <w:pPr>
              <w:spacing w:line="240" w:lineRule="auto"/>
              <w:ind w:firstLine="0" w:firstLineChars="0"/>
              <w:jc w:val="center"/>
              <w:rPr>
                <w:sz w:val="21"/>
                <w:szCs w:val="21"/>
              </w:rPr>
            </w:pPr>
          </w:p>
        </w:tc>
        <w:tc>
          <w:tcPr>
            <w:tcW w:w="2556" w:type="dxa"/>
            <w:vAlign w:val="center"/>
          </w:tcPr>
          <w:p w14:paraId="4544F3B7">
            <w:pPr>
              <w:spacing w:line="240" w:lineRule="auto"/>
              <w:ind w:firstLine="0" w:firstLineChars="0"/>
              <w:jc w:val="center"/>
              <w:rPr>
                <w:sz w:val="21"/>
                <w:szCs w:val="21"/>
              </w:rPr>
            </w:pPr>
            <w:r>
              <w:rPr>
                <w:rFonts w:hint="eastAsia"/>
                <w:sz w:val="21"/>
                <w:szCs w:val="21"/>
              </w:rPr>
              <w:t>2023年12月12日</w:t>
            </w:r>
          </w:p>
        </w:tc>
        <w:tc>
          <w:tcPr>
            <w:tcW w:w="2028" w:type="dxa"/>
            <w:vAlign w:val="center"/>
          </w:tcPr>
          <w:p w14:paraId="01469B43">
            <w:pPr>
              <w:spacing w:line="240" w:lineRule="auto"/>
              <w:ind w:firstLine="0" w:firstLineChars="0"/>
              <w:jc w:val="center"/>
              <w:rPr>
                <w:sz w:val="21"/>
                <w:szCs w:val="21"/>
              </w:rPr>
            </w:pPr>
            <w:r>
              <w:rPr>
                <w:rFonts w:hint="eastAsia"/>
                <w:sz w:val="21"/>
                <w:szCs w:val="21"/>
              </w:rPr>
              <w:t>55</w:t>
            </w:r>
          </w:p>
        </w:tc>
        <w:tc>
          <w:tcPr>
            <w:tcW w:w="2116" w:type="dxa"/>
            <w:vAlign w:val="center"/>
          </w:tcPr>
          <w:p w14:paraId="0CBEFC69">
            <w:pPr>
              <w:spacing w:line="240" w:lineRule="auto"/>
              <w:ind w:firstLine="0" w:firstLineChars="0"/>
              <w:jc w:val="center"/>
              <w:rPr>
                <w:sz w:val="21"/>
                <w:szCs w:val="21"/>
              </w:rPr>
            </w:pPr>
            <w:r>
              <w:rPr>
                <w:rFonts w:hint="eastAsia"/>
                <w:sz w:val="21"/>
                <w:szCs w:val="21"/>
              </w:rPr>
              <w:t>46</w:t>
            </w:r>
          </w:p>
        </w:tc>
      </w:tr>
      <w:tr w14:paraId="08296A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32FE5F6B">
            <w:pPr>
              <w:spacing w:line="240" w:lineRule="auto"/>
              <w:ind w:firstLine="0" w:firstLineChars="0"/>
              <w:jc w:val="center"/>
              <w:rPr>
                <w:sz w:val="21"/>
                <w:szCs w:val="21"/>
              </w:rPr>
            </w:pPr>
          </w:p>
        </w:tc>
        <w:tc>
          <w:tcPr>
            <w:tcW w:w="2556" w:type="dxa"/>
            <w:vAlign w:val="center"/>
          </w:tcPr>
          <w:p w14:paraId="639F636C">
            <w:pPr>
              <w:spacing w:line="240" w:lineRule="auto"/>
              <w:ind w:firstLine="0" w:firstLineChars="0"/>
              <w:jc w:val="center"/>
              <w:rPr>
                <w:sz w:val="21"/>
                <w:szCs w:val="21"/>
              </w:rPr>
            </w:pPr>
            <w:r>
              <w:rPr>
                <w:rFonts w:hint="eastAsia"/>
                <w:sz w:val="21"/>
                <w:szCs w:val="21"/>
              </w:rPr>
              <w:t>2024年3月4日</w:t>
            </w:r>
          </w:p>
        </w:tc>
        <w:tc>
          <w:tcPr>
            <w:tcW w:w="2028" w:type="dxa"/>
            <w:vAlign w:val="center"/>
          </w:tcPr>
          <w:p w14:paraId="74B61CBB">
            <w:pPr>
              <w:spacing w:line="240" w:lineRule="auto"/>
              <w:ind w:firstLine="0" w:firstLineChars="0"/>
              <w:jc w:val="center"/>
              <w:rPr>
                <w:sz w:val="21"/>
                <w:szCs w:val="21"/>
              </w:rPr>
            </w:pPr>
            <w:r>
              <w:rPr>
                <w:rFonts w:hint="eastAsia"/>
                <w:sz w:val="21"/>
                <w:szCs w:val="21"/>
              </w:rPr>
              <w:t>57</w:t>
            </w:r>
          </w:p>
        </w:tc>
        <w:tc>
          <w:tcPr>
            <w:tcW w:w="2116" w:type="dxa"/>
            <w:vAlign w:val="center"/>
          </w:tcPr>
          <w:p w14:paraId="09792913">
            <w:pPr>
              <w:spacing w:line="240" w:lineRule="auto"/>
              <w:ind w:firstLine="0" w:firstLineChars="0"/>
              <w:jc w:val="center"/>
              <w:rPr>
                <w:sz w:val="21"/>
                <w:szCs w:val="21"/>
              </w:rPr>
            </w:pPr>
            <w:r>
              <w:rPr>
                <w:rFonts w:hint="eastAsia"/>
                <w:sz w:val="21"/>
                <w:szCs w:val="21"/>
              </w:rPr>
              <w:t>46</w:t>
            </w:r>
          </w:p>
        </w:tc>
      </w:tr>
      <w:tr w14:paraId="723581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restart"/>
            <w:vAlign w:val="center"/>
          </w:tcPr>
          <w:p w14:paraId="62F460B9">
            <w:pPr>
              <w:spacing w:line="240" w:lineRule="auto"/>
              <w:ind w:firstLine="0" w:firstLineChars="0"/>
              <w:jc w:val="center"/>
              <w:rPr>
                <w:sz w:val="21"/>
                <w:szCs w:val="21"/>
              </w:rPr>
            </w:pPr>
            <w:r>
              <w:rPr>
                <w:rFonts w:hint="eastAsia"/>
                <w:sz w:val="21"/>
                <w:szCs w:val="21"/>
              </w:rPr>
              <w:t>西厂界</w:t>
            </w:r>
          </w:p>
        </w:tc>
        <w:tc>
          <w:tcPr>
            <w:tcW w:w="2556" w:type="dxa"/>
            <w:vAlign w:val="center"/>
          </w:tcPr>
          <w:p w14:paraId="542F8D45">
            <w:pPr>
              <w:spacing w:line="240" w:lineRule="auto"/>
              <w:ind w:firstLine="0" w:firstLineChars="0"/>
              <w:jc w:val="center"/>
              <w:rPr>
                <w:sz w:val="21"/>
                <w:szCs w:val="21"/>
              </w:rPr>
            </w:pPr>
            <w:r>
              <w:rPr>
                <w:rFonts w:hint="eastAsia"/>
                <w:sz w:val="21"/>
                <w:szCs w:val="21"/>
              </w:rPr>
              <w:t>2013年</w:t>
            </w:r>
          </w:p>
        </w:tc>
        <w:tc>
          <w:tcPr>
            <w:tcW w:w="2028" w:type="dxa"/>
            <w:vAlign w:val="center"/>
          </w:tcPr>
          <w:p w14:paraId="3F4B77C4">
            <w:pPr>
              <w:spacing w:line="240" w:lineRule="auto"/>
              <w:ind w:firstLine="0" w:firstLineChars="0"/>
              <w:jc w:val="center"/>
              <w:rPr>
                <w:sz w:val="21"/>
                <w:szCs w:val="21"/>
              </w:rPr>
            </w:pPr>
            <w:r>
              <w:rPr>
                <w:rFonts w:hint="eastAsia"/>
                <w:sz w:val="21"/>
                <w:szCs w:val="21"/>
              </w:rPr>
              <w:t>5</w:t>
            </w:r>
            <w:r>
              <w:rPr>
                <w:sz w:val="21"/>
                <w:szCs w:val="21"/>
              </w:rPr>
              <w:t>5.7</w:t>
            </w:r>
          </w:p>
        </w:tc>
        <w:tc>
          <w:tcPr>
            <w:tcW w:w="2116" w:type="dxa"/>
            <w:vAlign w:val="center"/>
          </w:tcPr>
          <w:p w14:paraId="4D3E8307">
            <w:pPr>
              <w:spacing w:line="240" w:lineRule="auto"/>
              <w:ind w:firstLine="0" w:firstLineChars="0"/>
              <w:jc w:val="center"/>
              <w:rPr>
                <w:sz w:val="21"/>
                <w:szCs w:val="21"/>
              </w:rPr>
            </w:pPr>
            <w:r>
              <w:rPr>
                <w:rFonts w:hint="eastAsia"/>
                <w:sz w:val="21"/>
                <w:szCs w:val="21"/>
              </w:rPr>
              <w:t>4</w:t>
            </w:r>
            <w:r>
              <w:rPr>
                <w:sz w:val="21"/>
                <w:szCs w:val="21"/>
              </w:rPr>
              <w:t>5.1</w:t>
            </w:r>
          </w:p>
        </w:tc>
      </w:tr>
      <w:tr w14:paraId="2E6EBC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09C182A6">
            <w:pPr>
              <w:spacing w:line="240" w:lineRule="auto"/>
              <w:ind w:firstLine="0" w:firstLineChars="0"/>
              <w:jc w:val="center"/>
              <w:rPr>
                <w:sz w:val="21"/>
                <w:szCs w:val="21"/>
              </w:rPr>
            </w:pPr>
          </w:p>
        </w:tc>
        <w:tc>
          <w:tcPr>
            <w:tcW w:w="2556" w:type="dxa"/>
            <w:vAlign w:val="center"/>
          </w:tcPr>
          <w:p w14:paraId="5FBDC071">
            <w:pPr>
              <w:spacing w:line="240" w:lineRule="auto"/>
              <w:ind w:firstLine="0" w:firstLineChars="0"/>
              <w:jc w:val="center"/>
              <w:rPr>
                <w:sz w:val="21"/>
                <w:szCs w:val="21"/>
              </w:rPr>
            </w:pPr>
            <w:r>
              <w:rPr>
                <w:rFonts w:hint="eastAsia"/>
                <w:sz w:val="21"/>
                <w:szCs w:val="21"/>
              </w:rPr>
              <w:t>2022年6月22日</w:t>
            </w:r>
          </w:p>
        </w:tc>
        <w:tc>
          <w:tcPr>
            <w:tcW w:w="2028" w:type="dxa"/>
            <w:vAlign w:val="center"/>
          </w:tcPr>
          <w:p w14:paraId="0D8C9A5A">
            <w:pPr>
              <w:spacing w:line="240" w:lineRule="auto"/>
              <w:ind w:firstLine="0" w:firstLineChars="0"/>
              <w:jc w:val="center"/>
              <w:rPr>
                <w:sz w:val="21"/>
                <w:szCs w:val="21"/>
              </w:rPr>
            </w:pPr>
            <w:r>
              <w:rPr>
                <w:rFonts w:hint="eastAsia"/>
                <w:sz w:val="21"/>
                <w:szCs w:val="21"/>
              </w:rPr>
              <w:t>55</w:t>
            </w:r>
          </w:p>
        </w:tc>
        <w:tc>
          <w:tcPr>
            <w:tcW w:w="2116" w:type="dxa"/>
            <w:vAlign w:val="center"/>
          </w:tcPr>
          <w:p w14:paraId="660A265D">
            <w:pPr>
              <w:spacing w:line="240" w:lineRule="auto"/>
              <w:ind w:firstLine="0" w:firstLineChars="0"/>
              <w:jc w:val="center"/>
              <w:rPr>
                <w:sz w:val="21"/>
                <w:szCs w:val="21"/>
              </w:rPr>
            </w:pPr>
            <w:r>
              <w:rPr>
                <w:rFonts w:hint="eastAsia"/>
                <w:sz w:val="21"/>
                <w:szCs w:val="21"/>
              </w:rPr>
              <w:t>45</w:t>
            </w:r>
          </w:p>
        </w:tc>
      </w:tr>
      <w:tr w14:paraId="1BFA27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693F074C">
            <w:pPr>
              <w:spacing w:line="240" w:lineRule="auto"/>
              <w:ind w:firstLine="0" w:firstLineChars="0"/>
              <w:jc w:val="center"/>
              <w:rPr>
                <w:sz w:val="21"/>
                <w:szCs w:val="21"/>
              </w:rPr>
            </w:pPr>
          </w:p>
        </w:tc>
        <w:tc>
          <w:tcPr>
            <w:tcW w:w="2556" w:type="dxa"/>
            <w:vAlign w:val="center"/>
          </w:tcPr>
          <w:p w14:paraId="3207D1D1">
            <w:pPr>
              <w:spacing w:line="240" w:lineRule="auto"/>
              <w:ind w:firstLine="0" w:firstLineChars="0"/>
              <w:jc w:val="center"/>
              <w:rPr>
                <w:sz w:val="21"/>
                <w:szCs w:val="21"/>
              </w:rPr>
            </w:pPr>
            <w:r>
              <w:rPr>
                <w:rFonts w:hint="eastAsia"/>
                <w:sz w:val="21"/>
                <w:szCs w:val="21"/>
              </w:rPr>
              <w:t>2023年5月8日</w:t>
            </w:r>
          </w:p>
        </w:tc>
        <w:tc>
          <w:tcPr>
            <w:tcW w:w="2028" w:type="dxa"/>
            <w:vAlign w:val="center"/>
          </w:tcPr>
          <w:p w14:paraId="71090548">
            <w:pPr>
              <w:spacing w:line="240" w:lineRule="auto"/>
              <w:ind w:firstLine="0" w:firstLineChars="0"/>
              <w:jc w:val="center"/>
              <w:rPr>
                <w:sz w:val="21"/>
                <w:szCs w:val="21"/>
              </w:rPr>
            </w:pPr>
            <w:r>
              <w:rPr>
                <w:rFonts w:hint="eastAsia"/>
                <w:sz w:val="21"/>
                <w:szCs w:val="21"/>
              </w:rPr>
              <w:t>57</w:t>
            </w:r>
          </w:p>
        </w:tc>
        <w:tc>
          <w:tcPr>
            <w:tcW w:w="2116" w:type="dxa"/>
            <w:vAlign w:val="center"/>
          </w:tcPr>
          <w:p w14:paraId="021C8A81">
            <w:pPr>
              <w:spacing w:line="240" w:lineRule="auto"/>
              <w:ind w:firstLine="0" w:firstLineChars="0"/>
              <w:jc w:val="center"/>
              <w:rPr>
                <w:sz w:val="21"/>
                <w:szCs w:val="21"/>
              </w:rPr>
            </w:pPr>
            <w:r>
              <w:rPr>
                <w:rFonts w:hint="eastAsia"/>
                <w:sz w:val="21"/>
                <w:szCs w:val="21"/>
              </w:rPr>
              <w:t>47</w:t>
            </w:r>
          </w:p>
        </w:tc>
      </w:tr>
      <w:tr w14:paraId="7DB8C5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66C42273">
            <w:pPr>
              <w:spacing w:line="240" w:lineRule="auto"/>
              <w:ind w:firstLine="0" w:firstLineChars="0"/>
              <w:jc w:val="center"/>
              <w:rPr>
                <w:sz w:val="21"/>
                <w:szCs w:val="21"/>
              </w:rPr>
            </w:pPr>
          </w:p>
        </w:tc>
        <w:tc>
          <w:tcPr>
            <w:tcW w:w="2556" w:type="dxa"/>
            <w:vAlign w:val="center"/>
          </w:tcPr>
          <w:p w14:paraId="0D6A9190">
            <w:pPr>
              <w:spacing w:line="240" w:lineRule="auto"/>
              <w:ind w:firstLine="0" w:firstLineChars="0"/>
              <w:jc w:val="center"/>
              <w:rPr>
                <w:sz w:val="21"/>
                <w:szCs w:val="21"/>
              </w:rPr>
            </w:pPr>
            <w:r>
              <w:rPr>
                <w:rFonts w:hint="eastAsia"/>
                <w:sz w:val="21"/>
                <w:szCs w:val="21"/>
              </w:rPr>
              <w:t>2023年12月12日</w:t>
            </w:r>
          </w:p>
        </w:tc>
        <w:tc>
          <w:tcPr>
            <w:tcW w:w="2028" w:type="dxa"/>
            <w:vAlign w:val="center"/>
          </w:tcPr>
          <w:p w14:paraId="4C5EF77C">
            <w:pPr>
              <w:spacing w:line="240" w:lineRule="auto"/>
              <w:ind w:firstLine="0" w:firstLineChars="0"/>
              <w:jc w:val="center"/>
              <w:rPr>
                <w:sz w:val="21"/>
                <w:szCs w:val="21"/>
              </w:rPr>
            </w:pPr>
            <w:r>
              <w:rPr>
                <w:rFonts w:hint="eastAsia"/>
                <w:sz w:val="21"/>
                <w:szCs w:val="21"/>
              </w:rPr>
              <w:t>56</w:t>
            </w:r>
          </w:p>
        </w:tc>
        <w:tc>
          <w:tcPr>
            <w:tcW w:w="2116" w:type="dxa"/>
            <w:vAlign w:val="center"/>
          </w:tcPr>
          <w:p w14:paraId="72493665">
            <w:pPr>
              <w:spacing w:line="240" w:lineRule="auto"/>
              <w:ind w:firstLine="0" w:firstLineChars="0"/>
              <w:jc w:val="center"/>
              <w:rPr>
                <w:sz w:val="21"/>
                <w:szCs w:val="21"/>
              </w:rPr>
            </w:pPr>
            <w:r>
              <w:rPr>
                <w:rFonts w:hint="eastAsia"/>
                <w:sz w:val="21"/>
                <w:szCs w:val="21"/>
              </w:rPr>
              <w:t>45</w:t>
            </w:r>
          </w:p>
        </w:tc>
      </w:tr>
      <w:tr w14:paraId="426610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347F1AEC">
            <w:pPr>
              <w:spacing w:line="240" w:lineRule="auto"/>
              <w:ind w:firstLine="0" w:firstLineChars="0"/>
              <w:jc w:val="center"/>
              <w:rPr>
                <w:sz w:val="21"/>
                <w:szCs w:val="21"/>
              </w:rPr>
            </w:pPr>
          </w:p>
        </w:tc>
        <w:tc>
          <w:tcPr>
            <w:tcW w:w="2556" w:type="dxa"/>
            <w:vAlign w:val="center"/>
          </w:tcPr>
          <w:p w14:paraId="0B3896D8">
            <w:pPr>
              <w:spacing w:line="240" w:lineRule="auto"/>
              <w:ind w:firstLine="0" w:firstLineChars="0"/>
              <w:jc w:val="center"/>
              <w:rPr>
                <w:sz w:val="21"/>
                <w:szCs w:val="21"/>
              </w:rPr>
            </w:pPr>
            <w:r>
              <w:rPr>
                <w:rFonts w:hint="eastAsia"/>
                <w:sz w:val="21"/>
                <w:szCs w:val="21"/>
              </w:rPr>
              <w:t>2024年3月4日</w:t>
            </w:r>
          </w:p>
        </w:tc>
        <w:tc>
          <w:tcPr>
            <w:tcW w:w="2028" w:type="dxa"/>
            <w:vAlign w:val="center"/>
          </w:tcPr>
          <w:p w14:paraId="14FF9E69">
            <w:pPr>
              <w:spacing w:line="240" w:lineRule="auto"/>
              <w:ind w:firstLine="0" w:firstLineChars="0"/>
              <w:jc w:val="center"/>
              <w:rPr>
                <w:sz w:val="21"/>
                <w:szCs w:val="21"/>
              </w:rPr>
            </w:pPr>
            <w:r>
              <w:rPr>
                <w:rFonts w:hint="eastAsia"/>
                <w:sz w:val="21"/>
                <w:szCs w:val="21"/>
              </w:rPr>
              <w:t>56</w:t>
            </w:r>
          </w:p>
        </w:tc>
        <w:tc>
          <w:tcPr>
            <w:tcW w:w="2116" w:type="dxa"/>
            <w:vAlign w:val="center"/>
          </w:tcPr>
          <w:p w14:paraId="2D6CCFA1">
            <w:pPr>
              <w:spacing w:line="240" w:lineRule="auto"/>
              <w:ind w:firstLine="0" w:firstLineChars="0"/>
              <w:jc w:val="center"/>
              <w:rPr>
                <w:sz w:val="21"/>
                <w:szCs w:val="21"/>
              </w:rPr>
            </w:pPr>
            <w:r>
              <w:rPr>
                <w:rFonts w:hint="eastAsia"/>
                <w:sz w:val="21"/>
                <w:szCs w:val="21"/>
              </w:rPr>
              <w:t>47</w:t>
            </w:r>
          </w:p>
        </w:tc>
      </w:tr>
      <w:tr w14:paraId="1FFD52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restart"/>
            <w:vAlign w:val="center"/>
          </w:tcPr>
          <w:p w14:paraId="14BA66D1">
            <w:pPr>
              <w:spacing w:line="240" w:lineRule="auto"/>
              <w:ind w:firstLine="0" w:firstLineChars="0"/>
              <w:jc w:val="center"/>
              <w:rPr>
                <w:sz w:val="21"/>
                <w:szCs w:val="21"/>
              </w:rPr>
            </w:pPr>
            <w:r>
              <w:rPr>
                <w:rFonts w:hint="eastAsia"/>
                <w:sz w:val="21"/>
                <w:szCs w:val="21"/>
              </w:rPr>
              <w:t>北厂界</w:t>
            </w:r>
          </w:p>
        </w:tc>
        <w:tc>
          <w:tcPr>
            <w:tcW w:w="2556" w:type="dxa"/>
            <w:vAlign w:val="center"/>
          </w:tcPr>
          <w:p w14:paraId="4E072A2E">
            <w:pPr>
              <w:spacing w:line="240" w:lineRule="auto"/>
              <w:ind w:firstLine="0" w:firstLineChars="0"/>
              <w:jc w:val="center"/>
              <w:rPr>
                <w:sz w:val="21"/>
                <w:szCs w:val="21"/>
              </w:rPr>
            </w:pPr>
            <w:r>
              <w:rPr>
                <w:rFonts w:hint="eastAsia"/>
                <w:sz w:val="21"/>
                <w:szCs w:val="21"/>
              </w:rPr>
              <w:t>2013年</w:t>
            </w:r>
          </w:p>
        </w:tc>
        <w:tc>
          <w:tcPr>
            <w:tcW w:w="2028" w:type="dxa"/>
            <w:vAlign w:val="center"/>
          </w:tcPr>
          <w:p w14:paraId="03EA00C7">
            <w:pPr>
              <w:spacing w:line="240" w:lineRule="auto"/>
              <w:ind w:firstLine="0" w:firstLineChars="0"/>
              <w:jc w:val="center"/>
              <w:rPr>
                <w:sz w:val="21"/>
                <w:szCs w:val="21"/>
              </w:rPr>
            </w:pPr>
            <w:r>
              <w:rPr>
                <w:rFonts w:hint="eastAsia"/>
                <w:sz w:val="21"/>
                <w:szCs w:val="21"/>
              </w:rPr>
              <w:t>5</w:t>
            </w:r>
            <w:r>
              <w:rPr>
                <w:sz w:val="21"/>
                <w:szCs w:val="21"/>
              </w:rPr>
              <w:t>4.3</w:t>
            </w:r>
          </w:p>
        </w:tc>
        <w:tc>
          <w:tcPr>
            <w:tcW w:w="2116" w:type="dxa"/>
            <w:vAlign w:val="center"/>
          </w:tcPr>
          <w:p w14:paraId="432C9282">
            <w:pPr>
              <w:spacing w:line="240" w:lineRule="auto"/>
              <w:ind w:firstLine="0" w:firstLineChars="0"/>
              <w:jc w:val="center"/>
              <w:rPr>
                <w:sz w:val="21"/>
                <w:szCs w:val="21"/>
              </w:rPr>
            </w:pPr>
            <w:r>
              <w:rPr>
                <w:rFonts w:hint="eastAsia"/>
                <w:sz w:val="21"/>
                <w:szCs w:val="21"/>
              </w:rPr>
              <w:t>4</w:t>
            </w:r>
            <w:r>
              <w:rPr>
                <w:sz w:val="21"/>
                <w:szCs w:val="21"/>
              </w:rPr>
              <w:t>6.7</w:t>
            </w:r>
          </w:p>
        </w:tc>
      </w:tr>
      <w:tr w14:paraId="1EFCC2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544956F6">
            <w:pPr>
              <w:spacing w:line="240" w:lineRule="auto"/>
              <w:ind w:firstLine="0" w:firstLineChars="0"/>
              <w:jc w:val="center"/>
              <w:rPr>
                <w:sz w:val="21"/>
                <w:szCs w:val="21"/>
              </w:rPr>
            </w:pPr>
          </w:p>
        </w:tc>
        <w:tc>
          <w:tcPr>
            <w:tcW w:w="2556" w:type="dxa"/>
            <w:vAlign w:val="center"/>
          </w:tcPr>
          <w:p w14:paraId="1C9A02EC">
            <w:pPr>
              <w:spacing w:line="240" w:lineRule="auto"/>
              <w:ind w:firstLine="0" w:firstLineChars="0"/>
              <w:jc w:val="center"/>
              <w:rPr>
                <w:sz w:val="21"/>
                <w:szCs w:val="21"/>
              </w:rPr>
            </w:pPr>
            <w:r>
              <w:rPr>
                <w:rFonts w:hint="eastAsia"/>
                <w:sz w:val="21"/>
                <w:szCs w:val="21"/>
              </w:rPr>
              <w:t>2022年6月22日</w:t>
            </w:r>
          </w:p>
        </w:tc>
        <w:tc>
          <w:tcPr>
            <w:tcW w:w="2028" w:type="dxa"/>
            <w:vAlign w:val="center"/>
          </w:tcPr>
          <w:p w14:paraId="5B6ECC42">
            <w:pPr>
              <w:spacing w:line="240" w:lineRule="auto"/>
              <w:ind w:firstLine="0" w:firstLineChars="0"/>
              <w:jc w:val="center"/>
              <w:rPr>
                <w:sz w:val="21"/>
                <w:szCs w:val="21"/>
              </w:rPr>
            </w:pPr>
            <w:r>
              <w:rPr>
                <w:rFonts w:hint="eastAsia"/>
                <w:sz w:val="21"/>
                <w:szCs w:val="21"/>
              </w:rPr>
              <w:t>56</w:t>
            </w:r>
          </w:p>
        </w:tc>
        <w:tc>
          <w:tcPr>
            <w:tcW w:w="2116" w:type="dxa"/>
            <w:vAlign w:val="center"/>
          </w:tcPr>
          <w:p w14:paraId="449EE67A">
            <w:pPr>
              <w:spacing w:line="240" w:lineRule="auto"/>
              <w:ind w:firstLine="0" w:firstLineChars="0"/>
              <w:jc w:val="center"/>
              <w:rPr>
                <w:sz w:val="21"/>
                <w:szCs w:val="21"/>
              </w:rPr>
            </w:pPr>
            <w:r>
              <w:rPr>
                <w:rFonts w:hint="eastAsia"/>
                <w:sz w:val="21"/>
                <w:szCs w:val="21"/>
              </w:rPr>
              <w:t>47</w:t>
            </w:r>
          </w:p>
        </w:tc>
      </w:tr>
      <w:tr w14:paraId="6697F7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61C7C67E">
            <w:pPr>
              <w:spacing w:line="240" w:lineRule="auto"/>
              <w:ind w:firstLine="0" w:firstLineChars="0"/>
              <w:jc w:val="center"/>
              <w:rPr>
                <w:sz w:val="21"/>
                <w:szCs w:val="21"/>
              </w:rPr>
            </w:pPr>
          </w:p>
        </w:tc>
        <w:tc>
          <w:tcPr>
            <w:tcW w:w="2556" w:type="dxa"/>
            <w:vAlign w:val="center"/>
          </w:tcPr>
          <w:p w14:paraId="4816B6F3">
            <w:pPr>
              <w:spacing w:line="240" w:lineRule="auto"/>
              <w:ind w:firstLine="0" w:firstLineChars="0"/>
              <w:jc w:val="center"/>
              <w:rPr>
                <w:sz w:val="21"/>
                <w:szCs w:val="21"/>
              </w:rPr>
            </w:pPr>
            <w:r>
              <w:rPr>
                <w:rFonts w:hint="eastAsia"/>
                <w:sz w:val="21"/>
                <w:szCs w:val="21"/>
              </w:rPr>
              <w:t>2023年5月8日</w:t>
            </w:r>
          </w:p>
        </w:tc>
        <w:tc>
          <w:tcPr>
            <w:tcW w:w="2028" w:type="dxa"/>
            <w:vAlign w:val="center"/>
          </w:tcPr>
          <w:p w14:paraId="2A7566B0">
            <w:pPr>
              <w:spacing w:line="240" w:lineRule="auto"/>
              <w:ind w:firstLine="0" w:firstLineChars="0"/>
              <w:jc w:val="center"/>
              <w:rPr>
                <w:sz w:val="21"/>
                <w:szCs w:val="21"/>
              </w:rPr>
            </w:pPr>
            <w:r>
              <w:rPr>
                <w:rFonts w:hint="eastAsia"/>
                <w:sz w:val="21"/>
                <w:szCs w:val="21"/>
              </w:rPr>
              <w:t>59</w:t>
            </w:r>
          </w:p>
        </w:tc>
        <w:tc>
          <w:tcPr>
            <w:tcW w:w="2116" w:type="dxa"/>
            <w:vAlign w:val="center"/>
          </w:tcPr>
          <w:p w14:paraId="74F142AE">
            <w:pPr>
              <w:spacing w:line="240" w:lineRule="auto"/>
              <w:ind w:firstLine="0" w:firstLineChars="0"/>
              <w:jc w:val="center"/>
              <w:rPr>
                <w:sz w:val="21"/>
                <w:szCs w:val="21"/>
              </w:rPr>
            </w:pPr>
            <w:r>
              <w:rPr>
                <w:rFonts w:hint="eastAsia"/>
                <w:sz w:val="21"/>
                <w:szCs w:val="21"/>
              </w:rPr>
              <w:t>47</w:t>
            </w:r>
          </w:p>
        </w:tc>
      </w:tr>
      <w:tr w14:paraId="386332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6F08B2B4">
            <w:pPr>
              <w:spacing w:line="240" w:lineRule="auto"/>
              <w:ind w:firstLine="0" w:firstLineChars="0"/>
              <w:jc w:val="center"/>
              <w:rPr>
                <w:sz w:val="21"/>
                <w:szCs w:val="21"/>
              </w:rPr>
            </w:pPr>
          </w:p>
        </w:tc>
        <w:tc>
          <w:tcPr>
            <w:tcW w:w="2556" w:type="dxa"/>
            <w:vAlign w:val="center"/>
          </w:tcPr>
          <w:p w14:paraId="3BBC8C71">
            <w:pPr>
              <w:spacing w:line="240" w:lineRule="auto"/>
              <w:ind w:firstLine="0" w:firstLineChars="0"/>
              <w:jc w:val="center"/>
              <w:rPr>
                <w:sz w:val="21"/>
                <w:szCs w:val="21"/>
              </w:rPr>
            </w:pPr>
            <w:r>
              <w:rPr>
                <w:rFonts w:hint="eastAsia"/>
                <w:sz w:val="21"/>
                <w:szCs w:val="21"/>
              </w:rPr>
              <w:t>2023年12月12日</w:t>
            </w:r>
          </w:p>
        </w:tc>
        <w:tc>
          <w:tcPr>
            <w:tcW w:w="2028" w:type="dxa"/>
            <w:vAlign w:val="center"/>
          </w:tcPr>
          <w:p w14:paraId="4B649800">
            <w:pPr>
              <w:spacing w:line="240" w:lineRule="auto"/>
              <w:ind w:firstLine="0" w:firstLineChars="0"/>
              <w:jc w:val="center"/>
              <w:rPr>
                <w:sz w:val="21"/>
                <w:szCs w:val="21"/>
              </w:rPr>
            </w:pPr>
            <w:r>
              <w:rPr>
                <w:rFonts w:hint="eastAsia"/>
                <w:sz w:val="21"/>
                <w:szCs w:val="21"/>
              </w:rPr>
              <w:t>58</w:t>
            </w:r>
          </w:p>
        </w:tc>
        <w:tc>
          <w:tcPr>
            <w:tcW w:w="2116" w:type="dxa"/>
            <w:vAlign w:val="center"/>
          </w:tcPr>
          <w:p w14:paraId="6D2826BE">
            <w:pPr>
              <w:spacing w:line="240" w:lineRule="auto"/>
              <w:ind w:firstLine="0" w:firstLineChars="0"/>
              <w:jc w:val="center"/>
              <w:rPr>
                <w:sz w:val="21"/>
                <w:szCs w:val="21"/>
              </w:rPr>
            </w:pPr>
            <w:r>
              <w:rPr>
                <w:rFonts w:hint="eastAsia"/>
                <w:sz w:val="21"/>
                <w:szCs w:val="21"/>
              </w:rPr>
              <w:t>47</w:t>
            </w:r>
          </w:p>
        </w:tc>
      </w:tr>
      <w:tr w14:paraId="262CB8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12" w:type="dxa"/>
            <w:vMerge w:val="continue"/>
            <w:vAlign w:val="center"/>
          </w:tcPr>
          <w:p w14:paraId="509CB140">
            <w:pPr>
              <w:spacing w:line="240" w:lineRule="auto"/>
              <w:ind w:firstLine="0" w:firstLineChars="0"/>
              <w:jc w:val="center"/>
              <w:rPr>
                <w:sz w:val="21"/>
                <w:szCs w:val="21"/>
              </w:rPr>
            </w:pPr>
          </w:p>
        </w:tc>
        <w:tc>
          <w:tcPr>
            <w:tcW w:w="2556" w:type="dxa"/>
            <w:vAlign w:val="center"/>
          </w:tcPr>
          <w:p w14:paraId="2648D53E">
            <w:pPr>
              <w:spacing w:line="240" w:lineRule="auto"/>
              <w:ind w:firstLine="0" w:firstLineChars="0"/>
              <w:jc w:val="center"/>
              <w:rPr>
                <w:sz w:val="21"/>
                <w:szCs w:val="21"/>
              </w:rPr>
            </w:pPr>
            <w:r>
              <w:rPr>
                <w:rFonts w:hint="eastAsia"/>
                <w:sz w:val="21"/>
                <w:szCs w:val="21"/>
              </w:rPr>
              <w:t>2024年3月4日</w:t>
            </w:r>
          </w:p>
        </w:tc>
        <w:tc>
          <w:tcPr>
            <w:tcW w:w="2028" w:type="dxa"/>
            <w:vAlign w:val="center"/>
          </w:tcPr>
          <w:p w14:paraId="53298211">
            <w:pPr>
              <w:spacing w:line="240" w:lineRule="auto"/>
              <w:ind w:firstLine="0" w:firstLineChars="0"/>
              <w:jc w:val="center"/>
              <w:rPr>
                <w:sz w:val="21"/>
                <w:szCs w:val="21"/>
              </w:rPr>
            </w:pPr>
            <w:r>
              <w:rPr>
                <w:rFonts w:hint="eastAsia"/>
                <w:sz w:val="21"/>
                <w:szCs w:val="21"/>
              </w:rPr>
              <w:t>57</w:t>
            </w:r>
          </w:p>
        </w:tc>
        <w:tc>
          <w:tcPr>
            <w:tcW w:w="2116" w:type="dxa"/>
            <w:vAlign w:val="center"/>
          </w:tcPr>
          <w:p w14:paraId="7A6F9825">
            <w:pPr>
              <w:spacing w:line="240" w:lineRule="auto"/>
              <w:ind w:firstLine="0" w:firstLineChars="0"/>
              <w:jc w:val="center"/>
              <w:rPr>
                <w:sz w:val="21"/>
                <w:szCs w:val="21"/>
              </w:rPr>
            </w:pPr>
            <w:r>
              <w:rPr>
                <w:rFonts w:hint="eastAsia"/>
                <w:sz w:val="21"/>
                <w:szCs w:val="21"/>
              </w:rPr>
              <w:t>46</w:t>
            </w:r>
          </w:p>
        </w:tc>
      </w:tr>
    </w:tbl>
    <w:p w14:paraId="051AD22A">
      <w:pPr>
        <w:ind w:firstLine="0" w:firstLineChars="0"/>
        <w:jc w:val="center"/>
        <w:rPr>
          <w:rFonts w:cs="Times New Roman"/>
          <w:szCs w:val="24"/>
        </w:rPr>
      </w:pPr>
      <w:r>
        <w:drawing>
          <wp:inline distT="0" distB="0" distL="0" distR="0">
            <wp:extent cx="4572000" cy="2743200"/>
            <wp:effectExtent l="0" t="0" r="0" b="0"/>
            <wp:docPr id="11016057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0FD50E6">
      <w:pPr>
        <w:ind w:firstLine="0" w:firstLineChars="0"/>
        <w:jc w:val="center"/>
        <w:rPr>
          <w:b/>
        </w:rPr>
      </w:pPr>
      <w:r>
        <w:rPr>
          <w:rFonts w:hint="eastAsia"/>
          <w:b/>
        </w:rPr>
        <w:t>图4.4-1</w:t>
      </w:r>
      <w:r>
        <w:rPr>
          <w:b/>
        </w:rPr>
        <w:t xml:space="preserve">  </w:t>
      </w:r>
      <w:r>
        <w:rPr>
          <w:rFonts w:hint="eastAsia"/>
          <w:b/>
        </w:rPr>
        <w:t>东厂界历年噪声监测统计折线图</w:t>
      </w:r>
    </w:p>
    <w:p w14:paraId="411577DF">
      <w:pPr>
        <w:ind w:firstLine="0" w:firstLineChars="0"/>
        <w:jc w:val="center"/>
        <w:rPr>
          <w:rFonts w:cs="Times New Roman"/>
          <w:szCs w:val="24"/>
        </w:rPr>
      </w:pPr>
      <w:r>
        <w:drawing>
          <wp:inline distT="0" distB="0" distL="0" distR="0">
            <wp:extent cx="4572000" cy="2743200"/>
            <wp:effectExtent l="0" t="0" r="0" b="0"/>
            <wp:docPr id="5270219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FA48AA3">
      <w:pPr>
        <w:ind w:firstLine="0" w:firstLineChars="0"/>
        <w:jc w:val="center"/>
        <w:rPr>
          <w:b/>
        </w:rPr>
      </w:pPr>
      <w:r>
        <w:rPr>
          <w:rFonts w:hint="eastAsia"/>
          <w:b/>
        </w:rPr>
        <w:t>图4.4-2</w:t>
      </w:r>
      <w:r>
        <w:rPr>
          <w:b/>
        </w:rPr>
        <w:t xml:space="preserve">  </w:t>
      </w:r>
      <w:r>
        <w:rPr>
          <w:rFonts w:hint="eastAsia"/>
          <w:b/>
        </w:rPr>
        <w:t>南厂界历年噪声监测统计折线图</w:t>
      </w:r>
    </w:p>
    <w:p w14:paraId="16678D3F">
      <w:pPr>
        <w:ind w:firstLine="0" w:firstLineChars="0"/>
        <w:jc w:val="center"/>
        <w:rPr>
          <w:rFonts w:cs="Times New Roman"/>
          <w:szCs w:val="24"/>
        </w:rPr>
      </w:pPr>
      <w:r>
        <w:drawing>
          <wp:inline distT="0" distB="0" distL="0" distR="0">
            <wp:extent cx="4572000" cy="2743200"/>
            <wp:effectExtent l="0" t="0" r="0" b="0"/>
            <wp:docPr id="131787041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DA27172">
      <w:pPr>
        <w:ind w:firstLine="0" w:firstLineChars="0"/>
        <w:jc w:val="center"/>
        <w:rPr>
          <w:b/>
        </w:rPr>
      </w:pPr>
      <w:r>
        <w:rPr>
          <w:rFonts w:hint="eastAsia"/>
          <w:b/>
        </w:rPr>
        <w:t>图4.4-3</w:t>
      </w:r>
      <w:r>
        <w:rPr>
          <w:b/>
        </w:rPr>
        <w:t xml:space="preserve">  </w:t>
      </w:r>
      <w:r>
        <w:rPr>
          <w:rFonts w:hint="eastAsia"/>
          <w:b/>
        </w:rPr>
        <w:t>西厂界历年噪声监测统计折线图</w:t>
      </w:r>
    </w:p>
    <w:p w14:paraId="7BE6E7CB">
      <w:pPr>
        <w:ind w:firstLine="0" w:firstLineChars="0"/>
        <w:jc w:val="center"/>
        <w:rPr>
          <w:rFonts w:cs="Times New Roman"/>
          <w:szCs w:val="24"/>
        </w:rPr>
      </w:pPr>
      <w:r>
        <w:drawing>
          <wp:inline distT="0" distB="0" distL="0" distR="0">
            <wp:extent cx="4572000" cy="2743200"/>
            <wp:effectExtent l="0" t="0" r="0" b="0"/>
            <wp:docPr id="75121167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4575E97">
      <w:pPr>
        <w:ind w:firstLine="0" w:firstLineChars="0"/>
        <w:jc w:val="center"/>
        <w:rPr>
          <w:b/>
        </w:rPr>
      </w:pPr>
      <w:r>
        <w:rPr>
          <w:rFonts w:hint="eastAsia"/>
          <w:b/>
        </w:rPr>
        <w:t>图4.4-4</w:t>
      </w:r>
      <w:r>
        <w:rPr>
          <w:b/>
        </w:rPr>
        <w:t xml:space="preserve">  </w:t>
      </w:r>
      <w:r>
        <w:rPr>
          <w:rFonts w:hint="eastAsia"/>
          <w:b/>
        </w:rPr>
        <w:t>北厂界历年噪声监测统计折线图</w:t>
      </w:r>
    </w:p>
    <w:p w14:paraId="06D4ACD6">
      <w:pPr>
        <w:widowControl/>
        <w:ind w:firstLine="480"/>
        <w:jc w:val="left"/>
        <w:rPr>
          <w:rFonts w:cs="Times New Roman"/>
          <w:kern w:val="0"/>
          <w:szCs w:val="24"/>
        </w:rPr>
      </w:pPr>
      <w:r>
        <w:rPr>
          <w:rFonts w:hint="eastAsia" w:cs="Times New Roman"/>
          <w:kern w:val="0"/>
          <w:szCs w:val="24"/>
        </w:rPr>
        <w:t>通过与环评、验收监测噪声监测数据对比结果可知，后评价阶段各监测点位监测期间的监测结果与环评、验收监测时监测结果变化不明显，各监测因子均达到《声环境质量标准》（GB3096－2008）中2类标准限值要求。</w:t>
      </w:r>
    </w:p>
    <w:p w14:paraId="27F74963">
      <w:pPr>
        <w:keepNext/>
        <w:keepLines/>
        <w:spacing w:before="260" w:after="260" w:line="415" w:lineRule="auto"/>
        <w:ind w:firstLine="0" w:firstLineChars="0"/>
        <w:jc w:val="left"/>
        <w:outlineLvl w:val="2"/>
        <w:rPr>
          <w:b/>
          <w:bCs/>
          <w:sz w:val="28"/>
          <w:szCs w:val="32"/>
        </w:rPr>
      </w:pPr>
      <w:r>
        <w:rPr>
          <w:rFonts w:hint="eastAsia"/>
          <w:b/>
          <w:bCs/>
          <w:sz w:val="28"/>
          <w:szCs w:val="32"/>
        </w:rPr>
        <w:t>4.4.5</w:t>
      </w:r>
      <w:r>
        <w:rPr>
          <w:b/>
          <w:bCs/>
          <w:sz w:val="28"/>
          <w:szCs w:val="32"/>
        </w:rPr>
        <w:t xml:space="preserve"> </w:t>
      </w:r>
      <w:r>
        <w:rPr>
          <w:rFonts w:hint="eastAsia"/>
          <w:b/>
          <w:bCs/>
          <w:sz w:val="28"/>
          <w:szCs w:val="32"/>
        </w:rPr>
        <w:t>土壤环境质量现状</w:t>
      </w:r>
    </w:p>
    <w:p w14:paraId="10BC0645">
      <w:pPr>
        <w:widowControl/>
        <w:ind w:firstLine="480"/>
        <w:jc w:val="left"/>
        <w:rPr>
          <w:rFonts w:cs="Times New Roman"/>
          <w:kern w:val="0"/>
          <w:szCs w:val="24"/>
        </w:rPr>
      </w:pPr>
      <w:r>
        <w:rPr>
          <w:rFonts w:cs="Times New Roman"/>
          <w:kern w:val="0"/>
          <w:szCs w:val="24"/>
        </w:rPr>
        <w:t>（1）监测点位</w:t>
      </w:r>
    </w:p>
    <w:p w14:paraId="478E40E4">
      <w:pPr>
        <w:widowControl/>
        <w:ind w:firstLine="480"/>
        <w:jc w:val="left"/>
        <w:rPr>
          <w:rFonts w:cs="Times New Roman"/>
          <w:kern w:val="0"/>
          <w:szCs w:val="24"/>
        </w:rPr>
      </w:pPr>
      <w:r>
        <w:rPr>
          <w:rFonts w:cs="Times New Roman"/>
          <w:kern w:val="0"/>
          <w:szCs w:val="24"/>
        </w:rPr>
        <w:t>占地范围内（采选工业场地、充填站及尾矿库）：设置 4 个柱状样品采样点，2 个表层土壤采样点。</w:t>
      </w:r>
    </w:p>
    <w:p w14:paraId="4AD48C23">
      <w:pPr>
        <w:widowControl/>
        <w:ind w:firstLine="480"/>
        <w:jc w:val="left"/>
        <w:rPr>
          <w:rFonts w:cs="Times New Roman"/>
          <w:kern w:val="0"/>
          <w:szCs w:val="24"/>
        </w:rPr>
      </w:pPr>
      <w:r>
        <w:rPr>
          <w:rFonts w:cs="Times New Roman"/>
          <w:kern w:val="0"/>
          <w:szCs w:val="24"/>
        </w:rPr>
        <w:t>占地范围外：霍邱县主导风向为 ESE 风向，项目占地外上风向设 1 个表层土壤 采样点、下风向设 3 个表层土壤采样点。</w:t>
      </w:r>
    </w:p>
    <w:p w14:paraId="0804FB4E">
      <w:pPr>
        <w:ind w:firstLine="0" w:firstLineChars="0"/>
        <w:jc w:val="center"/>
        <w:rPr>
          <w:b/>
        </w:rPr>
      </w:pPr>
      <w:r>
        <w:rPr>
          <w:b/>
        </w:rPr>
        <w:t>土壤环境现状监测点位置及监测项目一览表</w:t>
      </w:r>
    </w:p>
    <w:tbl>
      <w:tblPr>
        <w:tblStyle w:val="143"/>
        <w:tblW w:w="942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9"/>
        <w:gridCol w:w="2244"/>
        <w:gridCol w:w="1496"/>
        <w:gridCol w:w="1152"/>
        <w:gridCol w:w="1107"/>
        <w:gridCol w:w="1389"/>
        <w:gridCol w:w="1266"/>
      </w:tblGrid>
      <w:tr w14:paraId="3D2F52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6" w:hRule="atLeast"/>
          <w:jc w:val="center"/>
        </w:trPr>
        <w:tc>
          <w:tcPr>
            <w:tcW w:w="769" w:type="dxa"/>
            <w:vMerge w:val="restart"/>
            <w:tcBorders>
              <w:left w:val="single" w:color="000000" w:sz="10" w:space="0"/>
              <w:bottom w:val="nil"/>
            </w:tcBorders>
            <w:vAlign w:val="center"/>
          </w:tcPr>
          <w:p w14:paraId="422995F5">
            <w:pPr>
              <w:widowControl/>
              <w:kinsoku w:val="0"/>
              <w:autoSpaceDE w:val="0"/>
              <w:autoSpaceDN w:val="0"/>
              <w:adjustRightInd w:val="0"/>
              <w:snapToGrid w:val="0"/>
              <w:spacing w:before="203" w:after="160" w:line="271" w:lineRule="exact"/>
              <w:ind w:firstLine="165"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6"/>
                <w:kern w:val="0"/>
                <w:position w:val="4"/>
                <w:sz w:val="20"/>
                <w:szCs w:val="20"/>
                <w14:textOutline w14:w="3797" w14:cap="sq" w14:cmpd="sng" w14:algn="ctr">
                  <w14:solidFill>
                    <w14:srgbClr w14:val="000000"/>
                  </w14:solidFill>
                  <w14:prstDash w14:val="solid"/>
                  <w14:bevel/>
                </w14:textOutline>
              </w:rPr>
              <w:t>测</w:t>
            </w:r>
            <w:r>
              <w:rPr>
                <w:rFonts w:ascii="宋体" w:hAnsi="宋体" w:cs="宋体"/>
                <w:snapToGrid w:val="0"/>
                <w:color w:val="000000"/>
                <w:spacing w:val="5"/>
                <w:kern w:val="0"/>
                <w:position w:val="4"/>
                <w:sz w:val="20"/>
                <w:szCs w:val="20"/>
                <w14:textOutline w14:w="3797" w14:cap="sq" w14:cmpd="sng" w14:algn="ctr">
                  <w14:solidFill>
                    <w14:srgbClr w14:val="000000"/>
                  </w14:solidFill>
                  <w14:prstDash w14:val="solid"/>
                  <w14:bevel/>
                </w14:textOutline>
              </w:rPr>
              <w:t>点</w:t>
            </w:r>
          </w:p>
          <w:p w14:paraId="506AC1CD">
            <w:pPr>
              <w:widowControl/>
              <w:kinsoku w:val="0"/>
              <w:autoSpaceDE w:val="0"/>
              <w:autoSpaceDN w:val="0"/>
              <w:adjustRightInd w:val="0"/>
              <w:snapToGrid w:val="0"/>
              <w:spacing w:after="160" w:line="227" w:lineRule="auto"/>
              <w:ind w:firstLine="166"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5"/>
                <w:kern w:val="0"/>
                <w:sz w:val="20"/>
                <w:szCs w:val="20"/>
                <w14:textOutline w14:w="3797" w14:cap="sq" w14:cmpd="sng" w14:algn="ctr">
                  <w14:solidFill>
                    <w14:srgbClr w14:val="000000"/>
                  </w14:solidFill>
                  <w14:prstDash w14:val="solid"/>
                  <w14:bevel/>
                </w14:textOutline>
              </w:rPr>
              <w:t>编号</w:t>
            </w:r>
          </w:p>
        </w:tc>
        <w:tc>
          <w:tcPr>
            <w:tcW w:w="2244" w:type="dxa"/>
            <w:vMerge w:val="restart"/>
            <w:tcBorders>
              <w:bottom w:val="nil"/>
            </w:tcBorders>
            <w:vAlign w:val="center"/>
          </w:tcPr>
          <w:p w14:paraId="67A4C22D">
            <w:pPr>
              <w:widowControl/>
              <w:kinsoku w:val="0"/>
              <w:autoSpaceDE w:val="0"/>
              <w:autoSpaceDN w:val="0"/>
              <w:adjustRightInd w:val="0"/>
              <w:snapToGrid w:val="0"/>
              <w:spacing w:before="65" w:after="160" w:line="229" w:lineRule="auto"/>
              <w:ind w:firstLine="700"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9"/>
                <w:kern w:val="0"/>
                <w:sz w:val="20"/>
                <w:szCs w:val="20"/>
                <w14:textOutline w14:w="3797" w14:cap="sq" w14:cmpd="sng" w14:algn="ctr">
                  <w14:solidFill>
                    <w14:srgbClr w14:val="000000"/>
                  </w14:solidFill>
                  <w14:prstDash w14:val="solid"/>
                  <w14:bevel/>
                </w14:textOutline>
              </w:rPr>
              <w:t>测</w:t>
            </w:r>
            <w:r>
              <w:rPr>
                <w:rFonts w:ascii="宋体" w:hAnsi="宋体" w:cs="宋体"/>
                <w:snapToGrid w:val="0"/>
                <w:color w:val="000000"/>
                <w:spacing w:val="8"/>
                <w:kern w:val="0"/>
                <w:sz w:val="20"/>
                <w:szCs w:val="20"/>
                <w14:textOutline w14:w="3797" w14:cap="sq" w14:cmpd="sng" w14:algn="ctr">
                  <w14:solidFill>
                    <w14:srgbClr w14:val="000000"/>
                  </w14:solidFill>
                  <w14:prstDash w14:val="solid"/>
                  <w14:bevel/>
                </w14:textOutline>
              </w:rPr>
              <w:t>点位置</w:t>
            </w:r>
          </w:p>
        </w:tc>
        <w:tc>
          <w:tcPr>
            <w:tcW w:w="1496" w:type="dxa"/>
            <w:vMerge w:val="restart"/>
            <w:tcBorders>
              <w:bottom w:val="nil"/>
            </w:tcBorders>
            <w:vAlign w:val="center"/>
          </w:tcPr>
          <w:p w14:paraId="1FD099A4">
            <w:pPr>
              <w:widowControl/>
              <w:kinsoku w:val="0"/>
              <w:autoSpaceDE w:val="0"/>
              <w:autoSpaceDN w:val="0"/>
              <w:adjustRightInd w:val="0"/>
              <w:snapToGrid w:val="0"/>
              <w:spacing w:before="65" w:after="160" w:line="228" w:lineRule="auto"/>
              <w:ind w:firstLine="230"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8"/>
                <w:kern w:val="0"/>
                <w:sz w:val="20"/>
                <w:szCs w:val="20"/>
                <w14:textOutline w14:w="3797" w14:cap="sq" w14:cmpd="sng" w14:algn="ctr">
                  <w14:solidFill>
                    <w14:srgbClr w14:val="000000"/>
                  </w14:solidFill>
                  <w14:prstDash w14:val="solid"/>
                  <w14:bevel/>
                </w14:textOutline>
              </w:rPr>
              <w:t>与项目位</w:t>
            </w:r>
            <w:r>
              <w:rPr>
                <w:rFonts w:ascii="宋体" w:hAnsi="宋体" w:cs="宋体"/>
                <w:snapToGrid w:val="0"/>
                <w:color w:val="000000"/>
                <w:spacing w:val="7"/>
                <w:kern w:val="0"/>
                <w:sz w:val="20"/>
                <w:szCs w:val="20"/>
                <w14:textOutline w14:w="3797" w14:cap="sq" w14:cmpd="sng" w14:algn="ctr">
                  <w14:solidFill>
                    <w14:srgbClr w14:val="000000"/>
                  </w14:solidFill>
                  <w14:prstDash w14:val="solid"/>
                  <w14:bevel/>
                </w14:textOutline>
              </w:rPr>
              <w:t>置</w:t>
            </w:r>
          </w:p>
        </w:tc>
        <w:tc>
          <w:tcPr>
            <w:tcW w:w="1152" w:type="dxa"/>
            <w:vMerge w:val="restart"/>
            <w:tcBorders>
              <w:bottom w:val="nil"/>
            </w:tcBorders>
            <w:vAlign w:val="center"/>
          </w:tcPr>
          <w:p w14:paraId="2439C73E">
            <w:pPr>
              <w:widowControl/>
              <w:kinsoku w:val="0"/>
              <w:autoSpaceDE w:val="0"/>
              <w:autoSpaceDN w:val="0"/>
              <w:adjustRightInd w:val="0"/>
              <w:snapToGrid w:val="0"/>
              <w:spacing w:before="65" w:after="160" w:line="228" w:lineRule="auto"/>
              <w:ind w:firstLine="162"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9"/>
                <w:kern w:val="0"/>
                <w:sz w:val="20"/>
                <w:szCs w:val="20"/>
                <w14:textOutline w14:w="3797" w14:cap="sq" w14:cmpd="sng" w14:algn="ctr">
                  <w14:solidFill>
                    <w14:srgbClr w14:val="000000"/>
                  </w14:solidFill>
                  <w14:prstDash w14:val="solid"/>
                  <w14:bevel/>
                </w14:textOutline>
              </w:rPr>
              <w:t>样点类</w:t>
            </w:r>
            <w:r>
              <w:rPr>
                <w:rFonts w:ascii="宋体" w:hAnsi="宋体" w:cs="宋体"/>
                <w:snapToGrid w:val="0"/>
                <w:color w:val="000000"/>
                <w:spacing w:val="8"/>
                <w:kern w:val="0"/>
                <w:sz w:val="20"/>
                <w:szCs w:val="20"/>
                <w14:textOutline w14:w="3797" w14:cap="sq" w14:cmpd="sng" w14:algn="ctr">
                  <w14:solidFill>
                    <w14:srgbClr w14:val="000000"/>
                  </w14:solidFill>
                  <w14:prstDash w14:val="solid"/>
                  <w14:bevel/>
                </w14:textOutline>
              </w:rPr>
              <w:t>型</w:t>
            </w:r>
          </w:p>
        </w:tc>
        <w:tc>
          <w:tcPr>
            <w:tcW w:w="1107" w:type="dxa"/>
            <w:vMerge w:val="restart"/>
            <w:tcBorders>
              <w:bottom w:val="nil"/>
            </w:tcBorders>
            <w:vAlign w:val="center"/>
          </w:tcPr>
          <w:p w14:paraId="48961035">
            <w:pPr>
              <w:widowControl/>
              <w:kinsoku w:val="0"/>
              <w:autoSpaceDE w:val="0"/>
              <w:autoSpaceDN w:val="0"/>
              <w:adjustRightInd w:val="0"/>
              <w:snapToGrid w:val="0"/>
              <w:spacing w:before="65" w:after="160" w:line="228" w:lineRule="auto"/>
              <w:ind w:firstLine="144"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9"/>
                <w:kern w:val="0"/>
                <w:sz w:val="20"/>
                <w:szCs w:val="20"/>
                <w14:textOutline w14:w="3797" w14:cap="sq" w14:cmpd="sng" w14:algn="ctr">
                  <w14:solidFill>
                    <w14:srgbClr w14:val="000000"/>
                  </w14:solidFill>
                  <w14:prstDash w14:val="solid"/>
                  <w14:bevel/>
                </w14:textOutline>
              </w:rPr>
              <w:t>监</w:t>
            </w:r>
            <w:r>
              <w:rPr>
                <w:rFonts w:ascii="宋体" w:hAnsi="宋体" w:cs="宋体"/>
                <w:snapToGrid w:val="0"/>
                <w:color w:val="000000"/>
                <w:spacing w:val="8"/>
                <w:kern w:val="0"/>
                <w:sz w:val="20"/>
                <w:szCs w:val="20"/>
                <w14:textOutline w14:w="3797" w14:cap="sq" w14:cmpd="sng" w14:algn="ctr">
                  <w14:solidFill>
                    <w14:srgbClr w14:val="000000"/>
                  </w14:solidFill>
                  <w14:prstDash w14:val="solid"/>
                  <w14:bevel/>
                </w14:textOutline>
              </w:rPr>
              <w:t>测项目</w:t>
            </w:r>
          </w:p>
        </w:tc>
        <w:tc>
          <w:tcPr>
            <w:tcW w:w="2655" w:type="dxa"/>
            <w:gridSpan w:val="2"/>
            <w:tcBorders>
              <w:right w:val="single" w:color="000000" w:sz="10" w:space="0"/>
            </w:tcBorders>
            <w:vAlign w:val="center"/>
          </w:tcPr>
          <w:p w14:paraId="3FF88C68">
            <w:pPr>
              <w:widowControl/>
              <w:kinsoku w:val="0"/>
              <w:autoSpaceDE w:val="0"/>
              <w:autoSpaceDN w:val="0"/>
              <w:adjustRightInd w:val="0"/>
              <w:snapToGrid w:val="0"/>
              <w:spacing w:before="129" w:after="160" w:line="228" w:lineRule="auto"/>
              <w:ind w:firstLine="1125"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6"/>
                <w:kern w:val="0"/>
                <w:sz w:val="20"/>
                <w:szCs w:val="20"/>
                <w14:textOutline w14:w="3797" w14:cap="sq" w14:cmpd="sng" w14:algn="ctr">
                  <w14:solidFill>
                    <w14:srgbClr w14:val="000000"/>
                  </w14:solidFill>
                  <w14:prstDash w14:val="solid"/>
                  <w14:bevel/>
                </w14:textOutline>
              </w:rPr>
              <w:t>坐</w:t>
            </w:r>
            <w:r>
              <w:rPr>
                <w:rFonts w:ascii="宋体" w:hAnsi="宋体" w:cs="宋体"/>
                <w:snapToGrid w:val="0"/>
                <w:color w:val="000000"/>
                <w:spacing w:val="5"/>
                <w:kern w:val="0"/>
                <w:sz w:val="20"/>
                <w:szCs w:val="20"/>
                <w14:textOutline w14:w="3797" w14:cap="sq" w14:cmpd="sng" w14:algn="ctr">
                  <w14:solidFill>
                    <w14:srgbClr w14:val="000000"/>
                  </w14:solidFill>
                  <w14:prstDash w14:val="solid"/>
                  <w14:bevel/>
                </w14:textOutline>
              </w:rPr>
              <w:t>标</w:t>
            </w:r>
          </w:p>
        </w:tc>
      </w:tr>
      <w:tr w14:paraId="6CF062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jc w:val="center"/>
        </w:trPr>
        <w:tc>
          <w:tcPr>
            <w:tcW w:w="769" w:type="dxa"/>
            <w:vMerge w:val="continue"/>
            <w:tcBorders>
              <w:top w:val="nil"/>
              <w:left w:val="single" w:color="000000" w:sz="10" w:space="0"/>
            </w:tcBorders>
            <w:vAlign w:val="center"/>
          </w:tcPr>
          <w:p w14:paraId="5B85F825">
            <w:pPr>
              <w:widowControl/>
              <w:kinsoku w:val="0"/>
              <w:autoSpaceDE w:val="0"/>
              <w:autoSpaceDN w:val="0"/>
              <w:adjustRightInd w:val="0"/>
              <w:snapToGrid w:val="0"/>
              <w:spacing w:after="160" w:line="240" w:lineRule="auto"/>
              <w:ind w:firstLine="0" w:firstLineChars="0"/>
              <w:jc w:val="left"/>
              <w:textAlignment w:val="baseline"/>
              <w:rPr>
                <w:rFonts w:ascii="Arial" w:hAnsi="Arial" w:eastAsia="等线" w:cs="Arial"/>
                <w:snapToGrid w:val="0"/>
                <w:color w:val="000000"/>
                <w:kern w:val="0"/>
                <w:sz w:val="21"/>
                <w:szCs w:val="21"/>
              </w:rPr>
            </w:pPr>
          </w:p>
        </w:tc>
        <w:tc>
          <w:tcPr>
            <w:tcW w:w="2244" w:type="dxa"/>
            <w:vMerge w:val="continue"/>
            <w:tcBorders>
              <w:top w:val="nil"/>
            </w:tcBorders>
            <w:vAlign w:val="center"/>
          </w:tcPr>
          <w:p w14:paraId="3D8D9B54">
            <w:pPr>
              <w:widowControl/>
              <w:kinsoku w:val="0"/>
              <w:autoSpaceDE w:val="0"/>
              <w:autoSpaceDN w:val="0"/>
              <w:adjustRightInd w:val="0"/>
              <w:snapToGrid w:val="0"/>
              <w:spacing w:after="160" w:line="240" w:lineRule="auto"/>
              <w:ind w:firstLine="0" w:firstLineChars="0"/>
              <w:jc w:val="left"/>
              <w:textAlignment w:val="baseline"/>
              <w:rPr>
                <w:rFonts w:ascii="Arial" w:hAnsi="Arial" w:eastAsia="等线" w:cs="Arial"/>
                <w:snapToGrid w:val="0"/>
                <w:color w:val="000000"/>
                <w:kern w:val="0"/>
                <w:sz w:val="21"/>
                <w:szCs w:val="21"/>
              </w:rPr>
            </w:pPr>
          </w:p>
        </w:tc>
        <w:tc>
          <w:tcPr>
            <w:tcW w:w="1496" w:type="dxa"/>
            <w:vMerge w:val="continue"/>
            <w:tcBorders>
              <w:top w:val="nil"/>
            </w:tcBorders>
            <w:vAlign w:val="center"/>
          </w:tcPr>
          <w:p w14:paraId="7C8CB0F7">
            <w:pPr>
              <w:widowControl/>
              <w:kinsoku w:val="0"/>
              <w:autoSpaceDE w:val="0"/>
              <w:autoSpaceDN w:val="0"/>
              <w:adjustRightInd w:val="0"/>
              <w:snapToGrid w:val="0"/>
              <w:spacing w:after="160" w:line="240" w:lineRule="auto"/>
              <w:ind w:firstLine="0" w:firstLineChars="0"/>
              <w:jc w:val="left"/>
              <w:textAlignment w:val="baseline"/>
              <w:rPr>
                <w:rFonts w:ascii="Arial" w:hAnsi="Arial" w:eastAsia="等线" w:cs="Arial"/>
                <w:snapToGrid w:val="0"/>
                <w:color w:val="000000"/>
                <w:kern w:val="0"/>
                <w:sz w:val="21"/>
                <w:szCs w:val="21"/>
              </w:rPr>
            </w:pPr>
          </w:p>
        </w:tc>
        <w:tc>
          <w:tcPr>
            <w:tcW w:w="1152" w:type="dxa"/>
            <w:vMerge w:val="continue"/>
            <w:tcBorders>
              <w:top w:val="nil"/>
            </w:tcBorders>
            <w:vAlign w:val="center"/>
          </w:tcPr>
          <w:p w14:paraId="3C6DF090">
            <w:pPr>
              <w:widowControl/>
              <w:kinsoku w:val="0"/>
              <w:autoSpaceDE w:val="0"/>
              <w:autoSpaceDN w:val="0"/>
              <w:adjustRightInd w:val="0"/>
              <w:snapToGrid w:val="0"/>
              <w:spacing w:after="160" w:line="240" w:lineRule="auto"/>
              <w:ind w:firstLine="0" w:firstLineChars="0"/>
              <w:jc w:val="left"/>
              <w:textAlignment w:val="baseline"/>
              <w:rPr>
                <w:rFonts w:ascii="Arial" w:hAnsi="Arial" w:eastAsia="等线" w:cs="Arial"/>
                <w:snapToGrid w:val="0"/>
                <w:color w:val="000000"/>
                <w:kern w:val="0"/>
                <w:sz w:val="21"/>
                <w:szCs w:val="21"/>
              </w:rPr>
            </w:pPr>
          </w:p>
        </w:tc>
        <w:tc>
          <w:tcPr>
            <w:tcW w:w="1107" w:type="dxa"/>
            <w:vMerge w:val="continue"/>
            <w:tcBorders>
              <w:top w:val="nil"/>
            </w:tcBorders>
            <w:vAlign w:val="center"/>
          </w:tcPr>
          <w:p w14:paraId="60B28F77">
            <w:pPr>
              <w:widowControl/>
              <w:kinsoku w:val="0"/>
              <w:autoSpaceDE w:val="0"/>
              <w:autoSpaceDN w:val="0"/>
              <w:adjustRightInd w:val="0"/>
              <w:snapToGrid w:val="0"/>
              <w:spacing w:after="160" w:line="240" w:lineRule="auto"/>
              <w:ind w:firstLine="0" w:firstLineChars="0"/>
              <w:jc w:val="left"/>
              <w:textAlignment w:val="baseline"/>
              <w:rPr>
                <w:rFonts w:ascii="Arial" w:hAnsi="Arial" w:eastAsia="等线" w:cs="Arial"/>
                <w:snapToGrid w:val="0"/>
                <w:color w:val="000000"/>
                <w:kern w:val="0"/>
                <w:sz w:val="21"/>
                <w:szCs w:val="21"/>
              </w:rPr>
            </w:pPr>
          </w:p>
        </w:tc>
        <w:tc>
          <w:tcPr>
            <w:tcW w:w="1389" w:type="dxa"/>
            <w:vAlign w:val="center"/>
          </w:tcPr>
          <w:p w14:paraId="3D36A930">
            <w:pPr>
              <w:widowControl/>
              <w:kinsoku w:val="0"/>
              <w:autoSpaceDE w:val="0"/>
              <w:autoSpaceDN w:val="0"/>
              <w:adjustRightInd w:val="0"/>
              <w:snapToGrid w:val="0"/>
              <w:spacing w:before="100" w:after="160" w:line="228" w:lineRule="auto"/>
              <w:ind w:firstLine="498"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5"/>
                <w:kern w:val="0"/>
                <w:sz w:val="20"/>
                <w:szCs w:val="20"/>
                <w14:textOutline w14:w="3797" w14:cap="sq" w14:cmpd="sng" w14:algn="ctr">
                  <w14:solidFill>
                    <w14:srgbClr w14:val="000000"/>
                  </w14:solidFill>
                  <w14:prstDash w14:val="solid"/>
                  <w14:bevel/>
                </w14:textOutline>
              </w:rPr>
              <w:t>经度</w:t>
            </w:r>
          </w:p>
        </w:tc>
        <w:tc>
          <w:tcPr>
            <w:tcW w:w="1266" w:type="dxa"/>
            <w:tcBorders>
              <w:right w:val="single" w:color="000000" w:sz="10" w:space="0"/>
            </w:tcBorders>
            <w:vAlign w:val="center"/>
          </w:tcPr>
          <w:p w14:paraId="750571EC">
            <w:pPr>
              <w:widowControl/>
              <w:kinsoku w:val="0"/>
              <w:autoSpaceDE w:val="0"/>
              <w:autoSpaceDN w:val="0"/>
              <w:adjustRightInd w:val="0"/>
              <w:snapToGrid w:val="0"/>
              <w:spacing w:before="100" w:after="160" w:line="228" w:lineRule="auto"/>
              <w:ind w:firstLine="432"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6"/>
                <w:kern w:val="0"/>
                <w:sz w:val="20"/>
                <w:szCs w:val="20"/>
                <w14:textOutline w14:w="3797" w14:cap="sq" w14:cmpd="sng" w14:algn="ctr">
                  <w14:solidFill>
                    <w14:srgbClr w14:val="000000"/>
                  </w14:solidFill>
                  <w14:prstDash w14:val="solid"/>
                  <w14:bevel/>
                </w14:textOutline>
              </w:rPr>
              <w:t>纬</w:t>
            </w:r>
            <w:r>
              <w:rPr>
                <w:rFonts w:ascii="宋体" w:hAnsi="宋体" w:cs="宋体"/>
                <w:snapToGrid w:val="0"/>
                <w:color w:val="000000"/>
                <w:spacing w:val="5"/>
                <w:kern w:val="0"/>
                <w:sz w:val="20"/>
                <w:szCs w:val="20"/>
                <w14:textOutline w14:w="3797" w14:cap="sq" w14:cmpd="sng" w14:algn="ctr">
                  <w14:solidFill>
                    <w14:srgbClr w14:val="000000"/>
                  </w14:solidFill>
                  <w14:prstDash w14:val="solid"/>
                  <w14:bevel/>
                </w14:textOutline>
              </w:rPr>
              <w:t>度</w:t>
            </w:r>
          </w:p>
        </w:tc>
      </w:tr>
      <w:tr w14:paraId="240A56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4" w:hRule="atLeast"/>
          <w:jc w:val="center"/>
        </w:trPr>
        <w:tc>
          <w:tcPr>
            <w:tcW w:w="769" w:type="dxa"/>
            <w:tcBorders>
              <w:left w:val="single" w:color="000000" w:sz="10" w:space="0"/>
            </w:tcBorders>
            <w:vAlign w:val="center"/>
          </w:tcPr>
          <w:p w14:paraId="5D043937">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TR1</w:t>
            </w:r>
          </w:p>
        </w:tc>
        <w:tc>
          <w:tcPr>
            <w:tcW w:w="2244" w:type="dxa"/>
            <w:vAlign w:val="center"/>
          </w:tcPr>
          <w:p w14:paraId="0613C987">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尾矿库主坝</w:t>
            </w:r>
          </w:p>
        </w:tc>
        <w:tc>
          <w:tcPr>
            <w:tcW w:w="1496" w:type="dxa"/>
            <w:vMerge w:val="restart"/>
            <w:tcBorders>
              <w:bottom w:val="nil"/>
            </w:tcBorders>
            <w:vAlign w:val="center"/>
          </w:tcPr>
          <w:p w14:paraId="1F434B8A">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占地范围内</w:t>
            </w:r>
          </w:p>
        </w:tc>
        <w:tc>
          <w:tcPr>
            <w:tcW w:w="1152" w:type="dxa"/>
            <w:vAlign w:val="center"/>
          </w:tcPr>
          <w:p w14:paraId="73B5A1F4">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柱状样点</w:t>
            </w:r>
          </w:p>
        </w:tc>
        <w:tc>
          <w:tcPr>
            <w:tcW w:w="1107" w:type="dxa"/>
            <w:vAlign w:val="center"/>
          </w:tcPr>
          <w:p w14:paraId="1A131005">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45 项</w:t>
            </w:r>
          </w:p>
        </w:tc>
        <w:tc>
          <w:tcPr>
            <w:tcW w:w="1389" w:type="dxa"/>
            <w:vAlign w:val="center"/>
          </w:tcPr>
          <w:p w14:paraId="685A4563">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115.985004</w:t>
            </w:r>
          </w:p>
        </w:tc>
        <w:tc>
          <w:tcPr>
            <w:tcW w:w="1266" w:type="dxa"/>
            <w:tcBorders>
              <w:right w:val="single" w:color="000000" w:sz="10" w:space="0"/>
            </w:tcBorders>
            <w:vAlign w:val="center"/>
          </w:tcPr>
          <w:p w14:paraId="6A24E24B">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32.433186</w:t>
            </w:r>
          </w:p>
        </w:tc>
      </w:tr>
      <w:tr w14:paraId="433CD0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769" w:type="dxa"/>
            <w:tcBorders>
              <w:left w:val="single" w:color="000000" w:sz="10" w:space="0"/>
            </w:tcBorders>
            <w:vAlign w:val="center"/>
          </w:tcPr>
          <w:p w14:paraId="3BACE9BE">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TR2</w:t>
            </w:r>
          </w:p>
        </w:tc>
        <w:tc>
          <w:tcPr>
            <w:tcW w:w="2244" w:type="dxa"/>
            <w:vAlign w:val="center"/>
          </w:tcPr>
          <w:p w14:paraId="738FFA42">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主厂房旁空地</w:t>
            </w:r>
          </w:p>
        </w:tc>
        <w:tc>
          <w:tcPr>
            <w:tcW w:w="1496" w:type="dxa"/>
            <w:vMerge w:val="continue"/>
            <w:tcBorders>
              <w:top w:val="nil"/>
              <w:bottom w:val="nil"/>
            </w:tcBorders>
            <w:vAlign w:val="center"/>
          </w:tcPr>
          <w:p w14:paraId="7580A6D1">
            <w:pPr>
              <w:spacing w:after="0" w:line="240" w:lineRule="auto"/>
              <w:ind w:firstLine="0" w:firstLineChars="0"/>
              <w:jc w:val="center"/>
              <w:rPr>
                <w:rFonts w:cstheme="minorBidi"/>
                <w:snapToGrid w:val="0"/>
                <w:color w:val="auto"/>
                <w:kern w:val="2"/>
                <w:sz w:val="21"/>
                <w:szCs w:val="21"/>
              </w:rPr>
            </w:pPr>
          </w:p>
        </w:tc>
        <w:tc>
          <w:tcPr>
            <w:tcW w:w="1152" w:type="dxa"/>
            <w:vAlign w:val="center"/>
          </w:tcPr>
          <w:p w14:paraId="638C8F0B">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柱状样点</w:t>
            </w:r>
          </w:p>
        </w:tc>
        <w:tc>
          <w:tcPr>
            <w:tcW w:w="1107" w:type="dxa"/>
            <w:vAlign w:val="center"/>
          </w:tcPr>
          <w:p w14:paraId="22588139">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45 项</w:t>
            </w:r>
          </w:p>
        </w:tc>
        <w:tc>
          <w:tcPr>
            <w:tcW w:w="1389" w:type="dxa"/>
            <w:vAlign w:val="center"/>
          </w:tcPr>
          <w:p w14:paraId="38623496">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115.989360</w:t>
            </w:r>
          </w:p>
        </w:tc>
        <w:tc>
          <w:tcPr>
            <w:tcW w:w="1266" w:type="dxa"/>
            <w:tcBorders>
              <w:right w:val="single" w:color="000000" w:sz="10" w:space="0"/>
            </w:tcBorders>
            <w:vAlign w:val="center"/>
          </w:tcPr>
          <w:p w14:paraId="2A881FE8">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32.427137</w:t>
            </w:r>
          </w:p>
        </w:tc>
      </w:tr>
      <w:tr w14:paraId="30DB55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769" w:type="dxa"/>
            <w:tcBorders>
              <w:left w:val="single" w:color="000000" w:sz="10" w:space="0"/>
            </w:tcBorders>
            <w:vAlign w:val="center"/>
          </w:tcPr>
          <w:p w14:paraId="0F1FB042">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TR3</w:t>
            </w:r>
          </w:p>
        </w:tc>
        <w:tc>
          <w:tcPr>
            <w:tcW w:w="2244" w:type="dxa"/>
            <w:vAlign w:val="center"/>
          </w:tcPr>
          <w:p w14:paraId="4DB99B28">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中细碎机房旁空地</w:t>
            </w:r>
          </w:p>
        </w:tc>
        <w:tc>
          <w:tcPr>
            <w:tcW w:w="1496" w:type="dxa"/>
            <w:vMerge w:val="continue"/>
            <w:tcBorders>
              <w:top w:val="nil"/>
              <w:bottom w:val="nil"/>
            </w:tcBorders>
            <w:vAlign w:val="center"/>
          </w:tcPr>
          <w:p w14:paraId="64823CCC">
            <w:pPr>
              <w:spacing w:after="0" w:line="240" w:lineRule="auto"/>
              <w:ind w:firstLine="0" w:firstLineChars="0"/>
              <w:jc w:val="center"/>
              <w:rPr>
                <w:rFonts w:cstheme="minorBidi"/>
                <w:snapToGrid w:val="0"/>
                <w:color w:val="auto"/>
                <w:kern w:val="2"/>
                <w:sz w:val="21"/>
                <w:szCs w:val="21"/>
              </w:rPr>
            </w:pPr>
          </w:p>
        </w:tc>
        <w:tc>
          <w:tcPr>
            <w:tcW w:w="1152" w:type="dxa"/>
            <w:vAlign w:val="center"/>
          </w:tcPr>
          <w:p w14:paraId="73635432">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柱状样点</w:t>
            </w:r>
          </w:p>
        </w:tc>
        <w:tc>
          <w:tcPr>
            <w:tcW w:w="1107" w:type="dxa"/>
            <w:vAlign w:val="center"/>
          </w:tcPr>
          <w:p w14:paraId="44A1E632">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45 项</w:t>
            </w:r>
          </w:p>
        </w:tc>
        <w:tc>
          <w:tcPr>
            <w:tcW w:w="1389" w:type="dxa"/>
            <w:vAlign w:val="center"/>
          </w:tcPr>
          <w:p w14:paraId="1208D286">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115.990605</w:t>
            </w:r>
          </w:p>
        </w:tc>
        <w:tc>
          <w:tcPr>
            <w:tcW w:w="1266" w:type="dxa"/>
            <w:tcBorders>
              <w:right w:val="single" w:color="000000" w:sz="10" w:space="0"/>
            </w:tcBorders>
            <w:vAlign w:val="center"/>
          </w:tcPr>
          <w:p w14:paraId="778127A8">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32.426231</w:t>
            </w:r>
          </w:p>
        </w:tc>
      </w:tr>
      <w:tr w14:paraId="656445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jc w:val="center"/>
        </w:trPr>
        <w:tc>
          <w:tcPr>
            <w:tcW w:w="769" w:type="dxa"/>
            <w:tcBorders>
              <w:left w:val="single" w:color="000000" w:sz="10" w:space="0"/>
            </w:tcBorders>
            <w:vAlign w:val="center"/>
          </w:tcPr>
          <w:p w14:paraId="695C0CF9">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TR4</w:t>
            </w:r>
          </w:p>
        </w:tc>
        <w:tc>
          <w:tcPr>
            <w:tcW w:w="2244" w:type="dxa"/>
            <w:vAlign w:val="center"/>
          </w:tcPr>
          <w:p w14:paraId="0B6AA073">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主井提升泵房旁空地</w:t>
            </w:r>
          </w:p>
        </w:tc>
        <w:tc>
          <w:tcPr>
            <w:tcW w:w="1496" w:type="dxa"/>
            <w:vMerge w:val="continue"/>
            <w:tcBorders>
              <w:top w:val="nil"/>
              <w:bottom w:val="nil"/>
            </w:tcBorders>
            <w:vAlign w:val="center"/>
          </w:tcPr>
          <w:p w14:paraId="149A1626">
            <w:pPr>
              <w:spacing w:after="0" w:line="240" w:lineRule="auto"/>
              <w:ind w:firstLine="0" w:firstLineChars="0"/>
              <w:jc w:val="center"/>
              <w:rPr>
                <w:rFonts w:cstheme="minorBidi"/>
                <w:snapToGrid w:val="0"/>
                <w:color w:val="auto"/>
                <w:kern w:val="2"/>
                <w:sz w:val="21"/>
                <w:szCs w:val="21"/>
              </w:rPr>
            </w:pPr>
          </w:p>
        </w:tc>
        <w:tc>
          <w:tcPr>
            <w:tcW w:w="1152" w:type="dxa"/>
            <w:vAlign w:val="center"/>
          </w:tcPr>
          <w:p w14:paraId="76507662">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柱状样点</w:t>
            </w:r>
          </w:p>
        </w:tc>
        <w:tc>
          <w:tcPr>
            <w:tcW w:w="1107" w:type="dxa"/>
            <w:vAlign w:val="center"/>
          </w:tcPr>
          <w:p w14:paraId="07DA91DB">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45 项</w:t>
            </w:r>
          </w:p>
        </w:tc>
        <w:tc>
          <w:tcPr>
            <w:tcW w:w="1389" w:type="dxa"/>
            <w:vAlign w:val="center"/>
          </w:tcPr>
          <w:p w14:paraId="671A2299">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115.989747</w:t>
            </w:r>
          </w:p>
        </w:tc>
        <w:tc>
          <w:tcPr>
            <w:tcW w:w="1266" w:type="dxa"/>
            <w:tcBorders>
              <w:right w:val="single" w:color="000000" w:sz="10" w:space="0"/>
            </w:tcBorders>
            <w:vAlign w:val="center"/>
          </w:tcPr>
          <w:p w14:paraId="70AE2F94">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32.425217</w:t>
            </w:r>
          </w:p>
        </w:tc>
      </w:tr>
      <w:tr w14:paraId="67FC28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jc w:val="center"/>
        </w:trPr>
        <w:tc>
          <w:tcPr>
            <w:tcW w:w="769" w:type="dxa"/>
            <w:tcBorders>
              <w:left w:val="single" w:color="000000" w:sz="10" w:space="0"/>
            </w:tcBorders>
            <w:vAlign w:val="center"/>
          </w:tcPr>
          <w:p w14:paraId="52C9B415">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TR5</w:t>
            </w:r>
          </w:p>
        </w:tc>
        <w:tc>
          <w:tcPr>
            <w:tcW w:w="2244" w:type="dxa"/>
            <w:vAlign w:val="center"/>
          </w:tcPr>
          <w:p w14:paraId="1F0E58E8">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北区充填站旁空地</w:t>
            </w:r>
          </w:p>
        </w:tc>
        <w:tc>
          <w:tcPr>
            <w:tcW w:w="1496" w:type="dxa"/>
            <w:vMerge w:val="continue"/>
            <w:tcBorders>
              <w:top w:val="nil"/>
              <w:bottom w:val="nil"/>
            </w:tcBorders>
            <w:vAlign w:val="center"/>
          </w:tcPr>
          <w:p w14:paraId="04757681">
            <w:pPr>
              <w:spacing w:after="0" w:line="240" w:lineRule="auto"/>
              <w:ind w:firstLine="0" w:firstLineChars="0"/>
              <w:jc w:val="center"/>
              <w:rPr>
                <w:rFonts w:cstheme="minorBidi"/>
                <w:snapToGrid w:val="0"/>
                <w:color w:val="auto"/>
                <w:kern w:val="2"/>
                <w:sz w:val="21"/>
                <w:szCs w:val="21"/>
              </w:rPr>
            </w:pPr>
          </w:p>
        </w:tc>
        <w:tc>
          <w:tcPr>
            <w:tcW w:w="1152" w:type="dxa"/>
            <w:vAlign w:val="center"/>
          </w:tcPr>
          <w:p w14:paraId="294FEB83">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表层样点</w:t>
            </w:r>
          </w:p>
        </w:tc>
        <w:tc>
          <w:tcPr>
            <w:tcW w:w="1107" w:type="dxa"/>
            <w:vAlign w:val="center"/>
          </w:tcPr>
          <w:p w14:paraId="7A0AC05A">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45 项</w:t>
            </w:r>
          </w:p>
        </w:tc>
        <w:tc>
          <w:tcPr>
            <w:tcW w:w="1389" w:type="dxa"/>
            <w:vAlign w:val="center"/>
          </w:tcPr>
          <w:p w14:paraId="09822CA4">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115.987579</w:t>
            </w:r>
          </w:p>
        </w:tc>
        <w:tc>
          <w:tcPr>
            <w:tcW w:w="1266" w:type="dxa"/>
            <w:tcBorders>
              <w:right w:val="single" w:color="000000" w:sz="10" w:space="0"/>
            </w:tcBorders>
            <w:vAlign w:val="center"/>
          </w:tcPr>
          <w:p w14:paraId="61F75170">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32.427318</w:t>
            </w:r>
          </w:p>
        </w:tc>
      </w:tr>
      <w:tr w14:paraId="029DBD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769" w:type="dxa"/>
            <w:tcBorders>
              <w:left w:val="single" w:color="000000" w:sz="10" w:space="0"/>
            </w:tcBorders>
            <w:vAlign w:val="center"/>
          </w:tcPr>
          <w:p w14:paraId="4FBAF3DF">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TR6</w:t>
            </w:r>
          </w:p>
        </w:tc>
        <w:tc>
          <w:tcPr>
            <w:tcW w:w="2244" w:type="dxa"/>
            <w:vAlign w:val="center"/>
          </w:tcPr>
          <w:p w14:paraId="522AA1CE">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南区充填站旁空地</w:t>
            </w:r>
          </w:p>
        </w:tc>
        <w:tc>
          <w:tcPr>
            <w:tcW w:w="1496" w:type="dxa"/>
            <w:vMerge w:val="continue"/>
            <w:tcBorders>
              <w:top w:val="nil"/>
            </w:tcBorders>
            <w:vAlign w:val="center"/>
          </w:tcPr>
          <w:p w14:paraId="488E35F9">
            <w:pPr>
              <w:spacing w:after="0" w:line="240" w:lineRule="auto"/>
              <w:ind w:firstLine="0" w:firstLineChars="0"/>
              <w:jc w:val="center"/>
              <w:rPr>
                <w:rFonts w:cstheme="minorBidi"/>
                <w:snapToGrid w:val="0"/>
                <w:color w:val="auto"/>
                <w:kern w:val="2"/>
                <w:sz w:val="21"/>
                <w:szCs w:val="21"/>
              </w:rPr>
            </w:pPr>
          </w:p>
        </w:tc>
        <w:tc>
          <w:tcPr>
            <w:tcW w:w="1152" w:type="dxa"/>
            <w:vAlign w:val="center"/>
          </w:tcPr>
          <w:p w14:paraId="12B97F01">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表层样点</w:t>
            </w:r>
          </w:p>
        </w:tc>
        <w:tc>
          <w:tcPr>
            <w:tcW w:w="1107" w:type="dxa"/>
            <w:vAlign w:val="center"/>
          </w:tcPr>
          <w:p w14:paraId="714A1244">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45 项</w:t>
            </w:r>
          </w:p>
        </w:tc>
        <w:tc>
          <w:tcPr>
            <w:tcW w:w="1389" w:type="dxa"/>
            <w:vAlign w:val="center"/>
          </w:tcPr>
          <w:p w14:paraId="41ABB0CA">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115.986914</w:t>
            </w:r>
          </w:p>
        </w:tc>
        <w:tc>
          <w:tcPr>
            <w:tcW w:w="1266" w:type="dxa"/>
            <w:tcBorders>
              <w:right w:val="single" w:color="000000" w:sz="10" w:space="0"/>
            </w:tcBorders>
            <w:vAlign w:val="center"/>
          </w:tcPr>
          <w:p w14:paraId="72AA1969">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32.420507</w:t>
            </w:r>
          </w:p>
        </w:tc>
      </w:tr>
      <w:tr w14:paraId="2556D4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769" w:type="dxa"/>
            <w:tcBorders>
              <w:left w:val="single" w:color="000000" w:sz="10" w:space="0"/>
            </w:tcBorders>
            <w:vAlign w:val="center"/>
          </w:tcPr>
          <w:p w14:paraId="7886D6E8">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TR7</w:t>
            </w:r>
          </w:p>
        </w:tc>
        <w:tc>
          <w:tcPr>
            <w:tcW w:w="2244" w:type="dxa"/>
            <w:vAlign w:val="center"/>
          </w:tcPr>
          <w:p w14:paraId="67EF6B08">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东北方向耕地</w:t>
            </w:r>
          </w:p>
        </w:tc>
        <w:tc>
          <w:tcPr>
            <w:tcW w:w="1496" w:type="dxa"/>
            <w:vAlign w:val="center"/>
          </w:tcPr>
          <w:p w14:paraId="66EA0046">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上风向 410m</w:t>
            </w:r>
          </w:p>
        </w:tc>
        <w:tc>
          <w:tcPr>
            <w:tcW w:w="1152" w:type="dxa"/>
            <w:vAlign w:val="center"/>
          </w:tcPr>
          <w:p w14:paraId="3A196CA0">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表层样点</w:t>
            </w:r>
          </w:p>
        </w:tc>
        <w:tc>
          <w:tcPr>
            <w:tcW w:w="1107" w:type="dxa"/>
            <w:vAlign w:val="center"/>
          </w:tcPr>
          <w:p w14:paraId="7C68FEE1">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8 项</w:t>
            </w:r>
          </w:p>
        </w:tc>
        <w:tc>
          <w:tcPr>
            <w:tcW w:w="1389" w:type="dxa"/>
            <w:vAlign w:val="center"/>
          </w:tcPr>
          <w:p w14:paraId="6306E5E3">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115.993309</w:t>
            </w:r>
          </w:p>
        </w:tc>
        <w:tc>
          <w:tcPr>
            <w:tcW w:w="1266" w:type="dxa"/>
            <w:tcBorders>
              <w:right w:val="single" w:color="000000" w:sz="10" w:space="0"/>
            </w:tcBorders>
            <w:vAlign w:val="center"/>
          </w:tcPr>
          <w:p w14:paraId="1AAE21E4">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32.430560</w:t>
            </w:r>
          </w:p>
        </w:tc>
      </w:tr>
      <w:tr w14:paraId="4BFA33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769" w:type="dxa"/>
            <w:tcBorders>
              <w:left w:val="single" w:color="000000" w:sz="10" w:space="0"/>
            </w:tcBorders>
            <w:vAlign w:val="center"/>
          </w:tcPr>
          <w:p w14:paraId="0F33BC01">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TR8</w:t>
            </w:r>
          </w:p>
        </w:tc>
        <w:tc>
          <w:tcPr>
            <w:tcW w:w="2244" w:type="dxa"/>
            <w:vAlign w:val="center"/>
          </w:tcPr>
          <w:p w14:paraId="4EC02A69">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前楼村</w:t>
            </w:r>
          </w:p>
        </w:tc>
        <w:tc>
          <w:tcPr>
            <w:tcW w:w="1496" w:type="dxa"/>
            <w:vAlign w:val="center"/>
          </w:tcPr>
          <w:p w14:paraId="3D27D2E4">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下风向 370m</w:t>
            </w:r>
          </w:p>
        </w:tc>
        <w:tc>
          <w:tcPr>
            <w:tcW w:w="1152" w:type="dxa"/>
            <w:vAlign w:val="center"/>
          </w:tcPr>
          <w:p w14:paraId="3BD23903">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表层样点</w:t>
            </w:r>
          </w:p>
        </w:tc>
        <w:tc>
          <w:tcPr>
            <w:tcW w:w="1107" w:type="dxa"/>
            <w:vAlign w:val="center"/>
          </w:tcPr>
          <w:p w14:paraId="0AE20D2C">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8 项</w:t>
            </w:r>
          </w:p>
        </w:tc>
        <w:tc>
          <w:tcPr>
            <w:tcW w:w="1389" w:type="dxa"/>
            <w:vAlign w:val="center"/>
          </w:tcPr>
          <w:p w14:paraId="1D2005BD">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115.978159</w:t>
            </w:r>
          </w:p>
        </w:tc>
        <w:tc>
          <w:tcPr>
            <w:tcW w:w="1266" w:type="dxa"/>
            <w:tcBorders>
              <w:right w:val="single" w:color="000000" w:sz="10" w:space="0"/>
            </w:tcBorders>
            <w:vAlign w:val="center"/>
          </w:tcPr>
          <w:p w14:paraId="7088D256">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32.429274</w:t>
            </w:r>
          </w:p>
        </w:tc>
      </w:tr>
      <w:tr w14:paraId="02D072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769" w:type="dxa"/>
            <w:tcBorders>
              <w:left w:val="single" w:color="000000" w:sz="10" w:space="0"/>
            </w:tcBorders>
            <w:vAlign w:val="center"/>
          </w:tcPr>
          <w:p w14:paraId="589CD580">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TR9</w:t>
            </w:r>
          </w:p>
        </w:tc>
        <w:tc>
          <w:tcPr>
            <w:tcW w:w="2244" w:type="dxa"/>
            <w:vAlign w:val="center"/>
          </w:tcPr>
          <w:p w14:paraId="13B77A0D">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邓行</w:t>
            </w:r>
          </w:p>
        </w:tc>
        <w:tc>
          <w:tcPr>
            <w:tcW w:w="1496" w:type="dxa"/>
            <w:vAlign w:val="center"/>
          </w:tcPr>
          <w:p w14:paraId="00D20371">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下风向 800m</w:t>
            </w:r>
          </w:p>
        </w:tc>
        <w:tc>
          <w:tcPr>
            <w:tcW w:w="1152" w:type="dxa"/>
            <w:vAlign w:val="center"/>
          </w:tcPr>
          <w:p w14:paraId="13DABACE">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表层样点</w:t>
            </w:r>
          </w:p>
        </w:tc>
        <w:tc>
          <w:tcPr>
            <w:tcW w:w="1107" w:type="dxa"/>
            <w:vAlign w:val="center"/>
          </w:tcPr>
          <w:p w14:paraId="493D1F84">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8 项</w:t>
            </w:r>
          </w:p>
        </w:tc>
        <w:tc>
          <w:tcPr>
            <w:tcW w:w="1389" w:type="dxa"/>
            <w:vAlign w:val="center"/>
          </w:tcPr>
          <w:p w14:paraId="48EEF683">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115.977494</w:t>
            </w:r>
          </w:p>
        </w:tc>
        <w:tc>
          <w:tcPr>
            <w:tcW w:w="1266" w:type="dxa"/>
            <w:tcBorders>
              <w:right w:val="single" w:color="000000" w:sz="10" w:space="0"/>
            </w:tcBorders>
            <w:vAlign w:val="center"/>
          </w:tcPr>
          <w:p w14:paraId="1273E2CC">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32.422699</w:t>
            </w:r>
          </w:p>
        </w:tc>
      </w:tr>
      <w:tr w14:paraId="36F7E3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0" w:hRule="atLeast"/>
          <w:jc w:val="center"/>
        </w:trPr>
        <w:tc>
          <w:tcPr>
            <w:tcW w:w="769" w:type="dxa"/>
            <w:tcBorders>
              <w:left w:val="single" w:color="000000" w:sz="10" w:space="0"/>
            </w:tcBorders>
            <w:vAlign w:val="center"/>
          </w:tcPr>
          <w:p w14:paraId="11C42E94">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TR10</w:t>
            </w:r>
          </w:p>
        </w:tc>
        <w:tc>
          <w:tcPr>
            <w:tcW w:w="2244" w:type="dxa"/>
            <w:vAlign w:val="center"/>
          </w:tcPr>
          <w:p w14:paraId="2E3B9419">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西南方向南侧耕地</w:t>
            </w:r>
          </w:p>
        </w:tc>
        <w:tc>
          <w:tcPr>
            <w:tcW w:w="1496" w:type="dxa"/>
            <w:vAlign w:val="center"/>
          </w:tcPr>
          <w:p w14:paraId="3EAD53A1">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下风向 450m</w:t>
            </w:r>
          </w:p>
        </w:tc>
        <w:tc>
          <w:tcPr>
            <w:tcW w:w="1152" w:type="dxa"/>
            <w:vAlign w:val="center"/>
          </w:tcPr>
          <w:p w14:paraId="1A6E2B72">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表层样点</w:t>
            </w:r>
          </w:p>
        </w:tc>
        <w:tc>
          <w:tcPr>
            <w:tcW w:w="1107" w:type="dxa"/>
            <w:vAlign w:val="center"/>
          </w:tcPr>
          <w:p w14:paraId="0F8573BB">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8 项</w:t>
            </w:r>
          </w:p>
        </w:tc>
        <w:tc>
          <w:tcPr>
            <w:tcW w:w="1389" w:type="dxa"/>
            <w:vAlign w:val="center"/>
          </w:tcPr>
          <w:p w14:paraId="0DB59312">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115.984060</w:t>
            </w:r>
          </w:p>
        </w:tc>
        <w:tc>
          <w:tcPr>
            <w:tcW w:w="1266" w:type="dxa"/>
            <w:tcBorders>
              <w:right w:val="single" w:color="000000" w:sz="10" w:space="0"/>
            </w:tcBorders>
            <w:vAlign w:val="center"/>
          </w:tcPr>
          <w:p w14:paraId="09D7CD9E">
            <w:pPr>
              <w:spacing w:after="0" w:line="240" w:lineRule="auto"/>
              <w:ind w:firstLine="0" w:firstLineChars="0"/>
              <w:jc w:val="center"/>
              <w:rPr>
                <w:rFonts w:cstheme="minorBidi"/>
                <w:snapToGrid w:val="0"/>
                <w:color w:val="auto"/>
                <w:kern w:val="2"/>
                <w:sz w:val="21"/>
                <w:szCs w:val="21"/>
              </w:rPr>
            </w:pPr>
            <w:r>
              <w:rPr>
                <w:rFonts w:cstheme="minorBidi"/>
                <w:snapToGrid w:val="0"/>
                <w:color w:val="auto"/>
                <w:kern w:val="2"/>
                <w:sz w:val="21"/>
                <w:szCs w:val="21"/>
              </w:rPr>
              <w:t>32.420779</w:t>
            </w:r>
          </w:p>
        </w:tc>
      </w:tr>
    </w:tbl>
    <w:p w14:paraId="349CA9B3">
      <w:pPr>
        <w:widowControl/>
        <w:ind w:firstLine="480"/>
        <w:jc w:val="left"/>
        <w:rPr>
          <w:rFonts w:cs="Times New Roman"/>
          <w:kern w:val="0"/>
          <w:szCs w:val="24"/>
        </w:rPr>
      </w:pPr>
      <w:r>
        <w:drawing>
          <wp:inline distT="0" distB="0" distL="0" distR="0">
            <wp:extent cx="5274310" cy="3910330"/>
            <wp:effectExtent l="0" t="0" r="2540" b="0"/>
            <wp:docPr id="863646426" name="IM 130"/>
            <wp:cNvGraphicFramePr/>
            <a:graphic xmlns:a="http://schemas.openxmlformats.org/drawingml/2006/main">
              <a:graphicData uri="http://schemas.openxmlformats.org/drawingml/2006/picture">
                <pic:pic xmlns:pic="http://schemas.openxmlformats.org/drawingml/2006/picture">
                  <pic:nvPicPr>
                    <pic:cNvPr id="863646426" name="IM 130"/>
                    <pic:cNvPicPr/>
                  </pic:nvPicPr>
                  <pic:blipFill>
                    <a:blip r:embed="rId60"/>
                    <a:stretch>
                      <a:fillRect/>
                    </a:stretch>
                  </pic:blipFill>
                  <pic:spPr>
                    <a:xfrm>
                      <a:off x="0" y="0"/>
                      <a:ext cx="5274310" cy="3910871"/>
                    </a:xfrm>
                    <a:prstGeom prst="rect">
                      <a:avLst/>
                    </a:prstGeom>
                  </pic:spPr>
                </pic:pic>
              </a:graphicData>
            </a:graphic>
          </wp:inline>
        </w:drawing>
      </w:r>
    </w:p>
    <w:p w14:paraId="6BFEF6A5">
      <w:pPr>
        <w:widowControl/>
        <w:ind w:firstLine="482"/>
        <w:jc w:val="center"/>
        <w:rPr>
          <w:rFonts w:cs="Times New Roman"/>
          <w:kern w:val="0"/>
          <w:szCs w:val="24"/>
        </w:rPr>
      </w:pPr>
      <w:r>
        <w:rPr>
          <w:rFonts w:hint="eastAsia"/>
          <w:b/>
        </w:rPr>
        <w:t>图4.4-5</w:t>
      </w:r>
      <w:r>
        <w:rPr>
          <w:b/>
        </w:rPr>
        <w:t xml:space="preserve">  </w:t>
      </w:r>
      <w:r>
        <w:rPr>
          <w:rFonts w:hint="eastAsia"/>
          <w:b/>
        </w:rPr>
        <w:t>土壤检测点位图</w:t>
      </w:r>
    </w:p>
    <w:p w14:paraId="6DCEB8A4">
      <w:pPr>
        <w:spacing w:before="120" w:beforeLines="50" w:line="240" w:lineRule="auto"/>
        <w:ind w:firstLine="0" w:firstLineChars="0"/>
        <w:jc w:val="center"/>
        <w:rPr>
          <w:rFonts w:cs="Times New Roman"/>
          <w:b/>
          <w:bCs/>
          <w:szCs w:val="24"/>
        </w:rPr>
      </w:pPr>
      <w:r>
        <w:rPr>
          <w:rFonts w:hint="eastAsia" w:cs="Times New Roman"/>
          <w:b/>
          <w:bCs/>
          <w:szCs w:val="24"/>
        </w:rPr>
        <w:t>表4.4-17</w:t>
      </w:r>
      <w:r>
        <w:rPr>
          <w:rFonts w:cs="Times New Roman"/>
          <w:b/>
          <w:bCs/>
          <w:szCs w:val="24"/>
        </w:rPr>
        <w:t xml:space="preserve"> </w:t>
      </w:r>
      <w:r>
        <w:rPr>
          <w:rFonts w:hint="eastAsia" w:cs="Times New Roman"/>
          <w:b/>
          <w:bCs/>
          <w:szCs w:val="24"/>
        </w:rPr>
        <w:t>项目场地内TR1、TR2、TR3土壤环境质量监测结果</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806"/>
        <w:gridCol w:w="914"/>
        <w:gridCol w:w="877"/>
        <w:gridCol w:w="989"/>
        <w:gridCol w:w="877"/>
        <w:gridCol w:w="877"/>
        <w:gridCol w:w="989"/>
        <w:gridCol w:w="877"/>
        <w:gridCol w:w="590"/>
        <w:gridCol w:w="366"/>
      </w:tblGrid>
      <w:tr w14:paraId="4E95A7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restart"/>
            <w:vAlign w:val="center"/>
          </w:tcPr>
          <w:p w14:paraId="2E8E5A66">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序号</w:t>
            </w:r>
          </w:p>
        </w:tc>
        <w:tc>
          <w:tcPr>
            <w:tcW w:w="721" w:type="pct"/>
            <w:vMerge w:val="restart"/>
            <w:vAlign w:val="center"/>
          </w:tcPr>
          <w:p w14:paraId="262EC769">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污染物项目</w:t>
            </w:r>
          </w:p>
        </w:tc>
        <w:tc>
          <w:tcPr>
            <w:tcW w:w="461" w:type="pct"/>
            <w:vMerge w:val="restart"/>
            <w:vAlign w:val="center"/>
          </w:tcPr>
          <w:p w14:paraId="6BA4BE24">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C</w:t>
            </w:r>
            <w:r>
              <w:rPr>
                <w:rFonts w:cs="Times New Roman"/>
                <w:b/>
                <w:bCs/>
                <w:kern w:val="0"/>
                <w:sz w:val="21"/>
                <w:szCs w:val="21"/>
              </w:rPr>
              <w:t>AS</w:t>
            </w:r>
            <w:r>
              <w:rPr>
                <w:rFonts w:hint="eastAsia" w:cs="Times New Roman"/>
                <w:b/>
                <w:bCs/>
                <w:kern w:val="0"/>
                <w:sz w:val="21"/>
                <w:szCs w:val="21"/>
              </w:rPr>
              <w:t>编号</w:t>
            </w:r>
          </w:p>
        </w:tc>
        <w:tc>
          <w:tcPr>
            <w:tcW w:w="2821" w:type="pct"/>
            <w:gridSpan w:val="6"/>
            <w:vAlign w:val="center"/>
          </w:tcPr>
          <w:p w14:paraId="2A1F515B">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监测结果</w:t>
            </w:r>
          </w:p>
        </w:tc>
        <w:tc>
          <w:tcPr>
            <w:tcW w:w="495" w:type="pct"/>
            <w:vMerge w:val="restart"/>
            <w:vAlign w:val="center"/>
          </w:tcPr>
          <w:p w14:paraId="0E80E7A7">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评价标准</w:t>
            </w:r>
          </w:p>
          <w:p w14:paraId="0243B21C">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（第二类用地筛选值）</w:t>
            </w:r>
          </w:p>
        </w:tc>
        <w:tc>
          <w:tcPr>
            <w:tcW w:w="251" w:type="pct"/>
            <w:vMerge w:val="restart"/>
            <w:vAlign w:val="center"/>
          </w:tcPr>
          <w:p w14:paraId="7A1497BD">
            <w:pPr>
              <w:spacing w:line="240" w:lineRule="auto"/>
              <w:ind w:firstLine="0" w:firstLineChars="0"/>
              <w:jc w:val="center"/>
              <w:rPr>
                <w:rFonts w:cs="Times New Roman"/>
                <w:b/>
                <w:bCs/>
                <w:sz w:val="21"/>
                <w:szCs w:val="21"/>
              </w:rPr>
            </w:pPr>
            <w:r>
              <w:rPr>
                <w:rFonts w:hint="eastAsia" w:cs="Times New Roman"/>
                <w:b/>
                <w:bCs/>
                <w:sz w:val="21"/>
                <w:szCs w:val="21"/>
              </w:rPr>
              <w:t>达标</w:t>
            </w:r>
          </w:p>
          <w:p w14:paraId="030E1704">
            <w:pPr>
              <w:spacing w:line="240" w:lineRule="auto"/>
              <w:ind w:firstLine="0" w:firstLineChars="0"/>
              <w:jc w:val="center"/>
              <w:rPr>
                <w:rFonts w:cs="Times New Roman"/>
                <w:b/>
                <w:bCs/>
                <w:sz w:val="21"/>
                <w:szCs w:val="21"/>
              </w:rPr>
            </w:pPr>
            <w:r>
              <w:rPr>
                <w:rFonts w:hint="eastAsia" w:cs="Times New Roman"/>
                <w:b/>
                <w:bCs/>
                <w:sz w:val="21"/>
                <w:szCs w:val="21"/>
              </w:rPr>
              <w:t>情况</w:t>
            </w:r>
          </w:p>
        </w:tc>
      </w:tr>
      <w:tr w14:paraId="563903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vAlign w:val="center"/>
          </w:tcPr>
          <w:p w14:paraId="5E46E7E9">
            <w:pPr>
              <w:widowControl/>
              <w:spacing w:line="240" w:lineRule="auto"/>
              <w:ind w:firstLine="0" w:firstLineChars="0"/>
              <w:jc w:val="center"/>
              <w:rPr>
                <w:rFonts w:cs="Times New Roman"/>
                <w:b/>
                <w:bCs/>
                <w:kern w:val="0"/>
                <w:sz w:val="21"/>
                <w:szCs w:val="21"/>
              </w:rPr>
            </w:pPr>
          </w:p>
        </w:tc>
        <w:tc>
          <w:tcPr>
            <w:tcW w:w="721" w:type="pct"/>
            <w:vMerge w:val="continue"/>
            <w:vAlign w:val="center"/>
          </w:tcPr>
          <w:p w14:paraId="613BB866">
            <w:pPr>
              <w:widowControl/>
              <w:spacing w:line="240" w:lineRule="auto"/>
              <w:ind w:firstLine="0" w:firstLineChars="0"/>
              <w:jc w:val="center"/>
              <w:rPr>
                <w:rFonts w:cs="Times New Roman"/>
                <w:b/>
                <w:bCs/>
                <w:kern w:val="0"/>
                <w:sz w:val="21"/>
                <w:szCs w:val="21"/>
              </w:rPr>
            </w:pPr>
          </w:p>
        </w:tc>
        <w:tc>
          <w:tcPr>
            <w:tcW w:w="461" w:type="pct"/>
            <w:vMerge w:val="continue"/>
            <w:vAlign w:val="center"/>
          </w:tcPr>
          <w:p w14:paraId="4B1E0A54">
            <w:pPr>
              <w:widowControl/>
              <w:spacing w:line="240" w:lineRule="auto"/>
              <w:ind w:firstLine="0" w:firstLineChars="0"/>
              <w:jc w:val="center"/>
              <w:rPr>
                <w:rFonts w:cs="Times New Roman"/>
                <w:b/>
                <w:bCs/>
                <w:kern w:val="0"/>
                <w:sz w:val="21"/>
                <w:szCs w:val="21"/>
              </w:rPr>
            </w:pPr>
          </w:p>
        </w:tc>
        <w:tc>
          <w:tcPr>
            <w:tcW w:w="470" w:type="pct"/>
            <w:vAlign w:val="center"/>
          </w:tcPr>
          <w:p w14:paraId="5A7F1A39">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w:t>
            </w:r>
            <w:r>
              <w:rPr>
                <w:rFonts w:cs="Times New Roman"/>
                <w:b/>
                <w:bCs/>
                <w:kern w:val="0"/>
                <w:sz w:val="21"/>
                <w:szCs w:val="21"/>
              </w:rPr>
              <w:t>1</w:t>
            </w:r>
          </w:p>
          <w:p w14:paraId="591DD126">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0m-0.5m</w:t>
            </w:r>
            <w:r>
              <w:rPr>
                <w:rFonts w:cs="Times New Roman"/>
                <w:b/>
                <w:bCs/>
                <w:kern w:val="0"/>
                <w:sz w:val="21"/>
                <w:szCs w:val="21"/>
              </w:rPr>
              <w:t>)</w:t>
            </w:r>
          </w:p>
        </w:tc>
        <w:tc>
          <w:tcPr>
            <w:tcW w:w="470" w:type="pct"/>
            <w:vAlign w:val="center"/>
          </w:tcPr>
          <w:p w14:paraId="67ED93D7">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w:t>
            </w:r>
            <w:r>
              <w:rPr>
                <w:rFonts w:cs="Times New Roman"/>
                <w:b/>
                <w:bCs/>
                <w:kern w:val="0"/>
                <w:sz w:val="21"/>
                <w:szCs w:val="21"/>
              </w:rPr>
              <w:t>1</w:t>
            </w:r>
          </w:p>
          <w:p w14:paraId="204D94AC">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0.5m-1.5m</w:t>
            </w:r>
            <w:r>
              <w:rPr>
                <w:rFonts w:cs="Times New Roman"/>
                <w:b/>
                <w:bCs/>
                <w:kern w:val="0"/>
                <w:sz w:val="21"/>
                <w:szCs w:val="21"/>
              </w:rPr>
              <w:t>)</w:t>
            </w:r>
          </w:p>
        </w:tc>
        <w:tc>
          <w:tcPr>
            <w:tcW w:w="470" w:type="pct"/>
            <w:vAlign w:val="center"/>
          </w:tcPr>
          <w:p w14:paraId="5B4D3DBC">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w:t>
            </w:r>
            <w:r>
              <w:rPr>
                <w:rFonts w:cs="Times New Roman"/>
                <w:b/>
                <w:bCs/>
                <w:kern w:val="0"/>
                <w:sz w:val="21"/>
                <w:szCs w:val="21"/>
              </w:rPr>
              <w:t>1</w:t>
            </w:r>
          </w:p>
          <w:p w14:paraId="3D46386D">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1.5m-3m</w:t>
            </w:r>
            <w:r>
              <w:rPr>
                <w:rFonts w:cs="Times New Roman"/>
                <w:b/>
                <w:bCs/>
                <w:kern w:val="0"/>
                <w:sz w:val="21"/>
                <w:szCs w:val="21"/>
              </w:rPr>
              <w:t>)</w:t>
            </w:r>
          </w:p>
        </w:tc>
        <w:tc>
          <w:tcPr>
            <w:tcW w:w="470" w:type="pct"/>
            <w:vAlign w:val="center"/>
          </w:tcPr>
          <w:p w14:paraId="49EF935A">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w:t>
            </w:r>
            <w:r>
              <w:rPr>
                <w:rFonts w:cs="Times New Roman"/>
                <w:b/>
                <w:bCs/>
                <w:kern w:val="0"/>
                <w:sz w:val="21"/>
                <w:szCs w:val="21"/>
              </w:rPr>
              <w:t>2</w:t>
            </w:r>
          </w:p>
          <w:p w14:paraId="06F4B0CD">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0m-0.5m</w:t>
            </w:r>
            <w:r>
              <w:rPr>
                <w:rFonts w:cs="Times New Roman"/>
                <w:b/>
                <w:bCs/>
                <w:kern w:val="0"/>
                <w:sz w:val="21"/>
                <w:szCs w:val="21"/>
              </w:rPr>
              <w:t>)</w:t>
            </w:r>
          </w:p>
        </w:tc>
        <w:tc>
          <w:tcPr>
            <w:tcW w:w="470" w:type="pct"/>
            <w:vAlign w:val="center"/>
          </w:tcPr>
          <w:p w14:paraId="742F586D">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w:t>
            </w:r>
            <w:r>
              <w:rPr>
                <w:rFonts w:cs="Times New Roman"/>
                <w:b/>
                <w:bCs/>
                <w:kern w:val="0"/>
                <w:sz w:val="21"/>
                <w:szCs w:val="21"/>
              </w:rPr>
              <w:t>2</w:t>
            </w:r>
          </w:p>
          <w:p w14:paraId="57603107">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0.5m-1.5m</w:t>
            </w:r>
            <w:r>
              <w:rPr>
                <w:rFonts w:cs="Times New Roman"/>
                <w:b/>
                <w:bCs/>
                <w:kern w:val="0"/>
                <w:sz w:val="21"/>
                <w:szCs w:val="21"/>
              </w:rPr>
              <w:t>)</w:t>
            </w:r>
          </w:p>
        </w:tc>
        <w:tc>
          <w:tcPr>
            <w:tcW w:w="471" w:type="pct"/>
            <w:vAlign w:val="center"/>
          </w:tcPr>
          <w:p w14:paraId="2045B4E2">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w:t>
            </w:r>
            <w:r>
              <w:rPr>
                <w:rFonts w:cs="Times New Roman"/>
                <w:b/>
                <w:bCs/>
                <w:kern w:val="0"/>
                <w:sz w:val="21"/>
                <w:szCs w:val="21"/>
              </w:rPr>
              <w:t>2</w:t>
            </w:r>
          </w:p>
          <w:p w14:paraId="2D3905B0">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1.5m-3m</w:t>
            </w:r>
            <w:r>
              <w:rPr>
                <w:rFonts w:cs="Times New Roman"/>
                <w:b/>
                <w:bCs/>
                <w:kern w:val="0"/>
                <w:sz w:val="21"/>
                <w:szCs w:val="21"/>
              </w:rPr>
              <w:t>)</w:t>
            </w:r>
          </w:p>
        </w:tc>
        <w:tc>
          <w:tcPr>
            <w:tcW w:w="495" w:type="pct"/>
            <w:vMerge w:val="continue"/>
            <w:vAlign w:val="center"/>
          </w:tcPr>
          <w:p w14:paraId="7F9C04A1">
            <w:pPr>
              <w:widowControl/>
              <w:spacing w:line="240" w:lineRule="auto"/>
              <w:ind w:firstLine="0" w:firstLineChars="0"/>
              <w:jc w:val="center"/>
              <w:rPr>
                <w:rFonts w:cs="Times New Roman"/>
                <w:b/>
                <w:bCs/>
                <w:kern w:val="0"/>
                <w:sz w:val="21"/>
                <w:szCs w:val="21"/>
              </w:rPr>
            </w:pPr>
          </w:p>
        </w:tc>
        <w:tc>
          <w:tcPr>
            <w:tcW w:w="251" w:type="pct"/>
            <w:vMerge w:val="continue"/>
            <w:vAlign w:val="center"/>
          </w:tcPr>
          <w:p w14:paraId="1F6A9092">
            <w:pPr>
              <w:spacing w:line="240" w:lineRule="auto"/>
              <w:ind w:firstLine="0" w:firstLineChars="0"/>
              <w:jc w:val="center"/>
              <w:rPr>
                <w:rFonts w:cs="Times New Roman"/>
                <w:b/>
                <w:bCs/>
                <w:sz w:val="21"/>
                <w:szCs w:val="21"/>
              </w:rPr>
            </w:pPr>
          </w:p>
        </w:tc>
      </w:tr>
      <w:tr w14:paraId="5BEA2F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1"/>
            <w:vAlign w:val="center"/>
          </w:tcPr>
          <w:p w14:paraId="643838DC">
            <w:pPr>
              <w:widowControl/>
              <w:spacing w:line="240" w:lineRule="auto"/>
              <w:ind w:firstLine="0" w:firstLineChars="0"/>
              <w:jc w:val="center"/>
              <w:rPr>
                <w:rFonts w:cs="Times New Roman"/>
                <w:kern w:val="0"/>
                <w:sz w:val="21"/>
                <w:szCs w:val="21"/>
              </w:rPr>
            </w:pPr>
            <w:r>
              <w:rPr>
                <w:rFonts w:hint="eastAsia" w:cs="Times New Roman"/>
                <w:kern w:val="0"/>
                <w:sz w:val="21"/>
                <w:szCs w:val="21"/>
              </w:rPr>
              <w:t>重金属元素（单位：</w:t>
            </w:r>
            <w:r>
              <w:rPr>
                <w:rFonts w:cs="Times New Roman"/>
                <w:kern w:val="0"/>
                <w:sz w:val="21"/>
                <w:szCs w:val="21"/>
              </w:rPr>
              <w:t>mg/kg</w:t>
            </w:r>
            <w:r>
              <w:rPr>
                <w:rFonts w:hint="eastAsia" w:cs="Times New Roman"/>
                <w:kern w:val="0"/>
                <w:sz w:val="21"/>
                <w:szCs w:val="21"/>
              </w:rPr>
              <w:t>）</w:t>
            </w:r>
          </w:p>
        </w:tc>
      </w:tr>
      <w:tr w14:paraId="1BB089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423CA4E8">
            <w:pPr>
              <w:widowControl/>
              <w:spacing w:line="240" w:lineRule="auto"/>
              <w:ind w:firstLine="0" w:firstLineChars="0"/>
              <w:jc w:val="center"/>
              <w:rPr>
                <w:rFonts w:cs="Times New Roman"/>
                <w:kern w:val="0"/>
                <w:sz w:val="21"/>
                <w:szCs w:val="21"/>
              </w:rPr>
            </w:pPr>
            <w:r>
              <w:rPr>
                <w:rFonts w:cs="Times New Roman"/>
                <w:kern w:val="0"/>
                <w:sz w:val="21"/>
                <w:szCs w:val="21"/>
              </w:rPr>
              <w:t>1</w:t>
            </w:r>
          </w:p>
        </w:tc>
        <w:tc>
          <w:tcPr>
            <w:tcW w:w="721" w:type="pct"/>
            <w:vAlign w:val="center"/>
          </w:tcPr>
          <w:p w14:paraId="2B8F3904">
            <w:pPr>
              <w:widowControl/>
              <w:spacing w:line="240" w:lineRule="auto"/>
              <w:ind w:firstLine="0" w:firstLineChars="0"/>
              <w:jc w:val="center"/>
              <w:rPr>
                <w:rFonts w:cs="Times New Roman"/>
                <w:kern w:val="0"/>
                <w:sz w:val="21"/>
                <w:szCs w:val="21"/>
              </w:rPr>
            </w:pPr>
            <w:r>
              <w:rPr>
                <w:rFonts w:hint="eastAsia" w:cs="Times New Roman"/>
                <w:kern w:val="0"/>
                <w:sz w:val="21"/>
                <w:szCs w:val="21"/>
              </w:rPr>
              <w:t>砷</w:t>
            </w:r>
          </w:p>
        </w:tc>
        <w:tc>
          <w:tcPr>
            <w:tcW w:w="461" w:type="pct"/>
            <w:vAlign w:val="center"/>
          </w:tcPr>
          <w:p w14:paraId="308B1509">
            <w:pPr>
              <w:widowControl/>
              <w:spacing w:line="240" w:lineRule="auto"/>
              <w:ind w:firstLine="0" w:firstLineChars="0"/>
              <w:jc w:val="center"/>
              <w:rPr>
                <w:rFonts w:cs="Times New Roman"/>
                <w:kern w:val="0"/>
                <w:sz w:val="21"/>
                <w:szCs w:val="21"/>
              </w:rPr>
            </w:pPr>
            <w:r>
              <w:rPr>
                <w:rFonts w:cs="Times New Roman"/>
                <w:kern w:val="0"/>
                <w:sz w:val="21"/>
                <w:szCs w:val="21"/>
              </w:rPr>
              <w:t>7440-38-2</w:t>
            </w:r>
          </w:p>
        </w:tc>
        <w:tc>
          <w:tcPr>
            <w:tcW w:w="470" w:type="pct"/>
            <w:vAlign w:val="center"/>
          </w:tcPr>
          <w:p w14:paraId="62B2D827">
            <w:pPr>
              <w:widowControl/>
              <w:spacing w:line="240" w:lineRule="auto"/>
              <w:ind w:firstLine="0" w:firstLineChars="0"/>
              <w:jc w:val="center"/>
              <w:rPr>
                <w:rFonts w:cs="Times New Roman"/>
                <w:kern w:val="0"/>
                <w:sz w:val="21"/>
                <w:szCs w:val="21"/>
              </w:rPr>
            </w:pPr>
            <w:r>
              <w:rPr>
                <w:rFonts w:hint="eastAsia" w:cs="Times New Roman"/>
                <w:spacing w:val="-5"/>
                <w:kern w:val="0"/>
                <w:sz w:val="21"/>
                <w:szCs w:val="21"/>
              </w:rPr>
              <w:t>8.12</w:t>
            </w:r>
          </w:p>
        </w:tc>
        <w:tc>
          <w:tcPr>
            <w:tcW w:w="470" w:type="pct"/>
            <w:vAlign w:val="center"/>
          </w:tcPr>
          <w:p w14:paraId="021B40DD">
            <w:pPr>
              <w:widowControl/>
              <w:spacing w:line="240" w:lineRule="auto"/>
              <w:ind w:firstLine="0" w:firstLineChars="0"/>
              <w:jc w:val="center"/>
              <w:rPr>
                <w:rFonts w:cs="Times New Roman"/>
                <w:kern w:val="0"/>
                <w:sz w:val="21"/>
                <w:szCs w:val="21"/>
              </w:rPr>
            </w:pPr>
            <w:r>
              <w:rPr>
                <w:rFonts w:hint="eastAsia" w:cs="Times New Roman"/>
                <w:spacing w:val="-5"/>
                <w:kern w:val="0"/>
                <w:sz w:val="21"/>
                <w:szCs w:val="21"/>
              </w:rPr>
              <w:t>9.51</w:t>
            </w:r>
          </w:p>
        </w:tc>
        <w:tc>
          <w:tcPr>
            <w:tcW w:w="470" w:type="pct"/>
            <w:vAlign w:val="center"/>
          </w:tcPr>
          <w:p w14:paraId="6A9418F4">
            <w:pPr>
              <w:widowControl/>
              <w:spacing w:line="240" w:lineRule="auto"/>
              <w:ind w:firstLine="0" w:firstLineChars="0"/>
              <w:jc w:val="center"/>
              <w:rPr>
                <w:rFonts w:cs="Times New Roman"/>
                <w:kern w:val="0"/>
                <w:sz w:val="21"/>
                <w:szCs w:val="21"/>
              </w:rPr>
            </w:pPr>
            <w:r>
              <w:rPr>
                <w:rFonts w:hint="eastAsia" w:cs="Times New Roman"/>
                <w:spacing w:val="-5"/>
                <w:kern w:val="0"/>
                <w:sz w:val="21"/>
                <w:szCs w:val="21"/>
              </w:rPr>
              <w:t>9.12</w:t>
            </w:r>
          </w:p>
        </w:tc>
        <w:tc>
          <w:tcPr>
            <w:tcW w:w="470" w:type="pct"/>
            <w:vAlign w:val="center"/>
          </w:tcPr>
          <w:p w14:paraId="4E8E2B19">
            <w:pPr>
              <w:spacing w:line="240" w:lineRule="auto"/>
              <w:ind w:firstLine="0" w:firstLineChars="0"/>
              <w:jc w:val="center"/>
              <w:rPr>
                <w:rFonts w:cs="Times New Roman"/>
                <w:sz w:val="21"/>
                <w:szCs w:val="21"/>
              </w:rPr>
            </w:pPr>
            <w:r>
              <w:rPr>
                <w:rFonts w:hint="eastAsia" w:cs="Times New Roman"/>
                <w:spacing w:val="-5"/>
                <w:sz w:val="21"/>
                <w:szCs w:val="21"/>
              </w:rPr>
              <w:t>7.98</w:t>
            </w:r>
          </w:p>
        </w:tc>
        <w:tc>
          <w:tcPr>
            <w:tcW w:w="470" w:type="pct"/>
            <w:vAlign w:val="center"/>
          </w:tcPr>
          <w:p w14:paraId="3F18427C">
            <w:pPr>
              <w:spacing w:line="240" w:lineRule="auto"/>
              <w:ind w:firstLine="0" w:firstLineChars="0"/>
              <w:jc w:val="center"/>
              <w:rPr>
                <w:rFonts w:cs="Times New Roman"/>
                <w:sz w:val="21"/>
                <w:szCs w:val="21"/>
              </w:rPr>
            </w:pPr>
            <w:r>
              <w:rPr>
                <w:rFonts w:hint="eastAsia" w:cs="Times New Roman"/>
                <w:spacing w:val="-5"/>
                <w:sz w:val="21"/>
                <w:szCs w:val="21"/>
              </w:rPr>
              <w:t>7.57</w:t>
            </w:r>
          </w:p>
        </w:tc>
        <w:tc>
          <w:tcPr>
            <w:tcW w:w="471" w:type="pct"/>
            <w:vAlign w:val="center"/>
          </w:tcPr>
          <w:p w14:paraId="20BB782C">
            <w:pPr>
              <w:spacing w:line="240" w:lineRule="auto"/>
              <w:ind w:firstLine="0" w:firstLineChars="0"/>
              <w:jc w:val="center"/>
              <w:rPr>
                <w:rFonts w:cs="Times New Roman"/>
                <w:sz w:val="21"/>
                <w:szCs w:val="21"/>
              </w:rPr>
            </w:pPr>
            <w:r>
              <w:rPr>
                <w:rFonts w:hint="eastAsia" w:cs="Times New Roman"/>
                <w:spacing w:val="-5"/>
                <w:sz w:val="21"/>
                <w:szCs w:val="21"/>
              </w:rPr>
              <w:t>8.81</w:t>
            </w:r>
          </w:p>
        </w:tc>
        <w:tc>
          <w:tcPr>
            <w:tcW w:w="495" w:type="pct"/>
            <w:vAlign w:val="center"/>
          </w:tcPr>
          <w:p w14:paraId="52FE03C1">
            <w:pPr>
              <w:spacing w:line="240" w:lineRule="auto"/>
              <w:ind w:firstLine="0" w:firstLineChars="0"/>
              <w:jc w:val="center"/>
              <w:rPr>
                <w:rFonts w:cs="Times New Roman"/>
                <w:sz w:val="21"/>
                <w:szCs w:val="21"/>
              </w:rPr>
            </w:pPr>
            <w:r>
              <w:rPr>
                <w:rFonts w:cs="Times New Roman"/>
                <w:sz w:val="21"/>
                <w:szCs w:val="21"/>
              </w:rPr>
              <w:t>60</w:t>
            </w:r>
            <w:r>
              <w:rPr>
                <w:rFonts w:hint="eastAsia" w:cs="Times New Roman"/>
                <w:sz w:val="21"/>
                <w:szCs w:val="21"/>
              </w:rPr>
              <w:t>①</w:t>
            </w:r>
          </w:p>
        </w:tc>
        <w:tc>
          <w:tcPr>
            <w:tcW w:w="251" w:type="pct"/>
            <w:vAlign w:val="center"/>
          </w:tcPr>
          <w:p w14:paraId="75E2DFCC">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6638CD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5E93E44C">
            <w:pPr>
              <w:widowControl/>
              <w:spacing w:line="240" w:lineRule="auto"/>
              <w:ind w:firstLine="0" w:firstLineChars="0"/>
              <w:jc w:val="center"/>
              <w:rPr>
                <w:rFonts w:cs="Times New Roman"/>
                <w:kern w:val="0"/>
                <w:sz w:val="21"/>
                <w:szCs w:val="21"/>
              </w:rPr>
            </w:pPr>
            <w:r>
              <w:rPr>
                <w:rFonts w:cs="Times New Roman"/>
                <w:kern w:val="0"/>
                <w:sz w:val="21"/>
                <w:szCs w:val="21"/>
              </w:rPr>
              <w:t>2</w:t>
            </w:r>
          </w:p>
        </w:tc>
        <w:tc>
          <w:tcPr>
            <w:tcW w:w="721" w:type="pct"/>
            <w:vAlign w:val="center"/>
          </w:tcPr>
          <w:p w14:paraId="6AAA1412">
            <w:pPr>
              <w:widowControl/>
              <w:spacing w:line="240" w:lineRule="auto"/>
              <w:ind w:firstLine="0" w:firstLineChars="0"/>
              <w:jc w:val="center"/>
              <w:rPr>
                <w:rFonts w:cs="Times New Roman"/>
                <w:kern w:val="0"/>
                <w:sz w:val="21"/>
                <w:szCs w:val="21"/>
              </w:rPr>
            </w:pPr>
            <w:r>
              <w:rPr>
                <w:rFonts w:hint="eastAsia" w:cs="Times New Roman"/>
                <w:kern w:val="0"/>
                <w:sz w:val="21"/>
                <w:szCs w:val="21"/>
              </w:rPr>
              <w:t>镉</w:t>
            </w:r>
          </w:p>
        </w:tc>
        <w:tc>
          <w:tcPr>
            <w:tcW w:w="461" w:type="pct"/>
            <w:vAlign w:val="center"/>
          </w:tcPr>
          <w:p w14:paraId="19D0D5ED">
            <w:pPr>
              <w:widowControl/>
              <w:spacing w:line="240" w:lineRule="auto"/>
              <w:ind w:firstLine="0" w:firstLineChars="0"/>
              <w:jc w:val="center"/>
              <w:rPr>
                <w:rFonts w:cs="Times New Roman"/>
                <w:kern w:val="0"/>
                <w:sz w:val="21"/>
                <w:szCs w:val="21"/>
              </w:rPr>
            </w:pPr>
            <w:r>
              <w:rPr>
                <w:rFonts w:cs="Times New Roman"/>
                <w:kern w:val="0"/>
                <w:sz w:val="21"/>
                <w:szCs w:val="21"/>
              </w:rPr>
              <w:t>7440-43-9</w:t>
            </w:r>
          </w:p>
        </w:tc>
        <w:tc>
          <w:tcPr>
            <w:tcW w:w="470" w:type="pct"/>
            <w:vAlign w:val="center"/>
          </w:tcPr>
          <w:p w14:paraId="7BABA156">
            <w:pPr>
              <w:widowControl/>
              <w:spacing w:line="240" w:lineRule="auto"/>
              <w:ind w:firstLine="0" w:firstLineChars="0"/>
              <w:jc w:val="center"/>
              <w:rPr>
                <w:rFonts w:cs="Times New Roman"/>
                <w:kern w:val="0"/>
                <w:sz w:val="21"/>
                <w:szCs w:val="21"/>
              </w:rPr>
            </w:pPr>
            <w:r>
              <w:rPr>
                <w:rFonts w:hint="eastAsia" w:cs="Times New Roman"/>
                <w:kern w:val="0"/>
                <w:sz w:val="21"/>
                <w:szCs w:val="21"/>
              </w:rPr>
              <w:t>0.07</w:t>
            </w:r>
          </w:p>
        </w:tc>
        <w:tc>
          <w:tcPr>
            <w:tcW w:w="470" w:type="pct"/>
            <w:vAlign w:val="center"/>
          </w:tcPr>
          <w:p w14:paraId="025961F2">
            <w:pPr>
              <w:widowControl/>
              <w:spacing w:line="240" w:lineRule="auto"/>
              <w:ind w:firstLine="0" w:firstLineChars="0"/>
              <w:jc w:val="center"/>
              <w:rPr>
                <w:rFonts w:cs="Times New Roman"/>
                <w:kern w:val="0"/>
                <w:sz w:val="21"/>
                <w:szCs w:val="21"/>
              </w:rPr>
            </w:pPr>
            <w:r>
              <w:rPr>
                <w:rFonts w:hint="eastAsia" w:cs="Times New Roman"/>
                <w:kern w:val="0"/>
                <w:sz w:val="21"/>
                <w:szCs w:val="21"/>
              </w:rPr>
              <w:t>0.05</w:t>
            </w:r>
          </w:p>
        </w:tc>
        <w:tc>
          <w:tcPr>
            <w:tcW w:w="470" w:type="pct"/>
            <w:vAlign w:val="center"/>
          </w:tcPr>
          <w:p w14:paraId="3A0F4493">
            <w:pPr>
              <w:widowControl/>
              <w:spacing w:line="240" w:lineRule="auto"/>
              <w:ind w:firstLine="0" w:firstLineChars="0"/>
              <w:jc w:val="center"/>
              <w:rPr>
                <w:rFonts w:cs="Times New Roman"/>
                <w:kern w:val="0"/>
                <w:sz w:val="21"/>
                <w:szCs w:val="21"/>
              </w:rPr>
            </w:pPr>
            <w:r>
              <w:rPr>
                <w:rFonts w:hint="eastAsia" w:cs="Times New Roman"/>
                <w:kern w:val="0"/>
                <w:sz w:val="21"/>
                <w:szCs w:val="21"/>
              </w:rPr>
              <w:t>0.02</w:t>
            </w:r>
          </w:p>
        </w:tc>
        <w:tc>
          <w:tcPr>
            <w:tcW w:w="470" w:type="pct"/>
            <w:vAlign w:val="center"/>
          </w:tcPr>
          <w:p w14:paraId="76C69611">
            <w:pPr>
              <w:spacing w:line="240" w:lineRule="auto"/>
              <w:ind w:firstLine="0" w:firstLineChars="0"/>
              <w:jc w:val="center"/>
              <w:rPr>
                <w:rFonts w:cs="Times New Roman"/>
                <w:sz w:val="21"/>
                <w:szCs w:val="21"/>
              </w:rPr>
            </w:pPr>
            <w:r>
              <w:rPr>
                <w:rFonts w:hint="eastAsia" w:cs="Times New Roman"/>
                <w:sz w:val="21"/>
                <w:szCs w:val="21"/>
              </w:rPr>
              <w:t>0.06</w:t>
            </w:r>
          </w:p>
        </w:tc>
        <w:tc>
          <w:tcPr>
            <w:tcW w:w="470" w:type="pct"/>
            <w:vAlign w:val="center"/>
          </w:tcPr>
          <w:p w14:paraId="3B77F2C7">
            <w:pPr>
              <w:spacing w:line="240" w:lineRule="auto"/>
              <w:ind w:firstLine="0" w:firstLineChars="0"/>
              <w:jc w:val="center"/>
              <w:rPr>
                <w:rFonts w:cs="Times New Roman"/>
                <w:sz w:val="21"/>
                <w:szCs w:val="21"/>
              </w:rPr>
            </w:pPr>
            <w:r>
              <w:rPr>
                <w:rFonts w:hint="eastAsia" w:cs="Times New Roman"/>
                <w:sz w:val="21"/>
                <w:szCs w:val="21"/>
              </w:rPr>
              <w:t>0.06</w:t>
            </w:r>
          </w:p>
        </w:tc>
        <w:tc>
          <w:tcPr>
            <w:tcW w:w="471" w:type="pct"/>
            <w:vAlign w:val="center"/>
          </w:tcPr>
          <w:p w14:paraId="03A985A7">
            <w:pPr>
              <w:spacing w:line="240" w:lineRule="auto"/>
              <w:ind w:firstLine="0" w:firstLineChars="0"/>
              <w:jc w:val="center"/>
              <w:rPr>
                <w:rFonts w:cs="Times New Roman"/>
                <w:sz w:val="21"/>
                <w:szCs w:val="21"/>
              </w:rPr>
            </w:pPr>
            <w:r>
              <w:rPr>
                <w:rFonts w:hint="eastAsia" w:cs="Times New Roman"/>
                <w:sz w:val="21"/>
                <w:szCs w:val="21"/>
              </w:rPr>
              <w:t>0.03</w:t>
            </w:r>
          </w:p>
        </w:tc>
        <w:tc>
          <w:tcPr>
            <w:tcW w:w="495" w:type="pct"/>
            <w:vAlign w:val="center"/>
          </w:tcPr>
          <w:p w14:paraId="1979047A">
            <w:pPr>
              <w:spacing w:line="240" w:lineRule="auto"/>
              <w:ind w:firstLine="0" w:firstLineChars="0"/>
              <w:jc w:val="center"/>
              <w:rPr>
                <w:rFonts w:cs="Times New Roman"/>
                <w:sz w:val="21"/>
                <w:szCs w:val="21"/>
              </w:rPr>
            </w:pPr>
            <w:r>
              <w:rPr>
                <w:rFonts w:cs="Times New Roman"/>
                <w:sz w:val="21"/>
                <w:szCs w:val="21"/>
              </w:rPr>
              <w:t>65</w:t>
            </w:r>
          </w:p>
        </w:tc>
        <w:tc>
          <w:tcPr>
            <w:tcW w:w="251" w:type="pct"/>
            <w:vAlign w:val="center"/>
          </w:tcPr>
          <w:p w14:paraId="52AD879F">
            <w:pPr>
              <w:spacing w:line="240" w:lineRule="auto"/>
              <w:ind w:firstLine="0" w:firstLineChars="0"/>
              <w:jc w:val="center"/>
              <w:rPr>
                <w:rFonts w:cs="Times New Roman"/>
                <w:sz w:val="21"/>
                <w:szCs w:val="21"/>
              </w:rPr>
            </w:pPr>
            <w:r>
              <w:rPr>
                <w:rFonts w:hint="eastAsia" w:cs="Times New Roman"/>
                <w:sz w:val="21"/>
                <w:szCs w:val="21"/>
              </w:rPr>
              <w:t>达标</w:t>
            </w:r>
          </w:p>
        </w:tc>
      </w:tr>
      <w:tr w14:paraId="661566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C367947">
            <w:pPr>
              <w:widowControl/>
              <w:spacing w:line="240" w:lineRule="auto"/>
              <w:ind w:firstLine="0" w:firstLineChars="0"/>
              <w:jc w:val="center"/>
              <w:rPr>
                <w:rFonts w:cs="Times New Roman"/>
                <w:kern w:val="0"/>
                <w:sz w:val="21"/>
                <w:szCs w:val="21"/>
              </w:rPr>
            </w:pPr>
            <w:r>
              <w:rPr>
                <w:rFonts w:cs="Times New Roman"/>
                <w:kern w:val="0"/>
                <w:sz w:val="21"/>
                <w:szCs w:val="21"/>
              </w:rPr>
              <w:t>3</w:t>
            </w:r>
          </w:p>
        </w:tc>
        <w:tc>
          <w:tcPr>
            <w:tcW w:w="721" w:type="pct"/>
            <w:vAlign w:val="center"/>
          </w:tcPr>
          <w:p w14:paraId="40D76B11">
            <w:pPr>
              <w:widowControl/>
              <w:spacing w:line="240" w:lineRule="auto"/>
              <w:ind w:firstLine="0" w:firstLineChars="0"/>
              <w:jc w:val="center"/>
              <w:rPr>
                <w:rFonts w:cs="Times New Roman"/>
                <w:kern w:val="0"/>
                <w:sz w:val="21"/>
                <w:szCs w:val="21"/>
              </w:rPr>
            </w:pPr>
            <w:r>
              <w:rPr>
                <w:rFonts w:hint="eastAsia" w:cs="Times New Roman"/>
                <w:kern w:val="0"/>
                <w:sz w:val="21"/>
                <w:szCs w:val="21"/>
              </w:rPr>
              <w:t>铬（六价）</w:t>
            </w:r>
          </w:p>
        </w:tc>
        <w:tc>
          <w:tcPr>
            <w:tcW w:w="461" w:type="pct"/>
            <w:vAlign w:val="center"/>
          </w:tcPr>
          <w:p w14:paraId="23332F96">
            <w:pPr>
              <w:widowControl/>
              <w:spacing w:line="240" w:lineRule="auto"/>
              <w:ind w:firstLine="0" w:firstLineChars="0"/>
              <w:jc w:val="center"/>
              <w:rPr>
                <w:rFonts w:cs="Times New Roman"/>
                <w:kern w:val="0"/>
                <w:sz w:val="21"/>
                <w:szCs w:val="21"/>
              </w:rPr>
            </w:pPr>
            <w:r>
              <w:rPr>
                <w:rFonts w:cs="Times New Roman"/>
                <w:kern w:val="0"/>
                <w:sz w:val="21"/>
                <w:szCs w:val="21"/>
              </w:rPr>
              <w:t>18540-29-9</w:t>
            </w:r>
          </w:p>
        </w:tc>
        <w:tc>
          <w:tcPr>
            <w:tcW w:w="470" w:type="pct"/>
            <w:vAlign w:val="center"/>
          </w:tcPr>
          <w:p w14:paraId="7DB5611C">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325B6449">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77231AC2">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18C6874E">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3417482">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511F6968">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3D1B8DE1">
            <w:pPr>
              <w:spacing w:line="240" w:lineRule="auto"/>
              <w:ind w:firstLine="0" w:firstLineChars="0"/>
              <w:jc w:val="center"/>
              <w:rPr>
                <w:rFonts w:cs="Times New Roman"/>
                <w:sz w:val="21"/>
                <w:szCs w:val="21"/>
              </w:rPr>
            </w:pPr>
            <w:r>
              <w:rPr>
                <w:rFonts w:cs="Times New Roman"/>
                <w:sz w:val="21"/>
                <w:szCs w:val="21"/>
              </w:rPr>
              <w:t>5.7</w:t>
            </w:r>
          </w:p>
        </w:tc>
        <w:tc>
          <w:tcPr>
            <w:tcW w:w="251" w:type="pct"/>
            <w:vAlign w:val="center"/>
          </w:tcPr>
          <w:p w14:paraId="651EB512">
            <w:pPr>
              <w:spacing w:line="240" w:lineRule="auto"/>
              <w:ind w:firstLine="0" w:firstLineChars="0"/>
              <w:jc w:val="center"/>
              <w:rPr>
                <w:rFonts w:cs="Times New Roman"/>
                <w:sz w:val="21"/>
                <w:szCs w:val="21"/>
              </w:rPr>
            </w:pPr>
            <w:r>
              <w:rPr>
                <w:rFonts w:hint="eastAsia" w:cs="Times New Roman"/>
                <w:sz w:val="21"/>
                <w:szCs w:val="21"/>
              </w:rPr>
              <w:t>达标</w:t>
            </w:r>
          </w:p>
        </w:tc>
      </w:tr>
      <w:tr w14:paraId="67182A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5E0C2875">
            <w:pPr>
              <w:widowControl/>
              <w:spacing w:line="240" w:lineRule="auto"/>
              <w:ind w:firstLine="0" w:firstLineChars="0"/>
              <w:jc w:val="center"/>
              <w:rPr>
                <w:rFonts w:cs="Times New Roman"/>
                <w:kern w:val="0"/>
                <w:sz w:val="21"/>
                <w:szCs w:val="21"/>
              </w:rPr>
            </w:pPr>
            <w:r>
              <w:rPr>
                <w:rFonts w:cs="Times New Roman"/>
                <w:kern w:val="0"/>
                <w:sz w:val="21"/>
                <w:szCs w:val="21"/>
              </w:rPr>
              <w:t>4</w:t>
            </w:r>
          </w:p>
        </w:tc>
        <w:tc>
          <w:tcPr>
            <w:tcW w:w="721" w:type="pct"/>
            <w:vAlign w:val="center"/>
          </w:tcPr>
          <w:p w14:paraId="1378E64D">
            <w:pPr>
              <w:widowControl/>
              <w:spacing w:line="240" w:lineRule="auto"/>
              <w:ind w:firstLine="0" w:firstLineChars="0"/>
              <w:jc w:val="center"/>
              <w:rPr>
                <w:rFonts w:cs="Times New Roman"/>
                <w:kern w:val="0"/>
                <w:sz w:val="21"/>
                <w:szCs w:val="21"/>
              </w:rPr>
            </w:pPr>
            <w:r>
              <w:rPr>
                <w:rFonts w:hint="eastAsia" w:cs="Times New Roman"/>
                <w:kern w:val="0"/>
                <w:sz w:val="21"/>
                <w:szCs w:val="21"/>
              </w:rPr>
              <w:t>铜</w:t>
            </w:r>
          </w:p>
        </w:tc>
        <w:tc>
          <w:tcPr>
            <w:tcW w:w="461" w:type="pct"/>
            <w:vAlign w:val="center"/>
          </w:tcPr>
          <w:p w14:paraId="2027CAA0">
            <w:pPr>
              <w:widowControl/>
              <w:spacing w:line="240" w:lineRule="auto"/>
              <w:ind w:firstLine="0" w:firstLineChars="0"/>
              <w:jc w:val="center"/>
              <w:rPr>
                <w:rFonts w:cs="Times New Roman"/>
                <w:kern w:val="0"/>
                <w:sz w:val="21"/>
                <w:szCs w:val="21"/>
              </w:rPr>
            </w:pPr>
            <w:r>
              <w:rPr>
                <w:rFonts w:cs="Times New Roman"/>
                <w:kern w:val="0"/>
                <w:sz w:val="21"/>
                <w:szCs w:val="21"/>
              </w:rPr>
              <w:t>7440-50-8</w:t>
            </w:r>
          </w:p>
        </w:tc>
        <w:tc>
          <w:tcPr>
            <w:tcW w:w="470" w:type="pct"/>
            <w:vAlign w:val="center"/>
          </w:tcPr>
          <w:p w14:paraId="31952DDF">
            <w:pPr>
              <w:widowControl/>
              <w:spacing w:line="240" w:lineRule="auto"/>
              <w:ind w:firstLine="0" w:firstLineChars="0"/>
              <w:jc w:val="center"/>
              <w:rPr>
                <w:rFonts w:cs="Times New Roman"/>
                <w:kern w:val="0"/>
                <w:sz w:val="21"/>
                <w:szCs w:val="21"/>
              </w:rPr>
            </w:pPr>
            <w:r>
              <w:rPr>
                <w:rFonts w:hint="eastAsia" w:cs="Times New Roman"/>
                <w:kern w:val="0"/>
                <w:sz w:val="21"/>
                <w:szCs w:val="21"/>
              </w:rPr>
              <w:t>12</w:t>
            </w:r>
          </w:p>
        </w:tc>
        <w:tc>
          <w:tcPr>
            <w:tcW w:w="470" w:type="pct"/>
            <w:vAlign w:val="center"/>
          </w:tcPr>
          <w:p w14:paraId="430DA45F">
            <w:pPr>
              <w:widowControl/>
              <w:spacing w:line="240" w:lineRule="auto"/>
              <w:ind w:firstLine="0" w:firstLineChars="0"/>
              <w:jc w:val="center"/>
              <w:rPr>
                <w:rFonts w:cs="Times New Roman"/>
                <w:kern w:val="0"/>
                <w:sz w:val="21"/>
                <w:szCs w:val="21"/>
              </w:rPr>
            </w:pPr>
            <w:r>
              <w:rPr>
                <w:rFonts w:hint="eastAsia" w:cs="Times New Roman"/>
                <w:kern w:val="0"/>
                <w:sz w:val="21"/>
                <w:szCs w:val="21"/>
              </w:rPr>
              <w:t>14</w:t>
            </w:r>
          </w:p>
        </w:tc>
        <w:tc>
          <w:tcPr>
            <w:tcW w:w="470" w:type="pct"/>
            <w:vAlign w:val="center"/>
          </w:tcPr>
          <w:p w14:paraId="7D679A9D">
            <w:pPr>
              <w:widowControl/>
              <w:spacing w:line="240" w:lineRule="auto"/>
              <w:ind w:firstLine="0" w:firstLineChars="0"/>
              <w:jc w:val="center"/>
              <w:rPr>
                <w:rFonts w:cs="Times New Roman"/>
                <w:kern w:val="0"/>
                <w:sz w:val="21"/>
                <w:szCs w:val="21"/>
              </w:rPr>
            </w:pPr>
            <w:r>
              <w:rPr>
                <w:rFonts w:hint="eastAsia" w:cs="Times New Roman"/>
                <w:kern w:val="0"/>
                <w:sz w:val="21"/>
                <w:szCs w:val="21"/>
              </w:rPr>
              <w:t>8</w:t>
            </w:r>
          </w:p>
        </w:tc>
        <w:tc>
          <w:tcPr>
            <w:tcW w:w="470" w:type="pct"/>
            <w:vAlign w:val="center"/>
          </w:tcPr>
          <w:p w14:paraId="0AA36B87">
            <w:pPr>
              <w:spacing w:line="240" w:lineRule="auto"/>
              <w:ind w:firstLine="0" w:firstLineChars="0"/>
              <w:jc w:val="center"/>
              <w:rPr>
                <w:rFonts w:cs="Times New Roman"/>
                <w:sz w:val="21"/>
                <w:szCs w:val="21"/>
              </w:rPr>
            </w:pPr>
            <w:r>
              <w:rPr>
                <w:rFonts w:hint="eastAsia" w:cs="Times New Roman"/>
                <w:sz w:val="21"/>
                <w:szCs w:val="21"/>
              </w:rPr>
              <w:t>12</w:t>
            </w:r>
          </w:p>
        </w:tc>
        <w:tc>
          <w:tcPr>
            <w:tcW w:w="470" w:type="pct"/>
            <w:vAlign w:val="center"/>
          </w:tcPr>
          <w:p w14:paraId="3A60E280">
            <w:pPr>
              <w:spacing w:line="240" w:lineRule="auto"/>
              <w:ind w:firstLine="0" w:firstLineChars="0"/>
              <w:jc w:val="center"/>
              <w:rPr>
                <w:rFonts w:cs="Times New Roman"/>
                <w:sz w:val="21"/>
                <w:szCs w:val="21"/>
              </w:rPr>
            </w:pPr>
            <w:r>
              <w:rPr>
                <w:rFonts w:hint="eastAsia" w:cs="Times New Roman"/>
                <w:sz w:val="21"/>
                <w:szCs w:val="21"/>
              </w:rPr>
              <w:t>13</w:t>
            </w:r>
          </w:p>
        </w:tc>
        <w:tc>
          <w:tcPr>
            <w:tcW w:w="471" w:type="pct"/>
            <w:vAlign w:val="center"/>
          </w:tcPr>
          <w:p w14:paraId="31DE14C7">
            <w:pPr>
              <w:spacing w:line="240" w:lineRule="auto"/>
              <w:ind w:firstLine="0" w:firstLineChars="0"/>
              <w:jc w:val="center"/>
              <w:rPr>
                <w:rFonts w:cs="Times New Roman"/>
                <w:sz w:val="21"/>
                <w:szCs w:val="21"/>
              </w:rPr>
            </w:pPr>
            <w:r>
              <w:rPr>
                <w:rFonts w:hint="eastAsia" w:cs="Times New Roman"/>
                <w:sz w:val="21"/>
                <w:szCs w:val="21"/>
              </w:rPr>
              <w:t>13</w:t>
            </w:r>
          </w:p>
        </w:tc>
        <w:tc>
          <w:tcPr>
            <w:tcW w:w="495" w:type="pct"/>
            <w:vAlign w:val="center"/>
          </w:tcPr>
          <w:p w14:paraId="2FCFECB0">
            <w:pPr>
              <w:spacing w:line="240" w:lineRule="auto"/>
              <w:ind w:firstLine="0" w:firstLineChars="0"/>
              <w:jc w:val="center"/>
              <w:rPr>
                <w:rFonts w:cs="Times New Roman"/>
                <w:sz w:val="21"/>
                <w:szCs w:val="21"/>
              </w:rPr>
            </w:pPr>
            <w:r>
              <w:rPr>
                <w:rFonts w:cs="Times New Roman"/>
                <w:sz w:val="21"/>
                <w:szCs w:val="21"/>
              </w:rPr>
              <w:t>18000</w:t>
            </w:r>
          </w:p>
        </w:tc>
        <w:tc>
          <w:tcPr>
            <w:tcW w:w="251" w:type="pct"/>
            <w:vAlign w:val="center"/>
          </w:tcPr>
          <w:p w14:paraId="56B7DFF9">
            <w:pPr>
              <w:spacing w:line="240" w:lineRule="auto"/>
              <w:ind w:firstLine="0" w:firstLineChars="0"/>
              <w:jc w:val="center"/>
              <w:rPr>
                <w:rFonts w:cs="Times New Roman"/>
                <w:sz w:val="21"/>
                <w:szCs w:val="21"/>
              </w:rPr>
            </w:pPr>
            <w:r>
              <w:rPr>
                <w:rFonts w:hint="eastAsia" w:cs="Times New Roman"/>
                <w:sz w:val="21"/>
                <w:szCs w:val="21"/>
              </w:rPr>
              <w:t>达标</w:t>
            </w:r>
          </w:p>
        </w:tc>
      </w:tr>
      <w:tr w14:paraId="42A4CE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52712F0">
            <w:pPr>
              <w:widowControl/>
              <w:spacing w:line="240" w:lineRule="auto"/>
              <w:ind w:firstLine="0" w:firstLineChars="0"/>
              <w:jc w:val="center"/>
              <w:rPr>
                <w:rFonts w:cs="Times New Roman"/>
                <w:kern w:val="0"/>
                <w:sz w:val="21"/>
                <w:szCs w:val="21"/>
              </w:rPr>
            </w:pPr>
            <w:r>
              <w:rPr>
                <w:rFonts w:cs="Times New Roman"/>
                <w:kern w:val="0"/>
                <w:sz w:val="21"/>
                <w:szCs w:val="21"/>
              </w:rPr>
              <w:t>5</w:t>
            </w:r>
          </w:p>
        </w:tc>
        <w:tc>
          <w:tcPr>
            <w:tcW w:w="721" w:type="pct"/>
            <w:vAlign w:val="center"/>
          </w:tcPr>
          <w:p w14:paraId="670E557B">
            <w:pPr>
              <w:widowControl/>
              <w:spacing w:line="240" w:lineRule="auto"/>
              <w:ind w:firstLine="0" w:firstLineChars="0"/>
              <w:jc w:val="center"/>
              <w:rPr>
                <w:rFonts w:cs="Times New Roman"/>
                <w:kern w:val="0"/>
                <w:sz w:val="21"/>
                <w:szCs w:val="21"/>
              </w:rPr>
            </w:pPr>
            <w:r>
              <w:rPr>
                <w:rFonts w:hint="eastAsia" w:cs="Times New Roman"/>
                <w:kern w:val="0"/>
                <w:sz w:val="21"/>
                <w:szCs w:val="21"/>
              </w:rPr>
              <w:t>铅</w:t>
            </w:r>
          </w:p>
        </w:tc>
        <w:tc>
          <w:tcPr>
            <w:tcW w:w="461" w:type="pct"/>
            <w:vAlign w:val="center"/>
          </w:tcPr>
          <w:p w14:paraId="2BF236C9">
            <w:pPr>
              <w:widowControl/>
              <w:spacing w:line="240" w:lineRule="auto"/>
              <w:ind w:firstLine="0" w:firstLineChars="0"/>
              <w:jc w:val="center"/>
              <w:rPr>
                <w:rFonts w:cs="Times New Roman"/>
                <w:kern w:val="0"/>
                <w:sz w:val="21"/>
                <w:szCs w:val="21"/>
              </w:rPr>
            </w:pPr>
            <w:r>
              <w:rPr>
                <w:rFonts w:cs="Times New Roman"/>
                <w:kern w:val="0"/>
                <w:sz w:val="21"/>
                <w:szCs w:val="21"/>
              </w:rPr>
              <w:t>7439-92-1</w:t>
            </w:r>
          </w:p>
        </w:tc>
        <w:tc>
          <w:tcPr>
            <w:tcW w:w="470" w:type="pct"/>
            <w:vAlign w:val="center"/>
          </w:tcPr>
          <w:p w14:paraId="062C9477">
            <w:pPr>
              <w:widowControl/>
              <w:spacing w:line="240" w:lineRule="auto"/>
              <w:ind w:firstLine="0" w:firstLineChars="0"/>
              <w:jc w:val="center"/>
              <w:rPr>
                <w:rFonts w:cs="Times New Roman"/>
                <w:kern w:val="0"/>
                <w:sz w:val="21"/>
                <w:szCs w:val="21"/>
              </w:rPr>
            </w:pPr>
            <w:r>
              <w:rPr>
                <w:rFonts w:hint="eastAsia" w:cs="Times New Roman"/>
                <w:kern w:val="0"/>
                <w:sz w:val="21"/>
                <w:szCs w:val="21"/>
              </w:rPr>
              <w:t>18.7</w:t>
            </w:r>
          </w:p>
        </w:tc>
        <w:tc>
          <w:tcPr>
            <w:tcW w:w="470" w:type="pct"/>
            <w:vAlign w:val="center"/>
          </w:tcPr>
          <w:p w14:paraId="77484BBB">
            <w:pPr>
              <w:widowControl/>
              <w:spacing w:line="240" w:lineRule="auto"/>
              <w:ind w:firstLine="0" w:firstLineChars="0"/>
              <w:jc w:val="center"/>
              <w:rPr>
                <w:rFonts w:cs="Times New Roman"/>
                <w:kern w:val="0"/>
                <w:sz w:val="21"/>
                <w:szCs w:val="21"/>
              </w:rPr>
            </w:pPr>
            <w:r>
              <w:rPr>
                <w:rFonts w:hint="eastAsia" w:cs="Times New Roman"/>
                <w:kern w:val="0"/>
                <w:sz w:val="21"/>
                <w:szCs w:val="21"/>
              </w:rPr>
              <w:t>17.3</w:t>
            </w:r>
          </w:p>
        </w:tc>
        <w:tc>
          <w:tcPr>
            <w:tcW w:w="470" w:type="pct"/>
            <w:vAlign w:val="center"/>
          </w:tcPr>
          <w:p w14:paraId="2B8E2F1C">
            <w:pPr>
              <w:widowControl/>
              <w:spacing w:line="240" w:lineRule="auto"/>
              <w:ind w:firstLine="0" w:firstLineChars="0"/>
              <w:jc w:val="center"/>
              <w:rPr>
                <w:rFonts w:cs="Times New Roman"/>
                <w:kern w:val="0"/>
                <w:sz w:val="21"/>
                <w:szCs w:val="21"/>
              </w:rPr>
            </w:pPr>
            <w:r>
              <w:rPr>
                <w:rFonts w:hint="eastAsia" w:cs="Times New Roman"/>
                <w:kern w:val="0"/>
                <w:sz w:val="21"/>
                <w:szCs w:val="21"/>
              </w:rPr>
              <w:t>12.5</w:t>
            </w:r>
          </w:p>
        </w:tc>
        <w:tc>
          <w:tcPr>
            <w:tcW w:w="470" w:type="pct"/>
            <w:vAlign w:val="center"/>
          </w:tcPr>
          <w:p w14:paraId="08B2077D">
            <w:pPr>
              <w:spacing w:line="240" w:lineRule="auto"/>
              <w:ind w:firstLine="0" w:firstLineChars="0"/>
              <w:jc w:val="center"/>
              <w:rPr>
                <w:rFonts w:cs="Times New Roman"/>
                <w:sz w:val="21"/>
                <w:szCs w:val="21"/>
              </w:rPr>
            </w:pPr>
            <w:r>
              <w:rPr>
                <w:rFonts w:hint="eastAsia" w:cs="Times New Roman"/>
                <w:sz w:val="21"/>
                <w:szCs w:val="21"/>
              </w:rPr>
              <w:t>15.7</w:t>
            </w:r>
          </w:p>
        </w:tc>
        <w:tc>
          <w:tcPr>
            <w:tcW w:w="470" w:type="pct"/>
            <w:vAlign w:val="center"/>
          </w:tcPr>
          <w:p w14:paraId="30D5F05F">
            <w:pPr>
              <w:spacing w:line="240" w:lineRule="auto"/>
              <w:ind w:firstLine="0" w:firstLineChars="0"/>
              <w:jc w:val="center"/>
              <w:rPr>
                <w:rFonts w:cs="Times New Roman"/>
                <w:sz w:val="21"/>
                <w:szCs w:val="21"/>
              </w:rPr>
            </w:pPr>
            <w:r>
              <w:rPr>
                <w:rFonts w:hint="eastAsia" w:cs="Times New Roman"/>
                <w:sz w:val="21"/>
                <w:szCs w:val="21"/>
              </w:rPr>
              <w:t>17.3</w:t>
            </w:r>
          </w:p>
        </w:tc>
        <w:tc>
          <w:tcPr>
            <w:tcW w:w="471" w:type="pct"/>
            <w:vAlign w:val="center"/>
          </w:tcPr>
          <w:p w14:paraId="1A733B90">
            <w:pPr>
              <w:spacing w:line="240" w:lineRule="auto"/>
              <w:ind w:firstLine="0" w:firstLineChars="0"/>
              <w:jc w:val="center"/>
              <w:rPr>
                <w:rFonts w:cs="Times New Roman"/>
                <w:sz w:val="21"/>
                <w:szCs w:val="21"/>
              </w:rPr>
            </w:pPr>
            <w:r>
              <w:rPr>
                <w:rFonts w:hint="eastAsia" w:cs="Times New Roman"/>
                <w:sz w:val="21"/>
                <w:szCs w:val="21"/>
              </w:rPr>
              <w:t>16.1</w:t>
            </w:r>
          </w:p>
        </w:tc>
        <w:tc>
          <w:tcPr>
            <w:tcW w:w="495" w:type="pct"/>
            <w:vAlign w:val="center"/>
          </w:tcPr>
          <w:p w14:paraId="51C0CEFD">
            <w:pPr>
              <w:spacing w:line="240" w:lineRule="auto"/>
              <w:ind w:firstLine="0" w:firstLineChars="0"/>
              <w:jc w:val="center"/>
              <w:rPr>
                <w:rFonts w:cs="Times New Roman"/>
                <w:sz w:val="21"/>
                <w:szCs w:val="21"/>
              </w:rPr>
            </w:pPr>
            <w:r>
              <w:rPr>
                <w:rFonts w:cs="Times New Roman"/>
                <w:sz w:val="21"/>
                <w:szCs w:val="21"/>
              </w:rPr>
              <w:t>800</w:t>
            </w:r>
          </w:p>
        </w:tc>
        <w:tc>
          <w:tcPr>
            <w:tcW w:w="251" w:type="pct"/>
            <w:vAlign w:val="center"/>
          </w:tcPr>
          <w:p w14:paraId="6CD1AB48">
            <w:pPr>
              <w:spacing w:line="240" w:lineRule="auto"/>
              <w:ind w:firstLine="0" w:firstLineChars="0"/>
              <w:jc w:val="center"/>
              <w:rPr>
                <w:rFonts w:cs="Times New Roman"/>
                <w:sz w:val="21"/>
                <w:szCs w:val="21"/>
              </w:rPr>
            </w:pPr>
            <w:r>
              <w:rPr>
                <w:rFonts w:hint="eastAsia" w:cs="Times New Roman"/>
                <w:sz w:val="21"/>
                <w:szCs w:val="21"/>
              </w:rPr>
              <w:t>达标</w:t>
            </w:r>
          </w:p>
        </w:tc>
      </w:tr>
      <w:tr w14:paraId="4F2938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4785CF0A">
            <w:pPr>
              <w:widowControl/>
              <w:spacing w:line="240" w:lineRule="auto"/>
              <w:ind w:firstLine="0" w:firstLineChars="0"/>
              <w:jc w:val="center"/>
              <w:rPr>
                <w:rFonts w:cs="Times New Roman"/>
                <w:kern w:val="0"/>
                <w:sz w:val="21"/>
                <w:szCs w:val="21"/>
              </w:rPr>
            </w:pPr>
            <w:r>
              <w:rPr>
                <w:rFonts w:cs="Times New Roman"/>
                <w:kern w:val="0"/>
                <w:sz w:val="21"/>
                <w:szCs w:val="21"/>
              </w:rPr>
              <w:t>6</w:t>
            </w:r>
          </w:p>
        </w:tc>
        <w:tc>
          <w:tcPr>
            <w:tcW w:w="721" w:type="pct"/>
            <w:vAlign w:val="center"/>
          </w:tcPr>
          <w:p w14:paraId="73648BCB">
            <w:pPr>
              <w:widowControl/>
              <w:spacing w:line="240" w:lineRule="auto"/>
              <w:ind w:firstLine="0" w:firstLineChars="0"/>
              <w:jc w:val="center"/>
              <w:rPr>
                <w:rFonts w:cs="Times New Roman"/>
                <w:kern w:val="0"/>
                <w:sz w:val="21"/>
                <w:szCs w:val="21"/>
              </w:rPr>
            </w:pPr>
            <w:r>
              <w:rPr>
                <w:rFonts w:hint="eastAsia" w:cs="Times New Roman"/>
                <w:kern w:val="0"/>
                <w:sz w:val="21"/>
                <w:szCs w:val="21"/>
              </w:rPr>
              <w:t>汞</w:t>
            </w:r>
          </w:p>
        </w:tc>
        <w:tc>
          <w:tcPr>
            <w:tcW w:w="461" w:type="pct"/>
            <w:vAlign w:val="center"/>
          </w:tcPr>
          <w:p w14:paraId="7353F0CA">
            <w:pPr>
              <w:widowControl/>
              <w:spacing w:line="240" w:lineRule="auto"/>
              <w:ind w:firstLine="0" w:firstLineChars="0"/>
              <w:jc w:val="center"/>
              <w:rPr>
                <w:rFonts w:cs="Times New Roman"/>
                <w:kern w:val="0"/>
                <w:sz w:val="21"/>
                <w:szCs w:val="21"/>
              </w:rPr>
            </w:pPr>
            <w:r>
              <w:rPr>
                <w:rFonts w:cs="Times New Roman"/>
                <w:kern w:val="0"/>
                <w:sz w:val="21"/>
                <w:szCs w:val="21"/>
              </w:rPr>
              <w:t>7439-97-6</w:t>
            </w:r>
          </w:p>
        </w:tc>
        <w:tc>
          <w:tcPr>
            <w:tcW w:w="470" w:type="pct"/>
            <w:vAlign w:val="center"/>
          </w:tcPr>
          <w:p w14:paraId="764973EF">
            <w:pPr>
              <w:widowControl/>
              <w:spacing w:line="240" w:lineRule="auto"/>
              <w:ind w:firstLine="0" w:firstLineChars="0"/>
              <w:jc w:val="center"/>
              <w:rPr>
                <w:rFonts w:cs="Times New Roman"/>
                <w:kern w:val="0"/>
                <w:sz w:val="21"/>
                <w:szCs w:val="21"/>
              </w:rPr>
            </w:pPr>
            <w:r>
              <w:rPr>
                <w:rFonts w:hint="eastAsia" w:cs="Times New Roman"/>
                <w:kern w:val="0"/>
                <w:sz w:val="21"/>
                <w:szCs w:val="21"/>
              </w:rPr>
              <w:t>0.181</w:t>
            </w:r>
          </w:p>
        </w:tc>
        <w:tc>
          <w:tcPr>
            <w:tcW w:w="470" w:type="pct"/>
            <w:vAlign w:val="center"/>
          </w:tcPr>
          <w:p w14:paraId="7AF19015">
            <w:pPr>
              <w:widowControl/>
              <w:spacing w:line="240" w:lineRule="auto"/>
              <w:ind w:firstLine="0" w:firstLineChars="0"/>
              <w:jc w:val="center"/>
              <w:rPr>
                <w:rFonts w:cs="Times New Roman"/>
                <w:kern w:val="0"/>
                <w:sz w:val="21"/>
                <w:szCs w:val="21"/>
              </w:rPr>
            </w:pPr>
            <w:r>
              <w:rPr>
                <w:rFonts w:hint="eastAsia" w:cs="Times New Roman"/>
                <w:kern w:val="0"/>
                <w:sz w:val="21"/>
                <w:szCs w:val="21"/>
              </w:rPr>
              <w:t>0.191</w:t>
            </w:r>
          </w:p>
        </w:tc>
        <w:tc>
          <w:tcPr>
            <w:tcW w:w="470" w:type="pct"/>
            <w:vAlign w:val="center"/>
          </w:tcPr>
          <w:p w14:paraId="20316400">
            <w:pPr>
              <w:widowControl/>
              <w:spacing w:line="240" w:lineRule="auto"/>
              <w:ind w:firstLine="0" w:firstLineChars="0"/>
              <w:jc w:val="center"/>
              <w:rPr>
                <w:rFonts w:cs="Times New Roman"/>
                <w:kern w:val="0"/>
                <w:sz w:val="21"/>
                <w:szCs w:val="21"/>
              </w:rPr>
            </w:pPr>
            <w:r>
              <w:rPr>
                <w:rFonts w:hint="eastAsia" w:cs="Times New Roman"/>
                <w:kern w:val="0"/>
                <w:sz w:val="21"/>
                <w:szCs w:val="21"/>
              </w:rPr>
              <w:t>0.186</w:t>
            </w:r>
          </w:p>
        </w:tc>
        <w:tc>
          <w:tcPr>
            <w:tcW w:w="470" w:type="pct"/>
            <w:vAlign w:val="center"/>
          </w:tcPr>
          <w:p w14:paraId="21D61CE8">
            <w:pPr>
              <w:spacing w:line="240" w:lineRule="auto"/>
              <w:ind w:firstLine="0" w:firstLineChars="0"/>
              <w:jc w:val="center"/>
              <w:rPr>
                <w:rFonts w:cs="Times New Roman"/>
                <w:sz w:val="21"/>
                <w:szCs w:val="21"/>
              </w:rPr>
            </w:pPr>
            <w:r>
              <w:rPr>
                <w:rFonts w:hint="eastAsia" w:cs="Times New Roman"/>
                <w:sz w:val="21"/>
                <w:szCs w:val="21"/>
              </w:rPr>
              <w:t>0.130</w:t>
            </w:r>
          </w:p>
        </w:tc>
        <w:tc>
          <w:tcPr>
            <w:tcW w:w="470" w:type="pct"/>
            <w:vAlign w:val="center"/>
          </w:tcPr>
          <w:p w14:paraId="2E1FC002">
            <w:pPr>
              <w:spacing w:line="240" w:lineRule="auto"/>
              <w:ind w:firstLine="0" w:firstLineChars="0"/>
              <w:jc w:val="center"/>
              <w:rPr>
                <w:rFonts w:cs="Times New Roman"/>
                <w:sz w:val="21"/>
                <w:szCs w:val="21"/>
              </w:rPr>
            </w:pPr>
            <w:r>
              <w:rPr>
                <w:rFonts w:hint="eastAsia" w:cs="Times New Roman"/>
                <w:sz w:val="21"/>
                <w:szCs w:val="21"/>
              </w:rPr>
              <w:t>0.136</w:t>
            </w:r>
          </w:p>
        </w:tc>
        <w:tc>
          <w:tcPr>
            <w:tcW w:w="471" w:type="pct"/>
            <w:vAlign w:val="center"/>
          </w:tcPr>
          <w:p w14:paraId="1315CA65">
            <w:pPr>
              <w:spacing w:line="240" w:lineRule="auto"/>
              <w:ind w:firstLine="0" w:firstLineChars="0"/>
              <w:jc w:val="center"/>
              <w:rPr>
                <w:rFonts w:cs="Times New Roman"/>
                <w:sz w:val="21"/>
                <w:szCs w:val="21"/>
              </w:rPr>
            </w:pPr>
            <w:r>
              <w:rPr>
                <w:rFonts w:hint="eastAsia" w:cs="Times New Roman"/>
                <w:sz w:val="21"/>
                <w:szCs w:val="21"/>
              </w:rPr>
              <w:t>0.133</w:t>
            </w:r>
          </w:p>
        </w:tc>
        <w:tc>
          <w:tcPr>
            <w:tcW w:w="495" w:type="pct"/>
            <w:vAlign w:val="center"/>
          </w:tcPr>
          <w:p w14:paraId="46024AF9">
            <w:pPr>
              <w:spacing w:line="240" w:lineRule="auto"/>
              <w:ind w:firstLine="0" w:firstLineChars="0"/>
              <w:jc w:val="center"/>
              <w:rPr>
                <w:rFonts w:cs="Times New Roman"/>
                <w:sz w:val="21"/>
                <w:szCs w:val="21"/>
              </w:rPr>
            </w:pPr>
            <w:r>
              <w:rPr>
                <w:rFonts w:cs="Times New Roman"/>
                <w:sz w:val="21"/>
                <w:szCs w:val="21"/>
              </w:rPr>
              <w:t>38</w:t>
            </w:r>
          </w:p>
        </w:tc>
        <w:tc>
          <w:tcPr>
            <w:tcW w:w="251" w:type="pct"/>
            <w:vAlign w:val="center"/>
          </w:tcPr>
          <w:p w14:paraId="61031AD5">
            <w:pPr>
              <w:spacing w:line="240" w:lineRule="auto"/>
              <w:ind w:firstLine="0" w:firstLineChars="0"/>
              <w:jc w:val="center"/>
              <w:rPr>
                <w:rFonts w:cs="Times New Roman"/>
                <w:sz w:val="21"/>
                <w:szCs w:val="21"/>
              </w:rPr>
            </w:pPr>
            <w:r>
              <w:rPr>
                <w:rFonts w:hint="eastAsia" w:cs="Times New Roman"/>
                <w:sz w:val="21"/>
                <w:szCs w:val="21"/>
              </w:rPr>
              <w:t>达标</w:t>
            </w:r>
          </w:p>
        </w:tc>
      </w:tr>
      <w:tr w14:paraId="6C720F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7B5D8F55">
            <w:pPr>
              <w:widowControl/>
              <w:spacing w:line="240" w:lineRule="auto"/>
              <w:ind w:firstLine="0" w:firstLineChars="0"/>
              <w:jc w:val="center"/>
              <w:rPr>
                <w:rFonts w:cs="Times New Roman"/>
                <w:kern w:val="0"/>
                <w:sz w:val="21"/>
                <w:szCs w:val="21"/>
              </w:rPr>
            </w:pPr>
            <w:r>
              <w:rPr>
                <w:rFonts w:cs="Times New Roman"/>
                <w:kern w:val="0"/>
                <w:sz w:val="21"/>
                <w:szCs w:val="21"/>
              </w:rPr>
              <w:t>7</w:t>
            </w:r>
          </w:p>
        </w:tc>
        <w:tc>
          <w:tcPr>
            <w:tcW w:w="721" w:type="pct"/>
            <w:vAlign w:val="center"/>
          </w:tcPr>
          <w:p w14:paraId="4F50A06C">
            <w:pPr>
              <w:widowControl/>
              <w:spacing w:line="240" w:lineRule="auto"/>
              <w:ind w:firstLine="0" w:firstLineChars="0"/>
              <w:jc w:val="center"/>
              <w:rPr>
                <w:rFonts w:cs="Times New Roman"/>
                <w:kern w:val="0"/>
                <w:sz w:val="21"/>
                <w:szCs w:val="21"/>
              </w:rPr>
            </w:pPr>
            <w:r>
              <w:rPr>
                <w:rFonts w:hint="eastAsia" w:cs="Times New Roman"/>
                <w:kern w:val="0"/>
                <w:sz w:val="21"/>
                <w:szCs w:val="21"/>
              </w:rPr>
              <w:t>镍</w:t>
            </w:r>
          </w:p>
        </w:tc>
        <w:tc>
          <w:tcPr>
            <w:tcW w:w="461" w:type="pct"/>
            <w:vAlign w:val="center"/>
          </w:tcPr>
          <w:p w14:paraId="6327227A">
            <w:pPr>
              <w:widowControl/>
              <w:spacing w:line="240" w:lineRule="auto"/>
              <w:ind w:firstLine="0" w:firstLineChars="0"/>
              <w:jc w:val="center"/>
              <w:rPr>
                <w:rFonts w:cs="Times New Roman"/>
                <w:kern w:val="0"/>
                <w:sz w:val="21"/>
                <w:szCs w:val="21"/>
              </w:rPr>
            </w:pPr>
            <w:r>
              <w:rPr>
                <w:rFonts w:cs="Times New Roman"/>
                <w:kern w:val="0"/>
                <w:sz w:val="21"/>
                <w:szCs w:val="21"/>
              </w:rPr>
              <w:t>7440-02-0</w:t>
            </w:r>
          </w:p>
        </w:tc>
        <w:tc>
          <w:tcPr>
            <w:tcW w:w="470" w:type="pct"/>
            <w:vAlign w:val="center"/>
          </w:tcPr>
          <w:p w14:paraId="6F629AF4">
            <w:pPr>
              <w:widowControl/>
              <w:spacing w:line="240" w:lineRule="auto"/>
              <w:ind w:firstLine="0" w:firstLineChars="0"/>
              <w:jc w:val="center"/>
              <w:rPr>
                <w:rFonts w:cs="Times New Roman"/>
                <w:kern w:val="0"/>
                <w:sz w:val="21"/>
                <w:szCs w:val="21"/>
              </w:rPr>
            </w:pPr>
            <w:r>
              <w:rPr>
                <w:rFonts w:hint="eastAsia" w:cs="Times New Roman"/>
                <w:kern w:val="0"/>
                <w:sz w:val="21"/>
                <w:szCs w:val="21"/>
              </w:rPr>
              <w:t>20</w:t>
            </w:r>
          </w:p>
        </w:tc>
        <w:tc>
          <w:tcPr>
            <w:tcW w:w="470" w:type="pct"/>
            <w:vAlign w:val="center"/>
          </w:tcPr>
          <w:p w14:paraId="34DF6D6A">
            <w:pPr>
              <w:widowControl/>
              <w:spacing w:line="240" w:lineRule="auto"/>
              <w:ind w:firstLine="0" w:firstLineChars="0"/>
              <w:jc w:val="center"/>
              <w:rPr>
                <w:rFonts w:cs="Times New Roman"/>
                <w:kern w:val="0"/>
                <w:sz w:val="21"/>
                <w:szCs w:val="21"/>
              </w:rPr>
            </w:pPr>
            <w:r>
              <w:rPr>
                <w:rFonts w:hint="eastAsia" w:cs="Times New Roman"/>
                <w:kern w:val="0"/>
                <w:sz w:val="21"/>
                <w:szCs w:val="21"/>
              </w:rPr>
              <w:t>19</w:t>
            </w:r>
          </w:p>
        </w:tc>
        <w:tc>
          <w:tcPr>
            <w:tcW w:w="470" w:type="pct"/>
            <w:vAlign w:val="center"/>
          </w:tcPr>
          <w:p w14:paraId="7A754F33">
            <w:pPr>
              <w:widowControl/>
              <w:spacing w:line="240" w:lineRule="auto"/>
              <w:ind w:firstLine="0" w:firstLineChars="0"/>
              <w:jc w:val="center"/>
              <w:rPr>
                <w:rFonts w:cs="Times New Roman"/>
                <w:kern w:val="0"/>
                <w:sz w:val="21"/>
                <w:szCs w:val="21"/>
              </w:rPr>
            </w:pPr>
            <w:r>
              <w:rPr>
                <w:rFonts w:hint="eastAsia" w:cs="Times New Roman"/>
                <w:kern w:val="0"/>
                <w:sz w:val="21"/>
                <w:szCs w:val="21"/>
              </w:rPr>
              <w:t>13</w:t>
            </w:r>
          </w:p>
        </w:tc>
        <w:tc>
          <w:tcPr>
            <w:tcW w:w="470" w:type="pct"/>
            <w:vAlign w:val="center"/>
          </w:tcPr>
          <w:p w14:paraId="016C539D">
            <w:pPr>
              <w:spacing w:line="240" w:lineRule="auto"/>
              <w:ind w:firstLine="0" w:firstLineChars="0"/>
              <w:jc w:val="center"/>
              <w:rPr>
                <w:rFonts w:cs="Times New Roman"/>
                <w:sz w:val="21"/>
                <w:szCs w:val="21"/>
              </w:rPr>
            </w:pPr>
            <w:r>
              <w:rPr>
                <w:rFonts w:hint="eastAsia" w:cs="Times New Roman"/>
                <w:sz w:val="21"/>
                <w:szCs w:val="21"/>
              </w:rPr>
              <w:t>12</w:t>
            </w:r>
          </w:p>
        </w:tc>
        <w:tc>
          <w:tcPr>
            <w:tcW w:w="470" w:type="pct"/>
            <w:vAlign w:val="center"/>
          </w:tcPr>
          <w:p w14:paraId="33D059B8">
            <w:pPr>
              <w:spacing w:line="240" w:lineRule="auto"/>
              <w:ind w:firstLine="0" w:firstLineChars="0"/>
              <w:jc w:val="center"/>
              <w:rPr>
                <w:rFonts w:cs="Times New Roman"/>
                <w:sz w:val="21"/>
                <w:szCs w:val="21"/>
              </w:rPr>
            </w:pPr>
            <w:r>
              <w:rPr>
                <w:rFonts w:hint="eastAsia" w:cs="Times New Roman"/>
                <w:sz w:val="21"/>
                <w:szCs w:val="21"/>
              </w:rPr>
              <w:t>15</w:t>
            </w:r>
          </w:p>
        </w:tc>
        <w:tc>
          <w:tcPr>
            <w:tcW w:w="471" w:type="pct"/>
            <w:vAlign w:val="center"/>
          </w:tcPr>
          <w:p w14:paraId="5B0EBDB6">
            <w:pPr>
              <w:spacing w:line="240" w:lineRule="auto"/>
              <w:ind w:firstLine="0" w:firstLineChars="0"/>
              <w:jc w:val="center"/>
              <w:rPr>
                <w:rFonts w:cs="Times New Roman"/>
                <w:sz w:val="21"/>
                <w:szCs w:val="21"/>
              </w:rPr>
            </w:pPr>
            <w:r>
              <w:rPr>
                <w:rFonts w:hint="eastAsia" w:cs="Times New Roman"/>
                <w:sz w:val="21"/>
                <w:szCs w:val="21"/>
              </w:rPr>
              <w:t>20</w:t>
            </w:r>
          </w:p>
        </w:tc>
        <w:tc>
          <w:tcPr>
            <w:tcW w:w="495" w:type="pct"/>
            <w:vAlign w:val="center"/>
          </w:tcPr>
          <w:p w14:paraId="5F90DA9A">
            <w:pPr>
              <w:spacing w:line="240" w:lineRule="auto"/>
              <w:ind w:firstLine="0" w:firstLineChars="0"/>
              <w:jc w:val="center"/>
              <w:rPr>
                <w:rFonts w:cs="Times New Roman"/>
                <w:sz w:val="21"/>
                <w:szCs w:val="21"/>
              </w:rPr>
            </w:pPr>
            <w:r>
              <w:rPr>
                <w:rFonts w:cs="Times New Roman"/>
                <w:sz w:val="21"/>
                <w:szCs w:val="21"/>
              </w:rPr>
              <w:t>900</w:t>
            </w:r>
          </w:p>
        </w:tc>
        <w:tc>
          <w:tcPr>
            <w:tcW w:w="251" w:type="pct"/>
            <w:vAlign w:val="center"/>
          </w:tcPr>
          <w:p w14:paraId="531F2242">
            <w:pPr>
              <w:spacing w:line="240" w:lineRule="auto"/>
              <w:ind w:firstLine="0" w:firstLineChars="0"/>
              <w:jc w:val="center"/>
              <w:rPr>
                <w:rFonts w:cs="Times New Roman"/>
                <w:sz w:val="21"/>
                <w:szCs w:val="21"/>
              </w:rPr>
            </w:pPr>
            <w:r>
              <w:rPr>
                <w:rFonts w:hint="eastAsia" w:cs="Times New Roman"/>
                <w:sz w:val="21"/>
                <w:szCs w:val="21"/>
              </w:rPr>
              <w:t>达标</w:t>
            </w:r>
          </w:p>
        </w:tc>
      </w:tr>
      <w:tr w14:paraId="521F39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1"/>
            <w:vAlign w:val="center"/>
          </w:tcPr>
          <w:p w14:paraId="6EC68D14">
            <w:pPr>
              <w:widowControl/>
              <w:spacing w:line="240" w:lineRule="auto"/>
              <w:ind w:firstLine="0" w:firstLineChars="0"/>
              <w:jc w:val="center"/>
              <w:rPr>
                <w:rFonts w:cs="Times New Roman"/>
                <w:kern w:val="0"/>
                <w:sz w:val="21"/>
                <w:szCs w:val="21"/>
              </w:rPr>
            </w:pPr>
            <w:r>
              <w:rPr>
                <w:rFonts w:hint="eastAsia" w:cs="Times New Roman"/>
                <w:kern w:val="0"/>
                <w:sz w:val="21"/>
                <w:szCs w:val="21"/>
              </w:rPr>
              <w:t>挥发性有机物（单位：</w:t>
            </w:r>
            <w:r>
              <w:rPr>
                <w:rFonts w:cs="Times New Roman"/>
                <w:kern w:val="0"/>
                <w:sz w:val="21"/>
                <w:szCs w:val="21"/>
              </w:rPr>
              <w:t>mg/kg</w:t>
            </w:r>
            <w:r>
              <w:rPr>
                <w:rFonts w:hint="eastAsia" w:cs="Times New Roman"/>
                <w:kern w:val="0"/>
                <w:sz w:val="21"/>
                <w:szCs w:val="21"/>
              </w:rPr>
              <w:t>）</w:t>
            </w:r>
          </w:p>
        </w:tc>
      </w:tr>
      <w:tr w14:paraId="2279A7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12E8A3CB">
            <w:pPr>
              <w:widowControl/>
              <w:spacing w:line="240" w:lineRule="auto"/>
              <w:ind w:firstLine="0" w:firstLineChars="0"/>
              <w:jc w:val="center"/>
              <w:rPr>
                <w:rFonts w:cs="Times New Roman"/>
                <w:kern w:val="0"/>
                <w:sz w:val="21"/>
                <w:szCs w:val="21"/>
              </w:rPr>
            </w:pPr>
            <w:r>
              <w:rPr>
                <w:rFonts w:cs="Times New Roman"/>
                <w:kern w:val="0"/>
                <w:sz w:val="21"/>
                <w:szCs w:val="21"/>
              </w:rPr>
              <w:t>8</w:t>
            </w:r>
          </w:p>
        </w:tc>
        <w:tc>
          <w:tcPr>
            <w:tcW w:w="721" w:type="pct"/>
            <w:vAlign w:val="center"/>
          </w:tcPr>
          <w:p w14:paraId="01E051A8">
            <w:pPr>
              <w:widowControl/>
              <w:spacing w:line="240" w:lineRule="auto"/>
              <w:ind w:firstLine="0" w:firstLineChars="0"/>
              <w:jc w:val="center"/>
              <w:rPr>
                <w:rFonts w:cs="Times New Roman"/>
                <w:kern w:val="0"/>
                <w:sz w:val="21"/>
                <w:szCs w:val="21"/>
              </w:rPr>
            </w:pPr>
            <w:r>
              <w:rPr>
                <w:rFonts w:hint="eastAsia" w:cs="Times New Roman"/>
                <w:kern w:val="0"/>
                <w:sz w:val="21"/>
                <w:szCs w:val="21"/>
              </w:rPr>
              <w:t>四氯化碳</w:t>
            </w:r>
          </w:p>
        </w:tc>
        <w:tc>
          <w:tcPr>
            <w:tcW w:w="461" w:type="pct"/>
            <w:vAlign w:val="center"/>
          </w:tcPr>
          <w:p w14:paraId="15A94245">
            <w:pPr>
              <w:widowControl/>
              <w:spacing w:line="240" w:lineRule="auto"/>
              <w:ind w:firstLine="0" w:firstLineChars="0"/>
              <w:jc w:val="center"/>
              <w:rPr>
                <w:rFonts w:cs="Times New Roman"/>
                <w:kern w:val="0"/>
                <w:sz w:val="21"/>
                <w:szCs w:val="21"/>
              </w:rPr>
            </w:pPr>
            <w:r>
              <w:rPr>
                <w:rFonts w:cs="Times New Roman"/>
                <w:kern w:val="0"/>
                <w:sz w:val="21"/>
                <w:szCs w:val="21"/>
              </w:rPr>
              <w:t>56-23-5</w:t>
            </w:r>
          </w:p>
        </w:tc>
        <w:tc>
          <w:tcPr>
            <w:tcW w:w="470" w:type="pct"/>
            <w:vAlign w:val="center"/>
          </w:tcPr>
          <w:p w14:paraId="1960194D">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16B76D5A">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15EAC906">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6B2EAEEA">
            <w:pPr>
              <w:spacing w:line="240" w:lineRule="auto"/>
              <w:ind w:firstLine="0" w:firstLineChars="0"/>
              <w:jc w:val="center"/>
              <w:rPr>
                <w:rFonts w:cs="Times New Roman"/>
                <w:sz w:val="21"/>
                <w:szCs w:val="21"/>
              </w:rPr>
            </w:pPr>
            <w:r>
              <w:rPr>
                <w:rFonts w:hint="eastAsia" w:cs="Times New Roman"/>
                <w:sz w:val="21"/>
                <w:szCs w:val="21"/>
              </w:rPr>
              <w:t>0.0106</w:t>
            </w:r>
          </w:p>
        </w:tc>
        <w:tc>
          <w:tcPr>
            <w:tcW w:w="470" w:type="pct"/>
            <w:vAlign w:val="center"/>
          </w:tcPr>
          <w:p w14:paraId="78F928A3">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0998E922">
            <w:pPr>
              <w:spacing w:line="240" w:lineRule="auto"/>
              <w:ind w:firstLine="0" w:firstLineChars="0"/>
              <w:jc w:val="center"/>
              <w:rPr>
                <w:rFonts w:cs="Times New Roman"/>
                <w:sz w:val="21"/>
                <w:szCs w:val="21"/>
              </w:rPr>
            </w:pPr>
            <w:r>
              <w:rPr>
                <w:rFonts w:hint="eastAsia" w:cs="Times New Roman"/>
                <w:sz w:val="21"/>
                <w:szCs w:val="21"/>
              </w:rPr>
              <w:t>7.0</w:t>
            </w:r>
            <w:r>
              <w:rPr>
                <w:rFonts w:cs="Times New Roman"/>
                <w:sz w:val="21"/>
                <w:szCs w:val="21"/>
              </w:rPr>
              <w:t>×10</w:t>
            </w:r>
            <w:r>
              <w:rPr>
                <w:rFonts w:cs="Times New Roman"/>
                <w:sz w:val="21"/>
                <w:szCs w:val="21"/>
                <w:vertAlign w:val="superscript"/>
              </w:rPr>
              <w:t>-3</w:t>
            </w:r>
          </w:p>
        </w:tc>
        <w:tc>
          <w:tcPr>
            <w:tcW w:w="495" w:type="pct"/>
            <w:vAlign w:val="center"/>
          </w:tcPr>
          <w:p w14:paraId="4A3470D4">
            <w:pPr>
              <w:spacing w:line="240" w:lineRule="auto"/>
              <w:ind w:firstLine="0" w:firstLineChars="0"/>
              <w:jc w:val="center"/>
              <w:rPr>
                <w:rFonts w:cs="Times New Roman"/>
                <w:sz w:val="21"/>
                <w:szCs w:val="21"/>
              </w:rPr>
            </w:pPr>
            <w:r>
              <w:rPr>
                <w:rFonts w:cs="Times New Roman"/>
                <w:sz w:val="21"/>
                <w:szCs w:val="21"/>
              </w:rPr>
              <w:t>2.8</w:t>
            </w:r>
          </w:p>
        </w:tc>
        <w:tc>
          <w:tcPr>
            <w:tcW w:w="251" w:type="pct"/>
            <w:vAlign w:val="center"/>
          </w:tcPr>
          <w:p w14:paraId="58D946B0">
            <w:pPr>
              <w:spacing w:line="240" w:lineRule="auto"/>
              <w:ind w:firstLine="0" w:firstLineChars="0"/>
              <w:jc w:val="center"/>
              <w:rPr>
                <w:rFonts w:cs="Times New Roman"/>
                <w:sz w:val="21"/>
                <w:szCs w:val="21"/>
              </w:rPr>
            </w:pPr>
            <w:r>
              <w:rPr>
                <w:rFonts w:hint="eastAsia" w:cs="Times New Roman"/>
                <w:sz w:val="21"/>
                <w:szCs w:val="21"/>
              </w:rPr>
              <w:t>达标</w:t>
            </w:r>
          </w:p>
        </w:tc>
      </w:tr>
      <w:tr w14:paraId="075F1F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30150FBE">
            <w:pPr>
              <w:widowControl/>
              <w:spacing w:line="240" w:lineRule="auto"/>
              <w:ind w:firstLine="0" w:firstLineChars="0"/>
              <w:jc w:val="center"/>
              <w:rPr>
                <w:rFonts w:cs="Times New Roman"/>
                <w:kern w:val="0"/>
                <w:sz w:val="21"/>
                <w:szCs w:val="21"/>
              </w:rPr>
            </w:pPr>
            <w:r>
              <w:rPr>
                <w:rFonts w:cs="Times New Roman"/>
                <w:kern w:val="0"/>
                <w:sz w:val="21"/>
                <w:szCs w:val="21"/>
              </w:rPr>
              <w:t>9</w:t>
            </w:r>
          </w:p>
        </w:tc>
        <w:tc>
          <w:tcPr>
            <w:tcW w:w="721" w:type="pct"/>
            <w:vAlign w:val="center"/>
          </w:tcPr>
          <w:p w14:paraId="3309B7C7">
            <w:pPr>
              <w:widowControl/>
              <w:spacing w:line="240" w:lineRule="auto"/>
              <w:ind w:firstLine="0" w:firstLineChars="0"/>
              <w:jc w:val="center"/>
              <w:rPr>
                <w:rFonts w:cs="Times New Roman"/>
                <w:kern w:val="0"/>
                <w:sz w:val="21"/>
                <w:szCs w:val="21"/>
              </w:rPr>
            </w:pPr>
            <w:r>
              <w:rPr>
                <w:rFonts w:hint="eastAsia" w:cs="Times New Roman"/>
                <w:kern w:val="0"/>
                <w:sz w:val="21"/>
                <w:szCs w:val="21"/>
              </w:rPr>
              <w:t>氯仿</w:t>
            </w:r>
          </w:p>
        </w:tc>
        <w:tc>
          <w:tcPr>
            <w:tcW w:w="461" w:type="pct"/>
            <w:vAlign w:val="center"/>
          </w:tcPr>
          <w:p w14:paraId="16DC1946">
            <w:pPr>
              <w:widowControl/>
              <w:spacing w:line="240" w:lineRule="auto"/>
              <w:ind w:firstLine="0" w:firstLineChars="0"/>
              <w:jc w:val="center"/>
              <w:rPr>
                <w:rFonts w:cs="Times New Roman"/>
                <w:kern w:val="0"/>
                <w:sz w:val="21"/>
                <w:szCs w:val="21"/>
              </w:rPr>
            </w:pPr>
            <w:r>
              <w:rPr>
                <w:rFonts w:cs="Times New Roman"/>
                <w:kern w:val="0"/>
                <w:sz w:val="21"/>
                <w:szCs w:val="21"/>
              </w:rPr>
              <w:t>67-66-3</w:t>
            </w:r>
          </w:p>
        </w:tc>
        <w:tc>
          <w:tcPr>
            <w:tcW w:w="470" w:type="pct"/>
            <w:vAlign w:val="center"/>
          </w:tcPr>
          <w:p w14:paraId="14C24CF4">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D0EDAC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DEC99C1">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8D34C44">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D21ADAA">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301007E2">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720B3A9F">
            <w:pPr>
              <w:spacing w:line="240" w:lineRule="auto"/>
              <w:ind w:firstLine="0" w:firstLineChars="0"/>
              <w:jc w:val="center"/>
              <w:rPr>
                <w:rFonts w:cs="Times New Roman"/>
                <w:sz w:val="21"/>
                <w:szCs w:val="21"/>
              </w:rPr>
            </w:pPr>
            <w:r>
              <w:rPr>
                <w:rFonts w:cs="Times New Roman"/>
                <w:sz w:val="21"/>
                <w:szCs w:val="21"/>
              </w:rPr>
              <w:t>0.9</w:t>
            </w:r>
          </w:p>
        </w:tc>
        <w:tc>
          <w:tcPr>
            <w:tcW w:w="251" w:type="pct"/>
            <w:vAlign w:val="center"/>
          </w:tcPr>
          <w:p w14:paraId="33D4D794">
            <w:pPr>
              <w:spacing w:line="240" w:lineRule="auto"/>
              <w:ind w:firstLine="0" w:firstLineChars="0"/>
              <w:jc w:val="center"/>
              <w:rPr>
                <w:rFonts w:cs="Times New Roman"/>
                <w:sz w:val="21"/>
                <w:szCs w:val="21"/>
              </w:rPr>
            </w:pPr>
            <w:r>
              <w:rPr>
                <w:rFonts w:hint="eastAsia" w:cs="Times New Roman"/>
                <w:sz w:val="21"/>
                <w:szCs w:val="21"/>
              </w:rPr>
              <w:t>达标</w:t>
            </w:r>
          </w:p>
        </w:tc>
      </w:tr>
      <w:tr w14:paraId="285BE4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6740EBAB">
            <w:pPr>
              <w:widowControl/>
              <w:spacing w:line="240" w:lineRule="auto"/>
              <w:ind w:firstLine="0" w:firstLineChars="0"/>
              <w:jc w:val="center"/>
              <w:rPr>
                <w:rFonts w:cs="Times New Roman"/>
                <w:kern w:val="0"/>
                <w:sz w:val="21"/>
                <w:szCs w:val="21"/>
              </w:rPr>
            </w:pPr>
            <w:r>
              <w:rPr>
                <w:rFonts w:cs="Times New Roman"/>
                <w:kern w:val="0"/>
                <w:sz w:val="21"/>
                <w:szCs w:val="21"/>
              </w:rPr>
              <w:t>10</w:t>
            </w:r>
          </w:p>
        </w:tc>
        <w:tc>
          <w:tcPr>
            <w:tcW w:w="721" w:type="pct"/>
            <w:vAlign w:val="center"/>
          </w:tcPr>
          <w:p w14:paraId="409DF462">
            <w:pPr>
              <w:widowControl/>
              <w:spacing w:line="240" w:lineRule="auto"/>
              <w:ind w:firstLine="0" w:firstLineChars="0"/>
              <w:jc w:val="center"/>
              <w:rPr>
                <w:rFonts w:cs="Times New Roman"/>
                <w:kern w:val="0"/>
                <w:sz w:val="21"/>
                <w:szCs w:val="21"/>
              </w:rPr>
            </w:pPr>
            <w:r>
              <w:rPr>
                <w:rFonts w:hint="eastAsia" w:cs="Times New Roman"/>
                <w:kern w:val="0"/>
                <w:sz w:val="21"/>
                <w:szCs w:val="21"/>
              </w:rPr>
              <w:t>氯甲烷</w:t>
            </w:r>
          </w:p>
        </w:tc>
        <w:tc>
          <w:tcPr>
            <w:tcW w:w="461" w:type="pct"/>
            <w:vAlign w:val="center"/>
          </w:tcPr>
          <w:p w14:paraId="06B537B6">
            <w:pPr>
              <w:widowControl/>
              <w:spacing w:line="240" w:lineRule="auto"/>
              <w:ind w:firstLine="0" w:firstLineChars="0"/>
              <w:jc w:val="center"/>
              <w:rPr>
                <w:rFonts w:cs="Times New Roman"/>
                <w:kern w:val="0"/>
                <w:sz w:val="21"/>
                <w:szCs w:val="21"/>
              </w:rPr>
            </w:pPr>
            <w:r>
              <w:rPr>
                <w:rFonts w:cs="Times New Roman"/>
                <w:kern w:val="0"/>
                <w:sz w:val="21"/>
                <w:szCs w:val="21"/>
              </w:rPr>
              <w:t>74-87-3</w:t>
            </w:r>
          </w:p>
        </w:tc>
        <w:tc>
          <w:tcPr>
            <w:tcW w:w="470" w:type="pct"/>
            <w:vAlign w:val="center"/>
          </w:tcPr>
          <w:p w14:paraId="7126E801">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C9F529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73152B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A3FE053">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F8D8474">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031F27BE">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5D445014">
            <w:pPr>
              <w:spacing w:line="240" w:lineRule="auto"/>
              <w:ind w:firstLine="0" w:firstLineChars="0"/>
              <w:jc w:val="center"/>
              <w:rPr>
                <w:rFonts w:cs="Times New Roman"/>
                <w:sz w:val="21"/>
                <w:szCs w:val="21"/>
              </w:rPr>
            </w:pPr>
            <w:r>
              <w:rPr>
                <w:rFonts w:cs="Times New Roman"/>
                <w:sz w:val="21"/>
                <w:szCs w:val="21"/>
              </w:rPr>
              <w:t>37</w:t>
            </w:r>
          </w:p>
        </w:tc>
        <w:tc>
          <w:tcPr>
            <w:tcW w:w="251" w:type="pct"/>
            <w:vAlign w:val="center"/>
          </w:tcPr>
          <w:p w14:paraId="20C107FB">
            <w:pPr>
              <w:spacing w:line="240" w:lineRule="auto"/>
              <w:ind w:firstLine="0" w:firstLineChars="0"/>
              <w:jc w:val="center"/>
              <w:rPr>
                <w:rFonts w:cs="Times New Roman"/>
                <w:sz w:val="21"/>
                <w:szCs w:val="21"/>
              </w:rPr>
            </w:pPr>
            <w:r>
              <w:rPr>
                <w:rFonts w:hint="eastAsia" w:cs="Times New Roman"/>
                <w:sz w:val="21"/>
                <w:szCs w:val="21"/>
              </w:rPr>
              <w:t>达标</w:t>
            </w:r>
          </w:p>
        </w:tc>
      </w:tr>
      <w:tr w14:paraId="7E1872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684E6552">
            <w:pPr>
              <w:widowControl/>
              <w:spacing w:line="240" w:lineRule="auto"/>
              <w:ind w:firstLine="0" w:firstLineChars="0"/>
              <w:jc w:val="center"/>
              <w:rPr>
                <w:rFonts w:cs="Times New Roman"/>
                <w:kern w:val="0"/>
                <w:sz w:val="21"/>
                <w:szCs w:val="21"/>
              </w:rPr>
            </w:pPr>
            <w:r>
              <w:rPr>
                <w:rFonts w:cs="Times New Roman"/>
                <w:kern w:val="0"/>
                <w:sz w:val="21"/>
                <w:szCs w:val="21"/>
              </w:rPr>
              <w:t>11</w:t>
            </w:r>
          </w:p>
        </w:tc>
        <w:tc>
          <w:tcPr>
            <w:tcW w:w="721" w:type="pct"/>
            <w:vAlign w:val="center"/>
          </w:tcPr>
          <w:p w14:paraId="2291F11A">
            <w:pPr>
              <w:widowControl/>
              <w:spacing w:line="240" w:lineRule="auto"/>
              <w:ind w:firstLine="0" w:firstLineChars="0"/>
              <w:jc w:val="center"/>
              <w:rPr>
                <w:rFonts w:cs="Times New Roman"/>
                <w:kern w:val="0"/>
                <w:sz w:val="21"/>
                <w:szCs w:val="21"/>
              </w:rPr>
            </w:pPr>
            <w:r>
              <w:rPr>
                <w:rFonts w:cs="Times New Roman"/>
                <w:kern w:val="0"/>
                <w:sz w:val="21"/>
                <w:szCs w:val="21"/>
              </w:rPr>
              <w:t>1,1-</w:t>
            </w:r>
            <w:r>
              <w:rPr>
                <w:rFonts w:hint="eastAsia" w:cs="Times New Roman"/>
                <w:kern w:val="0"/>
                <w:sz w:val="21"/>
                <w:szCs w:val="21"/>
              </w:rPr>
              <w:t>二氯乙烷</w:t>
            </w:r>
          </w:p>
        </w:tc>
        <w:tc>
          <w:tcPr>
            <w:tcW w:w="461" w:type="pct"/>
            <w:vAlign w:val="center"/>
          </w:tcPr>
          <w:p w14:paraId="53DB4504">
            <w:pPr>
              <w:widowControl/>
              <w:spacing w:line="240" w:lineRule="auto"/>
              <w:ind w:firstLine="0" w:firstLineChars="0"/>
              <w:jc w:val="center"/>
              <w:rPr>
                <w:rFonts w:cs="Times New Roman"/>
                <w:kern w:val="0"/>
                <w:sz w:val="21"/>
                <w:szCs w:val="21"/>
              </w:rPr>
            </w:pPr>
            <w:r>
              <w:rPr>
                <w:rFonts w:cs="Times New Roman"/>
                <w:kern w:val="0"/>
                <w:sz w:val="21"/>
                <w:szCs w:val="21"/>
              </w:rPr>
              <w:t>75-34-3</w:t>
            </w:r>
          </w:p>
        </w:tc>
        <w:tc>
          <w:tcPr>
            <w:tcW w:w="470" w:type="pct"/>
            <w:vAlign w:val="center"/>
          </w:tcPr>
          <w:p w14:paraId="1DF38ABD">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231E37CC">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594F5D5B">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54BD5A81">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F45D6A9">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3548FC65">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4C0770DA">
            <w:pPr>
              <w:spacing w:line="240" w:lineRule="auto"/>
              <w:ind w:firstLine="0" w:firstLineChars="0"/>
              <w:jc w:val="center"/>
              <w:rPr>
                <w:rFonts w:cs="Times New Roman"/>
                <w:sz w:val="21"/>
                <w:szCs w:val="21"/>
              </w:rPr>
            </w:pPr>
            <w:r>
              <w:rPr>
                <w:rFonts w:cs="Times New Roman"/>
                <w:sz w:val="21"/>
                <w:szCs w:val="21"/>
              </w:rPr>
              <w:t>9</w:t>
            </w:r>
          </w:p>
        </w:tc>
        <w:tc>
          <w:tcPr>
            <w:tcW w:w="251" w:type="pct"/>
            <w:vAlign w:val="center"/>
          </w:tcPr>
          <w:p w14:paraId="548143F2">
            <w:pPr>
              <w:spacing w:line="240" w:lineRule="auto"/>
              <w:ind w:firstLine="0" w:firstLineChars="0"/>
              <w:jc w:val="center"/>
              <w:rPr>
                <w:rFonts w:cs="Times New Roman"/>
                <w:sz w:val="21"/>
                <w:szCs w:val="21"/>
              </w:rPr>
            </w:pPr>
            <w:r>
              <w:rPr>
                <w:rFonts w:hint="eastAsia" w:cs="Times New Roman"/>
                <w:sz w:val="21"/>
                <w:szCs w:val="21"/>
              </w:rPr>
              <w:t>达标</w:t>
            </w:r>
          </w:p>
        </w:tc>
      </w:tr>
      <w:tr w14:paraId="108180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0AE22630">
            <w:pPr>
              <w:widowControl/>
              <w:spacing w:line="240" w:lineRule="auto"/>
              <w:ind w:firstLine="0" w:firstLineChars="0"/>
              <w:jc w:val="center"/>
              <w:rPr>
                <w:rFonts w:cs="Times New Roman"/>
                <w:kern w:val="0"/>
                <w:sz w:val="21"/>
                <w:szCs w:val="21"/>
              </w:rPr>
            </w:pPr>
            <w:r>
              <w:rPr>
                <w:rFonts w:cs="Times New Roman"/>
                <w:kern w:val="0"/>
                <w:sz w:val="21"/>
                <w:szCs w:val="21"/>
              </w:rPr>
              <w:t>12</w:t>
            </w:r>
          </w:p>
        </w:tc>
        <w:tc>
          <w:tcPr>
            <w:tcW w:w="721" w:type="pct"/>
            <w:vAlign w:val="center"/>
          </w:tcPr>
          <w:p w14:paraId="20DFA521">
            <w:pPr>
              <w:widowControl/>
              <w:spacing w:line="240" w:lineRule="auto"/>
              <w:ind w:firstLine="0" w:firstLineChars="0"/>
              <w:jc w:val="center"/>
              <w:rPr>
                <w:rFonts w:cs="Times New Roman"/>
                <w:kern w:val="0"/>
                <w:sz w:val="21"/>
                <w:szCs w:val="21"/>
              </w:rPr>
            </w:pPr>
            <w:r>
              <w:rPr>
                <w:rFonts w:cs="Times New Roman"/>
                <w:kern w:val="0"/>
                <w:sz w:val="21"/>
                <w:szCs w:val="21"/>
              </w:rPr>
              <w:t>1,2-</w:t>
            </w:r>
            <w:r>
              <w:rPr>
                <w:rFonts w:hint="eastAsia" w:cs="Times New Roman"/>
                <w:kern w:val="0"/>
                <w:sz w:val="21"/>
                <w:szCs w:val="21"/>
              </w:rPr>
              <w:t>二氯乙烷</w:t>
            </w:r>
          </w:p>
        </w:tc>
        <w:tc>
          <w:tcPr>
            <w:tcW w:w="461" w:type="pct"/>
            <w:vAlign w:val="center"/>
          </w:tcPr>
          <w:p w14:paraId="3ECEA47A">
            <w:pPr>
              <w:widowControl/>
              <w:spacing w:line="240" w:lineRule="auto"/>
              <w:ind w:firstLine="0" w:firstLineChars="0"/>
              <w:jc w:val="center"/>
              <w:rPr>
                <w:rFonts w:cs="Times New Roman"/>
                <w:kern w:val="0"/>
                <w:sz w:val="21"/>
                <w:szCs w:val="21"/>
              </w:rPr>
            </w:pPr>
            <w:r>
              <w:rPr>
                <w:rFonts w:cs="Times New Roman"/>
                <w:kern w:val="0"/>
                <w:sz w:val="21"/>
                <w:szCs w:val="21"/>
              </w:rPr>
              <w:t>107-06--2</w:t>
            </w:r>
          </w:p>
        </w:tc>
        <w:tc>
          <w:tcPr>
            <w:tcW w:w="470" w:type="pct"/>
            <w:vAlign w:val="center"/>
          </w:tcPr>
          <w:p w14:paraId="1888ACB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E56E4DC">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696B9D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F6458D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7B184D4">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1041867F">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3CD16292">
            <w:pPr>
              <w:spacing w:line="240" w:lineRule="auto"/>
              <w:ind w:firstLine="0" w:firstLineChars="0"/>
              <w:jc w:val="center"/>
              <w:rPr>
                <w:rFonts w:cs="Times New Roman"/>
                <w:sz w:val="21"/>
                <w:szCs w:val="21"/>
              </w:rPr>
            </w:pPr>
            <w:r>
              <w:rPr>
                <w:rFonts w:cs="Times New Roman"/>
                <w:sz w:val="21"/>
                <w:szCs w:val="21"/>
              </w:rPr>
              <w:t>5</w:t>
            </w:r>
          </w:p>
        </w:tc>
        <w:tc>
          <w:tcPr>
            <w:tcW w:w="251" w:type="pct"/>
            <w:vAlign w:val="center"/>
          </w:tcPr>
          <w:p w14:paraId="47BF49DD">
            <w:pPr>
              <w:spacing w:line="240" w:lineRule="auto"/>
              <w:ind w:firstLine="0" w:firstLineChars="0"/>
              <w:jc w:val="center"/>
              <w:rPr>
                <w:rFonts w:cs="Times New Roman"/>
                <w:sz w:val="21"/>
                <w:szCs w:val="21"/>
              </w:rPr>
            </w:pPr>
            <w:r>
              <w:rPr>
                <w:rFonts w:hint="eastAsia" w:cs="Times New Roman"/>
                <w:sz w:val="21"/>
                <w:szCs w:val="21"/>
              </w:rPr>
              <w:t>达标</w:t>
            </w:r>
          </w:p>
        </w:tc>
      </w:tr>
      <w:tr w14:paraId="615AB7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5328809B">
            <w:pPr>
              <w:widowControl/>
              <w:spacing w:line="240" w:lineRule="auto"/>
              <w:ind w:firstLine="0" w:firstLineChars="0"/>
              <w:jc w:val="center"/>
              <w:rPr>
                <w:rFonts w:cs="Times New Roman"/>
                <w:kern w:val="0"/>
                <w:sz w:val="21"/>
                <w:szCs w:val="21"/>
              </w:rPr>
            </w:pPr>
            <w:r>
              <w:rPr>
                <w:rFonts w:cs="Times New Roman"/>
                <w:kern w:val="0"/>
                <w:sz w:val="21"/>
                <w:szCs w:val="21"/>
              </w:rPr>
              <w:t>13</w:t>
            </w:r>
          </w:p>
        </w:tc>
        <w:tc>
          <w:tcPr>
            <w:tcW w:w="721" w:type="pct"/>
            <w:vAlign w:val="center"/>
          </w:tcPr>
          <w:p w14:paraId="53DA9E30">
            <w:pPr>
              <w:widowControl/>
              <w:spacing w:line="240" w:lineRule="auto"/>
              <w:ind w:firstLine="0" w:firstLineChars="0"/>
              <w:jc w:val="center"/>
              <w:rPr>
                <w:rFonts w:cs="Times New Roman"/>
                <w:kern w:val="0"/>
                <w:sz w:val="21"/>
                <w:szCs w:val="21"/>
              </w:rPr>
            </w:pPr>
            <w:r>
              <w:rPr>
                <w:rFonts w:cs="Times New Roman"/>
                <w:kern w:val="0"/>
                <w:sz w:val="21"/>
                <w:szCs w:val="21"/>
              </w:rPr>
              <w:t>1,1-</w:t>
            </w:r>
            <w:r>
              <w:rPr>
                <w:rFonts w:hint="eastAsia" w:cs="Times New Roman"/>
                <w:kern w:val="0"/>
                <w:sz w:val="21"/>
                <w:szCs w:val="21"/>
              </w:rPr>
              <w:t>二氯乙烯</w:t>
            </w:r>
          </w:p>
        </w:tc>
        <w:tc>
          <w:tcPr>
            <w:tcW w:w="461" w:type="pct"/>
            <w:vAlign w:val="center"/>
          </w:tcPr>
          <w:p w14:paraId="04F37627">
            <w:pPr>
              <w:widowControl/>
              <w:spacing w:line="240" w:lineRule="auto"/>
              <w:ind w:firstLine="0" w:firstLineChars="0"/>
              <w:jc w:val="center"/>
              <w:rPr>
                <w:rFonts w:cs="Times New Roman"/>
                <w:kern w:val="0"/>
                <w:sz w:val="21"/>
                <w:szCs w:val="21"/>
              </w:rPr>
            </w:pPr>
            <w:r>
              <w:rPr>
                <w:rFonts w:cs="Times New Roman"/>
                <w:kern w:val="0"/>
                <w:sz w:val="21"/>
                <w:szCs w:val="21"/>
              </w:rPr>
              <w:t>75-35-4</w:t>
            </w:r>
          </w:p>
        </w:tc>
        <w:tc>
          <w:tcPr>
            <w:tcW w:w="470" w:type="pct"/>
            <w:vAlign w:val="center"/>
          </w:tcPr>
          <w:p w14:paraId="0B085A10">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A73CB83">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753472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0DE09A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124F4A8">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21CA9239">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7358493B">
            <w:pPr>
              <w:spacing w:line="240" w:lineRule="auto"/>
              <w:ind w:firstLine="0" w:firstLineChars="0"/>
              <w:jc w:val="center"/>
              <w:rPr>
                <w:rFonts w:cs="Times New Roman"/>
                <w:sz w:val="21"/>
                <w:szCs w:val="21"/>
              </w:rPr>
            </w:pPr>
            <w:r>
              <w:rPr>
                <w:rFonts w:cs="Times New Roman"/>
                <w:sz w:val="21"/>
                <w:szCs w:val="21"/>
              </w:rPr>
              <w:t>66</w:t>
            </w:r>
          </w:p>
        </w:tc>
        <w:tc>
          <w:tcPr>
            <w:tcW w:w="251" w:type="pct"/>
            <w:vAlign w:val="center"/>
          </w:tcPr>
          <w:p w14:paraId="1CFE42F0">
            <w:pPr>
              <w:spacing w:line="240" w:lineRule="auto"/>
              <w:ind w:firstLine="0" w:firstLineChars="0"/>
              <w:jc w:val="center"/>
              <w:rPr>
                <w:rFonts w:cs="Times New Roman"/>
                <w:sz w:val="21"/>
                <w:szCs w:val="21"/>
              </w:rPr>
            </w:pPr>
            <w:r>
              <w:rPr>
                <w:rFonts w:hint="eastAsia" w:cs="Times New Roman"/>
                <w:sz w:val="21"/>
                <w:szCs w:val="21"/>
              </w:rPr>
              <w:t>达标</w:t>
            </w:r>
          </w:p>
        </w:tc>
      </w:tr>
      <w:tr w14:paraId="3B0B21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7034BF5B">
            <w:pPr>
              <w:widowControl/>
              <w:spacing w:line="240" w:lineRule="auto"/>
              <w:ind w:firstLine="0" w:firstLineChars="0"/>
              <w:jc w:val="center"/>
              <w:rPr>
                <w:rFonts w:cs="Times New Roman"/>
                <w:kern w:val="0"/>
                <w:sz w:val="21"/>
                <w:szCs w:val="21"/>
              </w:rPr>
            </w:pPr>
            <w:r>
              <w:rPr>
                <w:rFonts w:cs="Times New Roman"/>
                <w:kern w:val="0"/>
                <w:sz w:val="21"/>
                <w:szCs w:val="21"/>
              </w:rPr>
              <w:t>14</w:t>
            </w:r>
          </w:p>
        </w:tc>
        <w:tc>
          <w:tcPr>
            <w:tcW w:w="721" w:type="pct"/>
            <w:vAlign w:val="center"/>
          </w:tcPr>
          <w:p w14:paraId="329DED3C">
            <w:pPr>
              <w:widowControl/>
              <w:spacing w:line="240" w:lineRule="auto"/>
              <w:ind w:firstLine="0" w:firstLineChars="0"/>
              <w:jc w:val="center"/>
              <w:rPr>
                <w:rFonts w:cs="Times New Roman"/>
                <w:kern w:val="0"/>
                <w:sz w:val="21"/>
                <w:szCs w:val="21"/>
              </w:rPr>
            </w:pPr>
            <w:r>
              <w:rPr>
                <w:rFonts w:hint="eastAsia" w:cs="Times New Roman"/>
                <w:kern w:val="0"/>
                <w:sz w:val="21"/>
                <w:szCs w:val="21"/>
              </w:rPr>
              <w:t>顺</w:t>
            </w:r>
            <w:r>
              <w:rPr>
                <w:rFonts w:cs="Times New Roman"/>
                <w:kern w:val="0"/>
                <w:sz w:val="21"/>
                <w:szCs w:val="21"/>
              </w:rPr>
              <w:t>-1,2-</w:t>
            </w:r>
            <w:r>
              <w:rPr>
                <w:rFonts w:hint="eastAsia" w:cs="Times New Roman"/>
                <w:kern w:val="0"/>
                <w:sz w:val="21"/>
                <w:szCs w:val="21"/>
              </w:rPr>
              <w:t>二氯乙烯</w:t>
            </w:r>
          </w:p>
        </w:tc>
        <w:tc>
          <w:tcPr>
            <w:tcW w:w="461" w:type="pct"/>
            <w:vAlign w:val="center"/>
          </w:tcPr>
          <w:p w14:paraId="6FA2F547">
            <w:pPr>
              <w:widowControl/>
              <w:spacing w:line="240" w:lineRule="auto"/>
              <w:ind w:firstLine="0" w:firstLineChars="0"/>
              <w:jc w:val="center"/>
              <w:rPr>
                <w:rFonts w:cs="Times New Roman"/>
                <w:kern w:val="0"/>
                <w:sz w:val="21"/>
                <w:szCs w:val="21"/>
              </w:rPr>
            </w:pPr>
            <w:r>
              <w:rPr>
                <w:rFonts w:cs="Times New Roman"/>
                <w:kern w:val="0"/>
                <w:sz w:val="21"/>
                <w:szCs w:val="21"/>
              </w:rPr>
              <w:t>156-59-2</w:t>
            </w:r>
          </w:p>
        </w:tc>
        <w:tc>
          <w:tcPr>
            <w:tcW w:w="470" w:type="pct"/>
            <w:vAlign w:val="center"/>
          </w:tcPr>
          <w:p w14:paraId="59A8A6DE">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36167914">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172FB35C">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1C0081A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A7AA41B">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2DF681BE">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64DC1902">
            <w:pPr>
              <w:spacing w:line="240" w:lineRule="auto"/>
              <w:ind w:firstLine="0" w:firstLineChars="0"/>
              <w:jc w:val="center"/>
              <w:rPr>
                <w:rFonts w:cs="Times New Roman"/>
                <w:sz w:val="21"/>
                <w:szCs w:val="21"/>
              </w:rPr>
            </w:pPr>
            <w:r>
              <w:rPr>
                <w:rFonts w:cs="Times New Roman"/>
                <w:sz w:val="21"/>
                <w:szCs w:val="21"/>
              </w:rPr>
              <w:t>596</w:t>
            </w:r>
          </w:p>
        </w:tc>
        <w:tc>
          <w:tcPr>
            <w:tcW w:w="251" w:type="pct"/>
            <w:vAlign w:val="center"/>
          </w:tcPr>
          <w:p w14:paraId="6AB84A66">
            <w:pPr>
              <w:spacing w:line="240" w:lineRule="auto"/>
              <w:ind w:firstLine="0" w:firstLineChars="0"/>
              <w:jc w:val="center"/>
              <w:rPr>
                <w:rFonts w:cs="Times New Roman"/>
                <w:sz w:val="21"/>
                <w:szCs w:val="21"/>
              </w:rPr>
            </w:pPr>
            <w:r>
              <w:rPr>
                <w:rFonts w:hint="eastAsia" w:cs="Times New Roman"/>
                <w:sz w:val="21"/>
                <w:szCs w:val="21"/>
              </w:rPr>
              <w:t>达标</w:t>
            </w:r>
          </w:p>
        </w:tc>
      </w:tr>
      <w:tr w14:paraId="535327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351A4513">
            <w:pPr>
              <w:widowControl/>
              <w:spacing w:line="240" w:lineRule="auto"/>
              <w:ind w:firstLine="0" w:firstLineChars="0"/>
              <w:jc w:val="center"/>
              <w:rPr>
                <w:rFonts w:cs="Times New Roman"/>
                <w:kern w:val="0"/>
                <w:sz w:val="21"/>
                <w:szCs w:val="21"/>
              </w:rPr>
            </w:pPr>
            <w:r>
              <w:rPr>
                <w:rFonts w:cs="Times New Roman"/>
                <w:kern w:val="0"/>
                <w:sz w:val="21"/>
                <w:szCs w:val="21"/>
              </w:rPr>
              <w:t>15</w:t>
            </w:r>
          </w:p>
        </w:tc>
        <w:tc>
          <w:tcPr>
            <w:tcW w:w="721" w:type="pct"/>
            <w:vAlign w:val="center"/>
          </w:tcPr>
          <w:p w14:paraId="4BD8B594">
            <w:pPr>
              <w:widowControl/>
              <w:spacing w:line="240" w:lineRule="auto"/>
              <w:ind w:firstLine="0" w:firstLineChars="0"/>
              <w:jc w:val="center"/>
              <w:rPr>
                <w:rFonts w:cs="Times New Roman"/>
                <w:kern w:val="0"/>
                <w:sz w:val="21"/>
                <w:szCs w:val="21"/>
              </w:rPr>
            </w:pPr>
            <w:r>
              <w:rPr>
                <w:rFonts w:hint="eastAsia" w:cs="Times New Roman"/>
                <w:kern w:val="0"/>
                <w:sz w:val="21"/>
                <w:szCs w:val="21"/>
              </w:rPr>
              <w:t>反</w:t>
            </w:r>
            <w:r>
              <w:rPr>
                <w:rFonts w:cs="Times New Roman"/>
                <w:kern w:val="0"/>
                <w:sz w:val="21"/>
                <w:szCs w:val="21"/>
              </w:rPr>
              <w:t>-1,2-</w:t>
            </w:r>
            <w:r>
              <w:rPr>
                <w:rFonts w:hint="eastAsia" w:cs="Times New Roman"/>
                <w:kern w:val="0"/>
                <w:sz w:val="21"/>
                <w:szCs w:val="21"/>
              </w:rPr>
              <w:t>二氯乙烯</w:t>
            </w:r>
          </w:p>
        </w:tc>
        <w:tc>
          <w:tcPr>
            <w:tcW w:w="461" w:type="pct"/>
            <w:vAlign w:val="center"/>
          </w:tcPr>
          <w:p w14:paraId="53BADA23">
            <w:pPr>
              <w:widowControl/>
              <w:spacing w:line="240" w:lineRule="auto"/>
              <w:ind w:firstLine="0" w:firstLineChars="0"/>
              <w:jc w:val="center"/>
              <w:rPr>
                <w:rFonts w:cs="Times New Roman"/>
                <w:kern w:val="0"/>
                <w:sz w:val="21"/>
                <w:szCs w:val="21"/>
              </w:rPr>
            </w:pPr>
            <w:r>
              <w:rPr>
                <w:rFonts w:cs="Times New Roman"/>
                <w:kern w:val="0"/>
                <w:sz w:val="21"/>
                <w:szCs w:val="21"/>
              </w:rPr>
              <w:t>156-60-5</w:t>
            </w:r>
          </w:p>
        </w:tc>
        <w:tc>
          <w:tcPr>
            <w:tcW w:w="470" w:type="pct"/>
            <w:vAlign w:val="center"/>
          </w:tcPr>
          <w:p w14:paraId="424F55B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89847FC">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50E8E14">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A6D4EB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E726859">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361A074F">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1F97279C">
            <w:pPr>
              <w:spacing w:line="240" w:lineRule="auto"/>
              <w:ind w:firstLine="0" w:firstLineChars="0"/>
              <w:jc w:val="center"/>
              <w:rPr>
                <w:rFonts w:cs="Times New Roman"/>
                <w:sz w:val="21"/>
                <w:szCs w:val="21"/>
              </w:rPr>
            </w:pPr>
            <w:r>
              <w:rPr>
                <w:rFonts w:cs="Times New Roman"/>
                <w:sz w:val="21"/>
                <w:szCs w:val="21"/>
              </w:rPr>
              <w:t>54</w:t>
            </w:r>
          </w:p>
        </w:tc>
        <w:tc>
          <w:tcPr>
            <w:tcW w:w="251" w:type="pct"/>
            <w:vAlign w:val="center"/>
          </w:tcPr>
          <w:p w14:paraId="04D75136">
            <w:pPr>
              <w:spacing w:line="240" w:lineRule="auto"/>
              <w:ind w:firstLine="0" w:firstLineChars="0"/>
              <w:jc w:val="center"/>
              <w:rPr>
                <w:rFonts w:cs="Times New Roman"/>
                <w:sz w:val="21"/>
                <w:szCs w:val="21"/>
              </w:rPr>
            </w:pPr>
            <w:r>
              <w:rPr>
                <w:rFonts w:hint="eastAsia" w:cs="Times New Roman"/>
                <w:sz w:val="21"/>
                <w:szCs w:val="21"/>
              </w:rPr>
              <w:t>达标</w:t>
            </w:r>
          </w:p>
        </w:tc>
      </w:tr>
      <w:tr w14:paraId="258626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3817DF5C">
            <w:pPr>
              <w:widowControl/>
              <w:spacing w:line="240" w:lineRule="auto"/>
              <w:ind w:firstLine="0" w:firstLineChars="0"/>
              <w:jc w:val="center"/>
              <w:rPr>
                <w:rFonts w:cs="Times New Roman"/>
                <w:kern w:val="0"/>
                <w:sz w:val="21"/>
                <w:szCs w:val="21"/>
              </w:rPr>
            </w:pPr>
            <w:r>
              <w:rPr>
                <w:rFonts w:cs="Times New Roman"/>
                <w:kern w:val="0"/>
                <w:sz w:val="21"/>
                <w:szCs w:val="21"/>
              </w:rPr>
              <w:t>16</w:t>
            </w:r>
          </w:p>
        </w:tc>
        <w:tc>
          <w:tcPr>
            <w:tcW w:w="721" w:type="pct"/>
            <w:vAlign w:val="center"/>
          </w:tcPr>
          <w:p w14:paraId="06E0A836">
            <w:pPr>
              <w:widowControl/>
              <w:spacing w:line="240" w:lineRule="auto"/>
              <w:ind w:firstLine="0" w:firstLineChars="0"/>
              <w:jc w:val="center"/>
              <w:rPr>
                <w:rFonts w:cs="Times New Roman"/>
                <w:kern w:val="0"/>
                <w:sz w:val="21"/>
                <w:szCs w:val="21"/>
              </w:rPr>
            </w:pPr>
            <w:r>
              <w:rPr>
                <w:rFonts w:hint="eastAsia" w:cs="Times New Roman"/>
                <w:kern w:val="0"/>
                <w:sz w:val="21"/>
                <w:szCs w:val="21"/>
              </w:rPr>
              <w:t>二氯甲烷</w:t>
            </w:r>
          </w:p>
        </w:tc>
        <w:tc>
          <w:tcPr>
            <w:tcW w:w="461" w:type="pct"/>
            <w:vAlign w:val="center"/>
          </w:tcPr>
          <w:p w14:paraId="73A1E6A5">
            <w:pPr>
              <w:widowControl/>
              <w:spacing w:line="240" w:lineRule="auto"/>
              <w:ind w:firstLine="0" w:firstLineChars="0"/>
              <w:jc w:val="center"/>
              <w:rPr>
                <w:rFonts w:cs="Times New Roman"/>
                <w:kern w:val="0"/>
                <w:sz w:val="21"/>
                <w:szCs w:val="21"/>
              </w:rPr>
            </w:pPr>
            <w:r>
              <w:rPr>
                <w:rFonts w:cs="Times New Roman"/>
                <w:kern w:val="0"/>
                <w:sz w:val="21"/>
                <w:szCs w:val="21"/>
              </w:rPr>
              <w:t>75-09-2</w:t>
            </w:r>
          </w:p>
        </w:tc>
        <w:tc>
          <w:tcPr>
            <w:tcW w:w="470" w:type="pct"/>
            <w:vAlign w:val="center"/>
          </w:tcPr>
          <w:p w14:paraId="251A4FA3">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D6DF841">
            <w:pPr>
              <w:spacing w:line="240" w:lineRule="auto"/>
              <w:ind w:firstLine="0" w:firstLineChars="0"/>
              <w:jc w:val="center"/>
              <w:rPr>
                <w:rFonts w:cs="Times New Roman"/>
                <w:sz w:val="21"/>
                <w:szCs w:val="21"/>
              </w:rPr>
            </w:pPr>
            <w:r>
              <w:rPr>
                <w:rFonts w:hint="eastAsia" w:cs="Times New Roman"/>
                <w:sz w:val="21"/>
                <w:szCs w:val="21"/>
              </w:rPr>
              <w:t>8.9</w:t>
            </w:r>
            <w:r>
              <w:rPr>
                <w:rFonts w:cs="Times New Roman"/>
                <w:sz w:val="21"/>
                <w:szCs w:val="21"/>
              </w:rPr>
              <w:t>×10</w:t>
            </w:r>
            <w:r>
              <w:rPr>
                <w:rFonts w:cs="Times New Roman"/>
                <w:sz w:val="21"/>
                <w:szCs w:val="21"/>
                <w:vertAlign w:val="superscript"/>
              </w:rPr>
              <w:t>-3</w:t>
            </w:r>
          </w:p>
        </w:tc>
        <w:tc>
          <w:tcPr>
            <w:tcW w:w="470" w:type="pct"/>
            <w:vAlign w:val="center"/>
          </w:tcPr>
          <w:p w14:paraId="7ED9BFDC">
            <w:pPr>
              <w:spacing w:line="240" w:lineRule="auto"/>
              <w:ind w:firstLine="0" w:firstLineChars="0"/>
              <w:jc w:val="center"/>
              <w:rPr>
                <w:rFonts w:cs="Times New Roman"/>
                <w:sz w:val="21"/>
                <w:szCs w:val="21"/>
              </w:rPr>
            </w:pPr>
            <w:r>
              <w:rPr>
                <w:rFonts w:hint="eastAsia" w:cs="Times New Roman"/>
                <w:sz w:val="21"/>
                <w:szCs w:val="21"/>
              </w:rPr>
              <w:t>8.5</w:t>
            </w:r>
            <w:r>
              <w:rPr>
                <w:rFonts w:cs="Times New Roman"/>
                <w:sz w:val="21"/>
                <w:szCs w:val="21"/>
              </w:rPr>
              <w:t>×10</w:t>
            </w:r>
            <w:r>
              <w:rPr>
                <w:rFonts w:cs="Times New Roman"/>
                <w:sz w:val="21"/>
                <w:szCs w:val="21"/>
                <w:vertAlign w:val="superscript"/>
              </w:rPr>
              <w:t>-3</w:t>
            </w:r>
          </w:p>
        </w:tc>
        <w:tc>
          <w:tcPr>
            <w:tcW w:w="470" w:type="pct"/>
            <w:vAlign w:val="center"/>
          </w:tcPr>
          <w:p w14:paraId="02A24AA5">
            <w:pPr>
              <w:spacing w:line="240" w:lineRule="auto"/>
              <w:ind w:firstLine="0" w:firstLineChars="0"/>
              <w:jc w:val="center"/>
              <w:rPr>
                <w:rFonts w:cs="Times New Roman"/>
                <w:sz w:val="21"/>
                <w:szCs w:val="21"/>
              </w:rPr>
            </w:pPr>
            <w:r>
              <w:rPr>
                <w:rFonts w:hint="eastAsia" w:cs="Times New Roman"/>
                <w:sz w:val="21"/>
                <w:szCs w:val="21"/>
              </w:rPr>
              <w:t>8.4</w:t>
            </w:r>
            <w:r>
              <w:rPr>
                <w:rFonts w:cs="Times New Roman"/>
                <w:sz w:val="21"/>
                <w:szCs w:val="21"/>
              </w:rPr>
              <w:t>×10</w:t>
            </w:r>
            <w:r>
              <w:rPr>
                <w:rFonts w:cs="Times New Roman"/>
                <w:sz w:val="21"/>
                <w:szCs w:val="21"/>
                <w:vertAlign w:val="superscript"/>
              </w:rPr>
              <w:t>-3</w:t>
            </w:r>
          </w:p>
        </w:tc>
        <w:tc>
          <w:tcPr>
            <w:tcW w:w="470" w:type="pct"/>
            <w:vAlign w:val="center"/>
          </w:tcPr>
          <w:p w14:paraId="271648D3">
            <w:pPr>
              <w:spacing w:line="240" w:lineRule="auto"/>
              <w:ind w:firstLine="0" w:firstLineChars="0"/>
              <w:jc w:val="center"/>
              <w:rPr>
                <w:rFonts w:cs="Times New Roman"/>
                <w:sz w:val="21"/>
                <w:szCs w:val="21"/>
              </w:rPr>
            </w:pPr>
            <w:r>
              <w:rPr>
                <w:rFonts w:hint="eastAsia" w:cs="Times New Roman"/>
                <w:sz w:val="21"/>
                <w:szCs w:val="21"/>
              </w:rPr>
              <w:t>7.5</w:t>
            </w:r>
            <w:r>
              <w:rPr>
                <w:rFonts w:cs="Times New Roman"/>
                <w:sz w:val="21"/>
                <w:szCs w:val="21"/>
              </w:rPr>
              <w:t>×10</w:t>
            </w:r>
            <w:r>
              <w:rPr>
                <w:rFonts w:cs="Times New Roman"/>
                <w:sz w:val="21"/>
                <w:szCs w:val="21"/>
                <w:vertAlign w:val="superscript"/>
              </w:rPr>
              <w:t>-3</w:t>
            </w:r>
          </w:p>
        </w:tc>
        <w:tc>
          <w:tcPr>
            <w:tcW w:w="471" w:type="pct"/>
            <w:vAlign w:val="center"/>
          </w:tcPr>
          <w:p w14:paraId="1CF498EE">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6E9B9782">
            <w:pPr>
              <w:spacing w:line="240" w:lineRule="auto"/>
              <w:ind w:firstLine="0" w:firstLineChars="0"/>
              <w:jc w:val="center"/>
              <w:rPr>
                <w:rFonts w:cs="Times New Roman"/>
                <w:sz w:val="21"/>
                <w:szCs w:val="21"/>
              </w:rPr>
            </w:pPr>
            <w:r>
              <w:rPr>
                <w:rFonts w:cs="Times New Roman"/>
                <w:sz w:val="21"/>
                <w:szCs w:val="21"/>
              </w:rPr>
              <w:t>616</w:t>
            </w:r>
          </w:p>
        </w:tc>
        <w:tc>
          <w:tcPr>
            <w:tcW w:w="251" w:type="pct"/>
            <w:vAlign w:val="center"/>
          </w:tcPr>
          <w:p w14:paraId="62104724">
            <w:pPr>
              <w:spacing w:line="240" w:lineRule="auto"/>
              <w:ind w:firstLine="0" w:firstLineChars="0"/>
              <w:jc w:val="center"/>
              <w:rPr>
                <w:rFonts w:cs="Times New Roman"/>
                <w:sz w:val="21"/>
                <w:szCs w:val="21"/>
              </w:rPr>
            </w:pPr>
            <w:r>
              <w:rPr>
                <w:rFonts w:hint="eastAsia" w:cs="Times New Roman"/>
                <w:sz w:val="21"/>
                <w:szCs w:val="21"/>
              </w:rPr>
              <w:t>达标</w:t>
            </w:r>
          </w:p>
        </w:tc>
      </w:tr>
      <w:tr w14:paraId="19FB7B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6701D6B">
            <w:pPr>
              <w:widowControl/>
              <w:spacing w:line="240" w:lineRule="auto"/>
              <w:ind w:firstLine="0" w:firstLineChars="0"/>
              <w:jc w:val="center"/>
              <w:rPr>
                <w:rFonts w:cs="Times New Roman"/>
                <w:kern w:val="0"/>
                <w:sz w:val="21"/>
                <w:szCs w:val="21"/>
              </w:rPr>
            </w:pPr>
            <w:r>
              <w:rPr>
                <w:rFonts w:cs="Times New Roman"/>
                <w:kern w:val="0"/>
                <w:sz w:val="21"/>
                <w:szCs w:val="21"/>
              </w:rPr>
              <w:t>17</w:t>
            </w:r>
          </w:p>
        </w:tc>
        <w:tc>
          <w:tcPr>
            <w:tcW w:w="721" w:type="pct"/>
            <w:vAlign w:val="center"/>
          </w:tcPr>
          <w:p w14:paraId="36255C47">
            <w:pPr>
              <w:widowControl/>
              <w:spacing w:line="240" w:lineRule="auto"/>
              <w:ind w:firstLine="0" w:firstLineChars="0"/>
              <w:jc w:val="center"/>
              <w:rPr>
                <w:rFonts w:cs="Times New Roman"/>
                <w:kern w:val="0"/>
                <w:sz w:val="21"/>
                <w:szCs w:val="21"/>
              </w:rPr>
            </w:pPr>
            <w:r>
              <w:rPr>
                <w:rFonts w:cs="Times New Roman"/>
                <w:kern w:val="0"/>
                <w:sz w:val="21"/>
                <w:szCs w:val="21"/>
              </w:rPr>
              <w:t>1,2-</w:t>
            </w:r>
            <w:r>
              <w:rPr>
                <w:rFonts w:hint="eastAsia" w:cs="Times New Roman"/>
                <w:kern w:val="0"/>
                <w:sz w:val="21"/>
                <w:szCs w:val="21"/>
              </w:rPr>
              <w:t>二氯丙烷</w:t>
            </w:r>
          </w:p>
        </w:tc>
        <w:tc>
          <w:tcPr>
            <w:tcW w:w="461" w:type="pct"/>
            <w:vAlign w:val="center"/>
          </w:tcPr>
          <w:p w14:paraId="5251D16E">
            <w:pPr>
              <w:widowControl/>
              <w:spacing w:line="240" w:lineRule="auto"/>
              <w:ind w:firstLine="0" w:firstLineChars="0"/>
              <w:jc w:val="center"/>
              <w:rPr>
                <w:rFonts w:cs="Times New Roman"/>
                <w:kern w:val="0"/>
                <w:sz w:val="21"/>
                <w:szCs w:val="21"/>
              </w:rPr>
            </w:pPr>
            <w:r>
              <w:rPr>
                <w:rFonts w:cs="Times New Roman"/>
                <w:kern w:val="0"/>
                <w:sz w:val="21"/>
                <w:szCs w:val="21"/>
              </w:rPr>
              <w:t>78-87-5</w:t>
            </w:r>
          </w:p>
        </w:tc>
        <w:tc>
          <w:tcPr>
            <w:tcW w:w="470" w:type="pct"/>
            <w:vAlign w:val="center"/>
          </w:tcPr>
          <w:p w14:paraId="27DC474C">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48A7FC62">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6F8A2A45">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22847DC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FD9CD33">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71A2072C">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6FFA2788">
            <w:pPr>
              <w:spacing w:line="240" w:lineRule="auto"/>
              <w:ind w:firstLine="0" w:firstLineChars="0"/>
              <w:jc w:val="center"/>
              <w:rPr>
                <w:rFonts w:cs="Times New Roman"/>
                <w:sz w:val="21"/>
                <w:szCs w:val="21"/>
              </w:rPr>
            </w:pPr>
            <w:r>
              <w:rPr>
                <w:rFonts w:cs="Times New Roman"/>
                <w:sz w:val="21"/>
                <w:szCs w:val="21"/>
              </w:rPr>
              <w:t>5</w:t>
            </w:r>
          </w:p>
        </w:tc>
        <w:tc>
          <w:tcPr>
            <w:tcW w:w="251" w:type="pct"/>
            <w:vAlign w:val="center"/>
          </w:tcPr>
          <w:p w14:paraId="6ACB72AE">
            <w:pPr>
              <w:spacing w:line="240" w:lineRule="auto"/>
              <w:ind w:firstLine="0" w:firstLineChars="0"/>
              <w:jc w:val="center"/>
              <w:rPr>
                <w:rFonts w:cs="Times New Roman"/>
                <w:sz w:val="21"/>
                <w:szCs w:val="21"/>
              </w:rPr>
            </w:pPr>
            <w:r>
              <w:rPr>
                <w:rFonts w:hint="eastAsia" w:cs="Times New Roman"/>
                <w:sz w:val="21"/>
                <w:szCs w:val="21"/>
              </w:rPr>
              <w:t>达标</w:t>
            </w:r>
          </w:p>
        </w:tc>
      </w:tr>
      <w:tr w14:paraId="7B192B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5FB0E122">
            <w:pPr>
              <w:widowControl/>
              <w:spacing w:line="240" w:lineRule="auto"/>
              <w:ind w:firstLine="0" w:firstLineChars="0"/>
              <w:jc w:val="center"/>
              <w:rPr>
                <w:rFonts w:cs="Times New Roman"/>
                <w:kern w:val="0"/>
                <w:sz w:val="21"/>
                <w:szCs w:val="21"/>
              </w:rPr>
            </w:pPr>
            <w:r>
              <w:rPr>
                <w:rFonts w:cs="Times New Roman"/>
                <w:kern w:val="0"/>
                <w:sz w:val="21"/>
                <w:szCs w:val="21"/>
              </w:rPr>
              <w:t>18</w:t>
            </w:r>
          </w:p>
        </w:tc>
        <w:tc>
          <w:tcPr>
            <w:tcW w:w="721" w:type="pct"/>
            <w:vAlign w:val="center"/>
          </w:tcPr>
          <w:p w14:paraId="1FB9BE41">
            <w:pPr>
              <w:widowControl/>
              <w:spacing w:line="240" w:lineRule="auto"/>
              <w:ind w:firstLine="0" w:firstLineChars="0"/>
              <w:jc w:val="center"/>
              <w:rPr>
                <w:rFonts w:cs="Times New Roman"/>
                <w:kern w:val="0"/>
                <w:sz w:val="21"/>
                <w:szCs w:val="21"/>
              </w:rPr>
            </w:pPr>
            <w:r>
              <w:rPr>
                <w:rFonts w:cs="Times New Roman"/>
                <w:kern w:val="0"/>
                <w:sz w:val="21"/>
                <w:szCs w:val="21"/>
              </w:rPr>
              <w:t>1,1,1,2-</w:t>
            </w:r>
            <w:r>
              <w:rPr>
                <w:rFonts w:hint="eastAsia" w:cs="Times New Roman"/>
                <w:kern w:val="0"/>
                <w:sz w:val="21"/>
                <w:szCs w:val="21"/>
              </w:rPr>
              <w:t>四氯乙烷</w:t>
            </w:r>
          </w:p>
        </w:tc>
        <w:tc>
          <w:tcPr>
            <w:tcW w:w="461" w:type="pct"/>
            <w:vAlign w:val="center"/>
          </w:tcPr>
          <w:p w14:paraId="33C4827B">
            <w:pPr>
              <w:widowControl/>
              <w:spacing w:line="240" w:lineRule="auto"/>
              <w:ind w:firstLine="0" w:firstLineChars="0"/>
              <w:jc w:val="center"/>
              <w:rPr>
                <w:rFonts w:cs="Times New Roman"/>
                <w:kern w:val="0"/>
                <w:sz w:val="21"/>
                <w:szCs w:val="21"/>
              </w:rPr>
            </w:pPr>
            <w:r>
              <w:rPr>
                <w:rFonts w:cs="Times New Roman"/>
                <w:kern w:val="0"/>
                <w:sz w:val="21"/>
                <w:szCs w:val="21"/>
              </w:rPr>
              <w:t>630-20--6</w:t>
            </w:r>
          </w:p>
        </w:tc>
        <w:tc>
          <w:tcPr>
            <w:tcW w:w="470" w:type="pct"/>
            <w:vAlign w:val="center"/>
          </w:tcPr>
          <w:p w14:paraId="14CE6B5F">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DF9E850">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75225E0">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583A98F">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70CD313">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220A711F">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05A27759">
            <w:pPr>
              <w:spacing w:line="240" w:lineRule="auto"/>
              <w:ind w:firstLine="0" w:firstLineChars="0"/>
              <w:jc w:val="center"/>
              <w:rPr>
                <w:rFonts w:cs="Times New Roman"/>
                <w:sz w:val="21"/>
                <w:szCs w:val="21"/>
              </w:rPr>
            </w:pPr>
            <w:r>
              <w:rPr>
                <w:rFonts w:cs="Times New Roman"/>
                <w:sz w:val="21"/>
                <w:szCs w:val="21"/>
              </w:rPr>
              <w:t>10</w:t>
            </w:r>
          </w:p>
        </w:tc>
        <w:tc>
          <w:tcPr>
            <w:tcW w:w="251" w:type="pct"/>
            <w:vAlign w:val="center"/>
          </w:tcPr>
          <w:p w14:paraId="44C956F1">
            <w:pPr>
              <w:spacing w:line="240" w:lineRule="auto"/>
              <w:ind w:firstLine="0" w:firstLineChars="0"/>
              <w:jc w:val="center"/>
              <w:rPr>
                <w:rFonts w:cs="Times New Roman"/>
                <w:sz w:val="21"/>
                <w:szCs w:val="21"/>
              </w:rPr>
            </w:pPr>
            <w:r>
              <w:rPr>
                <w:rFonts w:hint="eastAsia" w:cs="Times New Roman"/>
                <w:sz w:val="21"/>
                <w:szCs w:val="21"/>
              </w:rPr>
              <w:t>达标</w:t>
            </w:r>
          </w:p>
        </w:tc>
      </w:tr>
      <w:tr w14:paraId="578617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0FA97FF2">
            <w:pPr>
              <w:widowControl/>
              <w:spacing w:line="240" w:lineRule="auto"/>
              <w:ind w:firstLine="0" w:firstLineChars="0"/>
              <w:jc w:val="center"/>
              <w:rPr>
                <w:rFonts w:cs="Times New Roman"/>
                <w:kern w:val="0"/>
                <w:sz w:val="21"/>
                <w:szCs w:val="21"/>
              </w:rPr>
            </w:pPr>
            <w:r>
              <w:rPr>
                <w:rFonts w:cs="Times New Roman"/>
                <w:kern w:val="0"/>
                <w:sz w:val="21"/>
                <w:szCs w:val="21"/>
              </w:rPr>
              <w:t>19</w:t>
            </w:r>
          </w:p>
        </w:tc>
        <w:tc>
          <w:tcPr>
            <w:tcW w:w="721" w:type="pct"/>
            <w:vAlign w:val="center"/>
          </w:tcPr>
          <w:p w14:paraId="749E1CC9">
            <w:pPr>
              <w:widowControl/>
              <w:spacing w:line="240" w:lineRule="auto"/>
              <w:ind w:firstLine="0" w:firstLineChars="0"/>
              <w:jc w:val="center"/>
              <w:rPr>
                <w:rFonts w:cs="Times New Roman"/>
                <w:kern w:val="0"/>
                <w:sz w:val="21"/>
                <w:szCs w:val="21"/>
              </w:rPr>
            </w:pPr>
            <w:r>
              <w:rPr>
                <w:rFonts w:cs="Times New Roman"/>
                <w:kern w:val="0"/>
                <w:sz w:val="21"/>
                <w:szCs w:val="21"/>
              </w:rPr>
              <w:t>1,1,2,2-</w:t>
            </w:r>
            <w:r>
              <w:rPr>
                <w:rFonts w:hint="eastAsia" w:cs="Times New Roman"/>
                <w:kern w:val="0"/>
                <w:sz w:val="21"/>
                <w:szCs w:val="21"/>
              </w:rPr>
              <w:t>四氯乙烷</w:t>
            </w:r>
          </w:p>
        </w:tc>
        <w:tc>
          <w:tcPr>
            <w:tcW w:w="461" w:type="pct"/>
            <w:vAlign w:val="center"/>
          </w:tcPr>
          <w:p w14:paraId="70C33BDC">
            <w:pPr>
              <w:widowControl/>
              <w:spacing w:line="240" w:lineRule="auto"/>
              <w:ind w:firstLine="0" w:firstLineChars="0"/>
              <w:jc w:val="center"/>
              <w:rPr>
                <w:rFonts w:cs="Times New Roman"/>
                <w:kern w:val="0"/>
                <w:sz w:val="21"/>
                <w:szCs w:val="21"/>
              </w:rPr>
            </w:pPr>
            <w:r>
              <w:rPr>
                <w:rFonts w:cs="Times New Roman"/>
                <w:kern w:val="0"/>
                <w:sz w:val="21"/>
                <w:szCs w:val="21"/>
              </w:rPr>
              <w:t>79-34-5</w:t>
            </w:r>
          </w:p>
        </w:tc>
        <w:tc>
          <w:tcPr>
            <w:tcW w:w="470" w:type="pct"/>
            <w:vAlign w:val="center"/>
          </w:tcPr>
          <w:p w14:paraId="0CDC560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BDDA5D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130B5C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4BB3B0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DD49FA3">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40FD0D93">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46FEA6AE">
            <w:pPr>
              <w:spacing w:line="240" w:lineRule="auto"/>
              <w:ind w:firstLine="0" w:firstLineChars="0"/>
              <w:jc w:val="center"/>
              <w:rPr>
                <w:rFonts w:cs="Times New Roman"/>
                <w:sz w:val="21"/>
                <w:szCs w:val="21"/>
              </w:rPr>
            </w:pPr>
            <w:r>
              <w:rPr>
                <w:rFonts w:cs="Times New Roman"/>
                <w:sz w:val="21"/>
                <w:szCs w:val="21"/>
              </w:rPr>
              <w:t>6.8</w:t>
            </w:r>
          </w:p>
        </w:tc>
        <w:tc>
          <w:tcPr>
            <w:tcW w:w="251" w:type="pct"/>
            <w:vAlign w:val="center"/>
          </w:tcPr>
          <w:p w14:paraId="324D38BA">
            <w:pPr>
              <w:spacing w:line="240" w:lineRule="auto"/>
              <w:ind w:firstLine="0" w:firstLineChars="0"/>
              <w:jc w:val="center"/>
              <w:rPr>
                <w:rFonts w:cs="Times New Roman"/>
                <w:sz w:val="21"/>
                <w:szCs w:val="21"/>
              </w:rPr>
            </w:pPr>
            <w:r>
              <w:rPr>
                <w:rFonts w:hint="eastAsia" w:cs="Times New Roman"/>
                <w:sz w:val="21"/>
                <w:szCs w:val="21"/>
              </w:rPr>
              <w:t>达标</w:t>
            </w:r>
          </w:p>
        </w:tc>
      </w:tr>
      <w:tr w14:paraId="5DCF8A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4E3CB078">
            <w:pPr>
              <w:widowControl/>
              <w:spacing w:line="240" w:lineRule="auto"/>
              <w:ind w:firstLine="0" w:firstLineChars="0"/>
              <w:jc w:val="center"/>
              <w:rPr>
                <w:rFonts w:cs="Times New Roman"/>
                <w:kern w:val="0"/>
                <w:sz w:val="21"/>
                <w:szCs w:val="21"/>
              </w:rPr>
            </w:pPr>
            <w:r>
              <w:rPr>
                <w:rFonts w:cs="Times New Roman"/>
                <w:kern w:val="0"/>
                <w:sz w:val="21"/>
                <w:szCs w:val="21"/>
              </w:rPr>
              <w:t>20</w:t>
            </w:r>
          </w:p>
        </w:tc>
        <w:tc>
          <w:tcPr>
            <w:tcW w:w="721" w:type="pct"/>
            <w:vAlign w:val="center"/>
          </w:tcPr>
          <w:p w14:paraId="094AD492">
            <w:pPr>
              <w:widowControl/>
              <w:spacing w:line="240" w:lineRule="auto"/>
              <w:ind w:firstLine="0" w:firstLineChars="0"/>
              <w:jc w:val="center"/>
              <w:rPr>
                <w:rFonts w:cs="Times New Roman"/>
                <w:kern w:val="0"/>
                <w:sz w:val="21"/>
                <w:szCs w:val="21"/>
              </w:rPr>
            </w:pPr>
            <w:r>
              <w:rPr>
                <w:rFonts w:hint="eastAsia" w:cs="Times New Roman"/>
                <w:kern w:val="0"/>
                <w:sz w:val="21"/>
                <w:szCs w:val="21"/>
              </w:rPr>
              <w:t>四氯乙烯</w:t>
            </w:r>
          </w:p>
        </w:tc>
        <w:tc>
          <w:tcPr>
            <w:tcW w:w="461" w:type="pct"/>
            <w:vAlign w:val="center"/>
          </w:tcPr>
          <w:p w14:paraId="16C9AAE0">
            <w:pPr>
              <w:widowControl/>
              <w:spacing w:line="240" w:lineRule="auto"/>
              <w:ind w:firstLine="0" w:firstLineChars="0"/>
              <w:jc w:val="center"/>
              <w:rPr>
                <w:rFonts w:cs="Times New Roman"/>
                <w:kern w:val="0"/>
                <w:sz w:val="21"/>
                <w:szCs w:val="21"/>
              </w:rPr>
            </w:pPr>
            <w:r>
              <w:rPr>
                <w:rFonts w:cs="Times New Roman"/>
                <w:kern w:val="0"/>
                <w:sz w:val="21"/>
                <w:szCs w:val="21"/>
              </w:rPr>
              <w:t>127-18-4</w:t>
            </w:r>
          </w:p>
        </w:tc>
        <w:tc>
          <w:tcPr>
            <w:tcW w:w="470" w:type="pct"/>
            <w:vAlign w:val="center"/>
          </w:tcPr>
          <w:p w14:paraId="51AD11F0">
            <w:pPr>
              <w:widowControl/>
              <w:spacing w:line="240" w:lineRule="auto"/>
              <w:ind w:firstLine="0" w:firstLineChars="0"/>
              <w:jc w:val="center"/>
              <w:rPr>
                <w:rFonts w:cs="Times New Roman"/>
                <w:kern w:val="0"/>
                <w:sz w:val="21"/>
                <w:szCs w:val="21"/>
              </w:rPr>
            </w:pPr>
            <w:r>
              <w:rPr>
                <w:rFonts w:hint="eastAsia" w:cs="Times New Roman"/>
                <w:kern w:val="0"/>
                <w:sz w:val="21"/>
                <w:szCs w:val="21"/>
              </w:rPr>
              <w:t>2.3</w:t>
            </w:r>
            <w:r>
              <w:rPr>
                <w:rFonts w:cs="Times New Roman"/>
                <w:kern w:val="0"/>
                <w:sz w:val="21"/>
                <w:szCs w:val="21"/>
              </w:rPr>
              <w:t>×10</w:t>
            </w:r>
            <w:r>
              <w:rPr>
                <w:rFonts w:cs="Times New Roman"/>
                <w:kern w:val="0"/>
                <w:sz w:val="21"/>
                <w:szCs w:val="21"/>
                <w:vertAlign w:val="superscript"/>
              </w:rPr>
              <w:t>-3</w:t>
            </w:r>
          </w:p>
        </w:tc>
        <w:tc>
          <w:tcPr>
            <w:tcW w:w="470" w:type="pct"/>
            <w:vAlign w:val="center"/>
          </w:tcPr>
          <w:p w14:paraId="779617B9">
            <w:pPr>
              <w:widowControl/>
              <w:spacing w:line="240" w:lineRule="auto"/>
              <w:ind w:firstLine="0" w:firstLineChars="0"/>
              <w:jc w:val="center"/>
              <w:rPr>
                <w:rFonts w:cs="Times New Roman"/>
                <w:kern w:val="0"/>
                <w:sz w:val="21"/>
                <w:szCs w:val="21"/>
              </w:rPr>
            </w:pPr>
            <w:r>
              <w:rPr>
                <w:rFonts w:hint="eastAsia" w:cs="Times New Roman"/>
                <w:kern w:val="0"/>
                <w:sz w:val="21"/>
                <w:szCs w:val="21"/>
              </w:rPr>
              <w:t>4.3</w:t>
            </w:r>
            <w:r>
              <w:rPr>
                <w:rFonts w:cs="Times New Roman"/>
                <w:kern w:val="0"/>
                <w:sz w:val="21"/>
                <w:szCs w:val="21"/>
              </w:rPr>
              <w:t>×10</w:t>
            </w:r>
            <w:r>
              <w:rPr>
                <w:rFonts w:cs="Times New Roman"/>
                <w:kern w:val="0"/>
                <w:sz w:val="21"/>
                <w:szCs w:val="21"/>
                <w:vertAlign w:val="superscript"/>
              </w:rPr>
              <w:t>-3</w:t>
            </w:r>
          </w:p>
        </w:tc>
        <w:tc>
          <w:tcPr>
            <w:tcW w:w="470" w:type="pct"/>
            <w:vAlign w:val="center"/>
          </w:tcPr>
          <w:p w14:paraId="541917DB">
            <w:pPr>
              <w:widowControl/>
              <w:spacing w:line="240" w:lineRule="auto"/>
              <w:ind w:firstLine="0" w:firstLineChars="0"/>
              <w:jc w:val="center"/>
              <w:rPr>
                <w:rFonts w:cs="Times New Roman"/>
                <w:kern w:val="0"/>
                <w:sz w:val="21"/>
                <w:szCs w:val="21"/>
              </w:rPr>
            </w:pPr>
            <w:r>
              <w:rPr>
                <w:rFonts w:hint="eastAsia" w:cs="Times New Roman"/>
                <w:kern w:val="0"/>
                <w:sz w:val="21"/>
                <w:szCs w:val="21"/>
              </w:rPr>
              <w:t>3.0</w:t>
            </w:r>
            <w:r>
              <w:rPr>
                <w:rFonts w:cs="Times New Roman"/>
                <w:kern w:val="0"/>
                <w:sz w:val="21"/>
                <w:szCs w:val="21"/>
              </w:rPr>
              <w:t>×10</w:t>
            </w:r>
            <w:r>
              <w:rPr>
                <w:rFonts w:cs="Times New Roman"/>
                <w:kern w:val="0"/>
                <w:sz w:val="21"/>
                <w:szCs w:val="21"/>
                <w:vertAlign w:val="superscript"/>
              </w:rPr>
              <w:t>-3</w:t>
            </w:r>
          </w:p>
        </w:tc>
        <w:tc>
          <w:tcPr>
            <w:tcW w:w="470" w:type="pct"/>
            <w:vAlign w:val="center"/>
          </w:tcPr>
          <w:p w14:paraId="61B50BF1">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997FF27">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57247CDE">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2DD73AAC">
            <w:pPr>
              <w:spacing w:line="240" w:lineRule="auto"/>
              <w:ind w:firstLine="0" w:firstLineChars="0"/>
              <w:jc w:val="center"/>
              <w:rPr>
                <w:rFonts w:cs="Times New Roman"/>
                <w:sz w:val="21"/>
                <w:szCs w:val="21"/>
              </w:rPr>
            </w:pPr>
            <w:r>
              <w:rPr>
                <w:rFonts w:cs="Times New Roman"/>
                <w:sz w:val="21"/>
                <w:szCs w:val="21"/>
              </w:rPr>
              <w:t>53</w:t>
            </w:r>
          </w:p>
        </w:tc>
        <w:tc>
          <w:tcPr>
            <w:tcW w:w="251" w:type="pct"/>
            <w:vAlign w:val="center"/>
          </w:tcPr>
          <w:p w14:paraId="34F2B326">
            <w:pPr>
              <w:spacing w:line="240" w:lineRule="auto"/>
              <w:ind w:firstLine="0" w:firstLineChars="0"/>
              <w:jc w:val="center"/>
              <w:rPr>
                <w:rFonts w:cs="Times New Roman"/>
                <w:sz w:val="21"/>
                <w:szCs w:val="21"/>
              </w:rPr>
            </w:pPr>
            <w:r>
              <w:rPr>
                <w:rFonts w:hint="eastAsia" w:cs="Times New Roman"/>
                <w:sz w:val="21"/>
                <w:szCs w:val="21"/>
              </w:rPr>
              <w:t>达标</w:t>
            </w:r>
          </w:p>
        </w:tc>
      </w:tr>
      <w:tr w14:paraId="45CB4C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7DFD63D6">
            <w:pPr>
              <w:widowControl/>
              <w:spacing w:line="240" w:lineRule="auto"/>
              <w:ind w:firstLine="0" w:firstLineChars="0"/>
              <w:jc w:val="center"/>
              <w:rPr>
                <w:rFonts w:cs="Times New Roman"/>
                <w:kern w:val="0"/>
                <w:sz w:val="21"/>
                <w:szCs w:val="21"/>
              </w:rPr>
            </w:pPr>
            <w:r>
              <w:rPr>
                <w:rFonts w:cs="Times New Roman"/>
                <w:kern w:val="0"/>
                <w:sz w:val="21"/>
                <w:szCs w:val="21"/>
              </w:rPr>
              <w:t>21</w:t>
            </w:r>
          </w:p>
        </w:tc>
        <w:tc>
          <w:tcPr>
            <w:tcW w:w="721" w:type="pct"/>
            <w:vAlign w:val="center"/>
          </w:tcPr>
          <w:p w14:paraId="7CEC0173">
            <w:pPr>
              <w:widowControl/>
              <w:spacing w:line="240" w:lineRule="auto"/>
              <w:ind w:firstLine="0" w:firstLineChars="0"/>
              <w:jc w:val="center"/>
              <w:rPr>
                <w:rFonts w:cs="Times New Roman"/>
                <w:kern w:val="0"/>
                <w:sz w:val="21"/>
                <w:szCs w:val="21"/>
              </w:rPr>
            </w:pPr>
            <w:r>
              <w:rPr>
                <w:rFonts w:cs="Times New Roman"/>
                <w:kern w:val="0"/>
                <w:sz w:val="21"/>
                <w:szCs w:val="21"/>
              </w:rPr>
              <w:t>1,1,1-</w:t>
            </w:r>
            <w:r>
              <w:rPr>
                <w:rFonts w:hint="eastAsia" w:cs="Times New Roman"/>
                <w:kern w:val="0"/>
                <w:sz w:val="21"/>
                <w:szCs w:val="21"/>
              </w:rPr>
              <w:t>三氯乙烷</w:t>
            </w:r>
          </w:p>
        </w:tc>
        <w:tc>
          <w:tcPr>
            <w:tcW w:w="461" w:type="pct"/>
            <w:vAlign w:val="center"/>
          </w:tcPr>
          <w:p w14:paraId="05008A99">
            <w:pPr>
              <w:widowControl/>
              <w:spacing w:line="240" w:lineRule="auto"/>
              <w:ind w:firstLine="0" w:firstLineChars="0"/>
              <w:jc w:val="center"/>
              <w:rPr>
                <w:rFonts w:cs="Times New Roman"/>
                <w:kern w:val="0"/>
                <w:sz w:val="21"/>
                <w:szCs w:val="21"/>
              </w:rPr>
            </w:pPr>
            <w:r>
              <w:rPr>
                <w:rFonts w:cs="Times New Roman"/>
                <w:kern w:val="0"/>
                <w:sz w:val="21"/>
                <w:szCs w:val="21"/>
              </w:rPr>
              <w:t>71-55-6</w:t>
            </w:r>
          </w:p>
        </w:tc>
        <w:tc>
          <w:tcPr>
            <w:tcW w:w="470" w:type="pct"/>
            <w:vAlign w:val="center"/>
          </w:tcPr>
          <w:p w14:paraId="00D1BFC4">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09B66DD1">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369F9377">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22E9057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083CED1">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3BA21C4A">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55242018">
            <w:pPr>
              <w:spacing w:line="240" w:lineRule="auto"/>
              <w:ind w:firstLine="0" w:firstLineChars="0"/>
              <w:jc w:val="center"/>
              <w:rPr>
                <w:rFonts w:cs="Times New Roman"/>
                <w:sz w:val="21"/>
                <w:szCs w:val="21"/>
              </w:rPr>
            </w:pPr>
            <w:r>
              <w:rPr>
                <w:rFonts w:cs="Times New Roman"/>
                <w:sz w:val="21"/>
                <w:szCs w:val="21"/>
              </w:rPr>
              <w:t>840</w:t>
            </w:r>
          </w:p>
        </w:tc>
        <w:tc>
          <w:tcPr>
            <w:tcW w:w="251" w:type="pct"/>
            <w:vAlign w:val="center"/>
          </w:tcPr>
          <w:p w14:paraId="65F0110F">
            <w:pPr>
              <w:spacing w:line="240" w:lineRule="auto"/>
              <w:ind w:firstLine="0" w:firstLineChars="0"/>
              <w:jc w:val="center"/>
              <w:rPr>
                <w:rFonts w:cs="Times New Roman"/>
                <w:sz w:val="21"/>
                <w:szCs w:val="21"/>
              </w:rPr>
            </w:pPr>
            <w:r>
              <w:rPr>
                <w:rFonts w:hint="eastAsia" w:cs="Times New Roman"/>
                <w:sz w:val="21"/>
                <w:szCs w:val="21"/>
              </w:rPr>
              <w:t>达标</w:t>
            </w:r>
          </w:p>
        </w:tc>
      </w:tr>
      <w:tr w14:paraId="761717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3376C57">
            <w:pPr>
              <w:widowControl/>
              <w:spacing w:line="240" w:lineRule="auto"/>
              <w:ind w:firstLine="0" w:firstLineChars="0"/>
              <w:jc w:val="center"/>
              <w:rPr>
                <w:rFonts w:cs="Times New Roman"/>
                <w:kern w:val="0"/>
                <w:sz w:val="21"/>
                <w:szCs w:val="21"/>
              </w:rPr>
            </w:pPr>
            <w:r>
              <w:rPr>
                <w:rFonts w:cs="Times New Roman"/>
                <w:kern w:val="0"/>
                <w:sz w:val="21"/>
                <w:szCs w:val="21"/>
              </w:rPr>
              <w:t>22</w:t>
            </w:r>
          </w:p>
        </w:tc>
        <w:tc>
          <w:tcPr>
            <w:tcW w:w="721" w:type="pct"/>
            <w:vAlign w:val="center"/>
          </w:tcPr>
          <w:p w14:paraId="20440C57">
            <w:pPr>
              <w:widowControl/>
              <w:spacing w:line="240" w:lineRule="auto"/>
              <w:ind w:firstLine="0" w:firstLineChars="0"/>
              <w:jc w:val="center"/>
              <w:rPr>
                <w:rFonts w:cs="Times New Roman"/>
                <w:kern w:val="0"/>
                <w:sz w:val="21"/>
                <w:szCs w:val="21"/>
              </w:rPr>
            </w:pPr>
            <w:r>
              <w:rPr>
                <w:rFonts w:cs="Times New Roman"/>
                <w:kern w:val="0"/>
                <w:sz w:val="21"/>
                <w:szCs w:val="21"/>
              </w:rPr>
              <w:t>1,1,2-</w:t>
            </w:r>
            <w:r>
              <w:rPr>
                <w:rFonts w:hint="eastAsia" w:cs="Times New Roman"/>
                <w:kern w:val="0"/>
                <w:sz w:val="21"/>
                <w:szCs w:val="21"/>
              </w:rPr>
              <w:t>三氯乙烷</w:t>
            </w:r>
          </w:p>
        </w:tc>
        <w:tc>
          <w:tcPr>
            <w:tcW w:w="461" w:type="pct"/>
            <w:vAlign w:val="center"/>
          </w:tcPr>
          <w:p w14:paraId="6D9A2B10">
            <w:pPr>
              <w:widowControl/>
              <w:spacing w:line="240" w:lineRule="auto"/>
              <w:ind w:firstLine="0" w:firstLineChars="0"/>
              <w:jc w:val="center"/>
              <w:rPr>
                <w:rFonts w:cs="Times New Roman"/>
                <w:kern w:val="0"/>
                <w:sz w:val="21"/>
                <w:szCs w:val="21"/>
              </w:rPr>
            </w:pPr>
            <w:r>
              <w:rPr>
                <w:rFonts w:cs="Times New Roman"/>
                <w:kern w:val="0"/>
                <w:sz w:val="21"/>
                <w:szCs w:val="21"/>
              </w:rPr>
              <w:t>79-00-5</w:t>
            </w:r>
          </w:p>
        </w:tc>
        <w:tc>
          <w:tcPr>
            <w:tcW w:w="470" w:type="pct"/>
            <w:vAlign w:val="center"/>
          </w:tcPr>
          <w:p w14:paraId="4E72ED43">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A05054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DA8116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3B0F82F">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72DF366">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48DF5F1B">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3C505A7D">
            <w:pPr>
              <w:spacing w:line="240" w:lineRule="auto"/>
              <w:ind w:firstLine="0" w:firstLineChars="0"/>
              <w:jc w:val="center"/>
              <w:rPr>
                <w:rFonts w:cs="Times New Roman"/>
                <w:sz w:val="21"/>
                <w:szCs w:val="21"/>
              </w:rPr>
            </w:pPr>
            <w:r>
              <w:rPr>
                <w:rFonts w:cs="Times New Roman"/>
                <w:sz w:val="21"/>
                <w:szCs w:val="21"/>
              </w:rPr>
              <w:t>2.8</w:t>
            </w:r>
          </w:p>
        </w:tc>
        <w:tc>
          <w:tcPr>
            <w:tcW w:w="251" w:type="pct"/>
            <w:vAlign w:val="center"/>
          </w:tcPr>
          <w:p w14:paraId="71AC326B">
            <w:pPr>
              <w:spacing w:line="240" w:lineRule="auto"/>
              <w:ind w:firstLine="0" w:firstLineChars="0"/>
              <w:jc w:val="center"/>
              <w:rPr>
                <w:rFonts w:cs="Times New Roman"/>
                <w:sz w:val="21"/>
                <w:szCs w:val="21"/>
              </w:rPr>
            </w:pPr>
            <w:r>
              <w:rPr>
                <w:rFonts w:hint="eastAsia" w:cs="Times New Roman"/>
                <w:sz w:val="21"/>
                <w:szCs w:val="21"/>
              </w:rPr>
              <w:t>达标</w:t>
            </w:r>
          </w:p>
        </w:tc>
      </w:tr>
      <w:tr w14:paraId="72B71F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6EFBC084">
            <w:pPr>
              <w:widowControl/>
              <w:spacing w:line="240" w:lineRule="auto"/>
              <w:ind w:firstLine="0" w:firstLineChars="0"/>
              <w:jc w:val="center"/>
              <w:rPr>
                <w:rFonts w:cs="Times New Roman"/>
                <w:kern w:val="0"/>
                <w:sz w:val="21"/>
                <w:szCs w:val="21"/>
              </w:rPr>
            </w:pPr>
            <w:r>
              <w:rPr>
                <w:rFonts w:cs="Times New Roman"/>
                <w:kern w:val="0"/>
                <w:sz w:val="21"/>
                <w:szCs w:val="21"/>
              </w:rPr>
              <w:t>23</w:t>
            </w:r>
          </w:p>
        </w:tc>
        <w:tc>
          <w:tcPr>
            <w:tcW w:w="721" w:type="pct"/>
            <w:vAlign w:val="center"/>
          </w:tcPr>
          <w:p w14:paraId="4B15878E">
            <w:pPr>
              <w:widowControl/>
              <w:spacing w:line="240" w:lineRule="auto"/>
              <w:ind w:firstLine="0" w:firstLineChars="0"/>
              <w:jc w:val="center"/>
              <w:rPr>
                <w:rFonts w:cs="Times New Roman"/>
                <w:kern w:val="0"/>
                <w:sz w:val="21"/>
                <w:szCs w:val="21"/>
              </w:rPr>
            </w:pPr>
            <w:r>
              <w:rPr>
                <w:rFonts w:hint="eastAsia" w:cs="Times New Roman"/>
                <w:kern w:val="0"/>
                <w:sz w:val="21"/>
                <w:szCs w:val="21"/>
              </w:rPr>
              <w:t>三氯乙烯</w:t>
            </w:r>
          </w:p>
        </w:tc>
        <w:tc>
          <w:tcPr>
            <w:tcW w:w="461" w:type="pct"/>
            <w:vAlign w:val="center"/>
          </w:tcPr>
          <w:p w14:paraId="13FE3951">
            <w:pPr>
              <w:widowControl/>
              <w:spacing w:line="240" w:lineRule="auto"/>
              <w:ind w:firstLine="0" w:firstLineChars="0"/>
              <w:jc w:val="center"/>
              <w:rPr>
                <w:rFonts w:cs="Times New Roman"/>
                <w:kern w:val="0"/>
                <w:sz w:val="21"/>
                <w:szCs w:val="21"/>
              </w:rPr>
            </w:pPr>
            <w:r>
              <w:rPr>
                <w:rFonts w:cs="Times New Roman"/>
                <w:kern w:val="0"/>
                <w:sz w:val="21"/>
                <w:szCs w:val="21"/>
              </w:rPr>
              <w:t>79-01-6</w:t>
            </w:r>
          </w:p>
        </w:tc>
        <w:tc>
          <w:tcPr>
            <w:tcW w:w="470" w:type="pct"/>
            <w:vAlign w:val="center"/>
          </w:tcPr>
          <w:p w14:paraId="1AE98D0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CD40CA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DF6249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6E7222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C1615D3">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46500975">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0787A420">
            <w:pPr>
              <w:spacing w:line="240" w:lineRule="auto"/>
              <w:ind w:firstLine="0" w:firstLineChars="0"/>
              <w:jc w:val="center"/>
              <w:rPr>
                <w:rFonts w:cs="Times New Roman"/>
                <w:sz w:val="21"/>
                <w:szCs w:val="21"/>
              </w:rPr>
            </w:pPr>
            <w:r>
              <w:rPr>
                <w:rFonts w:cs="Times New Roman"/>
                <w:sz w:val="21"/>
                <w:szCs w:val="21"/>
              </w:rPr>
              <w:t>2.8</w:t>
            </w:r>
          </w:p>
        </w:tc>
        <w:tc>
          <w:tcPr>
            <w:tcW w:w="251" w:type="pct"/>
            <w:vAlign w:val="center"/>
          </w:tcPr>
          <w:p w14:paraId="79B01233">
            <w:pPr>
              <w:spacing w:line="240" w:lineRule="auto"/>
              <w:ind w:firstLine="0" w:firstLineChars="0"/>
              <w:jc w:val="center"/>
              <w:rPr>
                <w:rFonts w:cs="Times New Roman"/>
                <w:sz w:val="21"/>
                <w:szCs w:val="21"/>
              </w:rPr>
            </w:pPr>
            <w:r>
              <w:rPr>
                <w:rFonts w:hint="eastAsia" w:cs="Times New Roman"/>
                <w:sz w:val="21"/>
                <w:szCs w:val="21"/>
              </w:rPr>
              <w:t>达标</w:t>
            </w:r>
          </w:p>
        </w:tc>
      </w:tr>
      <w:tr w14:paraId="281012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7646C7BF">
            <w:pPr>
              <w:widowControl/>
              <w:spacing w:line="240" w:lineRule="auto"/>
              <w:ind w:firstLine="0" w:firstLineChars="0"/>
              <w:jc w:val="center"/>
              <w:rPr>
                <w:rFonts w:cs="Times New Roman"/>
                <w:kern w:val="0"/>
                <w:sz w:val="21"/>
                <w:szCs w:val="21"/>
              </w:rPr>
            </w:pPr>
            <w:r>
              <w:rPr>
                <w:rFonts w:cs="Times New Roman"/>
                <w:kern w:val="0"/>
                <w:sz w:val="21"/>
                <w:szCs w:val="21"/>
              </w:rPr>
              <w:t>24</w:t>
            </w:r>
          </w:p>
        </w:tc>
        <w:tc>
          <w:tcPr>
            <w:tcW w:w="721" w:type="pct"/>
            <w:vAlign w:val="center"/>
          </w:tcPr>
          <w:p w14:paraId="1469E87E">
            <w:pPr>
              <w:widowControl/>
              <w:spacing w:line="240" w:lineRule="auto"/>
              <w:ind w:firstLine="0" w:firstLineChars="0"/>
              <w:jc w:val="center"/>
              <w:rPr>
                <w:rFonts w:cs="Times New Roman"/>
                <w:kern w:val="0"/>
                <w:sz w:val="21"/>
                <w:szCs w:val="21"/>
              </w:rPr>
            </w:pPr>
            <w:r>
              <w:rPr>
                <w:rFonts w:cs="Times New Roman"/>
                <w:kern w:val="0"/>
                <w:sz w:val="21"/>
                <w:szCs w:val="21"/>
              </w:rPr>
              <w:t>1,2,3-</w:t>
            </w:r>
            <w:r>
              <w:rPr>
                <w:rFonts w:hint="eastAsia" w:cs="Times New Roman"/>
                <w:kern w:val="0"/>
                <w:sz w:val="21"/>
                <w:szCs w:val="21"/>
              </w:rPr>
              <w:t>三氯丙烷</w:t>
            </w:r>
          </w:p>
        </w:tc>
        <w:tc>
          <w:tcPr>
            <w:tcW w:w="461" w:type="pct"/>
            <w:vAlign w:val="center"/>
          </w:tcPr>
          <w:p w14:paraId="3E08F839">
            <w:pPr>
              <w:widowControl/>
              <w:spacing w:line="240" w:lineRule="auto"/>
              <w:ind w:firstLine="0" w:firstLineChars="0"/>
              <w:jc w:val="center"/>
              <w:rPr>
                <w:rFonts w:cs="Times New Roman"/>
                <w:kern w:val="0"/>
                <w:sz w:val="21"/>
                <w:szCs w:val="21"/>
              </w:rPr>
            </w:pPr>
            <w:r>
              <w:rPr>
                <w:rFonts w:cs="Times New Roman"/>
                <w:kern w:val="0"/>
                <w:sz w:val="21"/>
                <w:szCs w:val="21"/>
              </w:rPr>
              <w:t>96-18-4</w:t>
            </w:r>
          </w:p>
        </w:tc>
        <w:tc>
          <w:tcPr>
            <w:tcW w:w="470" w:type="pct"/>
            <w:vAlign w:val="center"/>
          </w:tcPr>
          <w:p w14:paraId="7927835D">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7BE76CC2">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784456EB">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70C76CB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DA32969">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67787523">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1332B14F">
            <w:pPr>
              <w:spacing w:line="240" w:lineRule="auto"/>
              <w:ind w:firstLine="0" w:firstLineChars="0"/>
              <w:jc w:val="center"/>
              <w:rPr>
                <w:rFonts w:cs="Times New Roman"/>
                <w:sz w:val="21"/>
                <w:szCs w:val="21"/>
              </w:rPr>
            </w:pPr>
            <w:r>
              <w:rPr>
                <w:rFonts w:cs="Times New Roman"/>
                <w:sz w:val="21"/>
                <w:szCs w:val="21"/>
              </w:rPr>
              <w:t>0.5</w:t>
            </w:r>
          </w:p>
        </w:tc>
        <w:tc>
          <w:tcPr>
            <w:tcW w:w="251" w:type="pct"/>
            <w:vAlign w:val="center"/>
          </w:tcPr>
          <w:p w14:paraId="1AC8E544">
            <w:pPr>
              <w:spacing w:line="240" w:lineRule="auto"/>
              <w:ind w:firstLine="0" w:firstLineChars="0"/>
              <w:jc w:val="center"/>
              <w:rPr>
                <w:rFonts w:cs="Times New Roman"/>
                <w:sz w:val="21"/>
                <w:szCs w:val="21"/>
              </w:rPr>
            </w:pPr>
            <w:r>
              <w:rPr>
                <w:rFonts w:hint="eastAsia" w:cs="Times New Roman"/>
                <w:sz w:val="21"/>
                <w:szCs w:val="21"/>
              </w:rPr>
              <w:t>达标</w:t>
            </w:r>
          </w:p>
        </w:tc>
      </w:tr>
      <w:tr w14:paraId="1BC126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0BAA7BA7">
            <w:pPr>
              <w:widowControl/>
              <w:spacing w:line="240" w:lineRule="auto"/>
              <w:ind w:firstLine="0" w:firstLineChars="0"/>
              <w:jc w:val="center"/>
              <w:rPr>
                <w:rFonts w:cs="Times New Roman"/>
                <w:kern w:val="0"/>
                <w:sz w:val="21"/>
                <w:szCs w:val="21"/>
              </w:rPr>
            </w:pPr>
            <w:r>
              <w:rPr>
                <w:rFonts w:cs="Times New Roman"/>
                <w:kern w:val="0"/>
                <w:sz w:val="21"/>
                <w:szCs w:val="21"/>
              </w:rPr>
              <w:t>25</w:t>
            </w:r>
          </w:p>
        </w:tc>
        <w:tc>
          <w:tcPr>
            <w:tcW w:w="721" w:type="pct"/>
            <w:vAlign w:val="center"/>
          </w:tcPr>
          <w:p w14:paraId="26567D9A">
            <w:pPr>
              <w:widowControl/>
              <w:spacing w:line="240" w:lineRule="auto"/>
              <w:ind w:firstLine="0" w:firstLineChars="0"/>
              <w:jc w:val="center"/>
              <w:rPr>
                <w:rFonts w:cs="Times New Roman"/>
                <w:kern w:val="0"/>
                <w:sz w:val="21"/>
                <w:szCs w:val="21"/>
              </w:rPr>
            </w:pPr>
            <w:r>
              <w:rPr>
                <w:rFonts w:hint="eastAsia" w:cs="Times New Roman"/>
                <w:kern w:val="0"/>
                <w:sz w:val="21"/>
                <w:szCs w:val="21"/>
              </w:rPr>
              <w:t>氯乙烯</w:t>
            </w:r>
          </w:p>
        </w:tc>
        <w:tc>
          <w:tcPr>
            <w:tcW w:w="461" w:type="pct"/>
            <w:vAlign w:val="center"/>
          </w:tcPr>
          <w:p w14:paraId="5F1D3ECE">
            <w:pPr>
              <w:widowControl/>
              <w:spacing w:line="240" w:lineRule="auto"/>
              <w:ind w:firstLine="0" w:firstLineChars="0"/>
              <w:jc w:val="center"/>
              <w:rPr>
                <w:rFonts w:cs="Times New Roman"/>
                <w:kern w:val="0"/>
                <w:sz w:val="21"/>
                <w:szCs w:val="21"/>
              </w:rPr>
            </w:pPr>
            <w:r>
              <w:rPr>
                <w:rFonts w:cs="Times New Roman"/>
                <w:kern w:val="0"/>
                <w:sz w:val="21"/>
                <w:szCs w:val="21"/>
              </w:rPr>
              <w:t>75-01-4</w:t>
            </w:r>
          </w:p>
        </w:tc>
        <w:tc>
          <w:tcPr>
            <w:tcW w:w="470" w:type="pct"/>
            <w:vAlign w:val="center"/>
          </w:tcPr>
          <w:p w14:paraId="7FFF5812">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1E2B8AF">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1D3B4B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1C8B19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B51C7FE">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3B7248D2">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2A606959">
            <w:pPr>
              <w:spacing w:line="240" w:lineRule="auto"/>
              <w:ind w:firstLine="0" w:firstLineChars="0"/>
              <w:jc w:val="center"/>
              <w:rPr>
                <w:rFonts w:cs="Times New Roman"/>
                <w:sz w:val="21"/>
                <w:szCs w:val="21"/>
              </w:rPr>
            </w:pPr>
            <w:r>
              <w:rPr>
                <w:rFonts w:cs="Times New Roman"/>
                <w:sz w:val="21"/>
                <w:szCs w:val="21"/>
              </w:rPr>
              <w:t>0.43</w:t>
            </w:r>
          </w:p>
        </w:tc>
        <w:tc>
          <w:tcPr>
            <w:tcW w:w="251" w:type="pct"/>
            <w:vAlign w:val="center"/>
          </w:tcPr>
          <w:p w14:paraId="4FB632A1">
            <w:pPr>
              <w:spacing w:line="240" w:lineRule="auto"/>
              <w:ind w:firstLine="0" w:firstLineChars="0"/>
              <w:jc w:val="center"/>
              <w:rPr>
                <w:rFonts w:cs="Times New Roman"/>
                <w:sz w:val="21"/>
                <w:szCs w:val="21"/>
              </w:rPr>
            </w:pPr>
            <w:r>
              <w:rPr>
                <w:rFonts w:hint="eastAsia" w:cs="Times New Roman"/>
                <w:sz w:val="21"/>
                <w:szCs w:val="21"/>
              </w:rPr>
              <w:t>达标</w:t>
            </w:r>
          </w:p>
        </w:tc>
      </w:tr>
      <w:tr w14:paraId="5B1CDA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5BE638D3">
            <w:pPr>
              <w:widowControl/>
              <w:spacing w:line="240" w:lineRule="auto"/>
              <w:ind w:firstLine="0" w:firstLineChars="0"/>
              <w:jc w:val="center"/>
              <w:rPr>
                <w:rFonts w:cs="Times New Roman"/>
                <w:kern w:val="0"/>
                <w:sz w:val="21"/>
                <w:szCs w:val="21"/>
              </w:rPr>
            </w:pPr>
            <w:r>
              <w:rPr>
                <w:rFonts w:cs="Times New Roman"/>
                <w:kern w:val="0"/>
                <w:sz w:val="21"/>
                <w:szCs w:val="21"/>
              </w:rPr>
              <w:t>26</w:t>
            </w:r>
          </w:p>
        </w:tc>
        <w:tc>
          <w:tcPr>
            <w:tcW w:w="721" w:type="pct"/>
            <w:vAlign w:val="center"/>
          </w:tcPr>
          <w:p w14:paraId="2A1ED7FC">
            <w:pPr>
              <w:widowControl/>
              <w:spacing w:line="240" w:lineRule="auto"/>
              <w:ind w:firstLine="0" w:firstLineChars="0"/>
              <w:jc w:val="center"/>
              <w:rPr>
                <w:rFonts w:cs="Times New Roman"/>
                <w:kern w:val="0"/>
                <w:sz w:val="21"/>
                <w:szCs w:val="21"/>
              </w:rPr>
            </w:pPr>
            <w:r>
              <w:rPr>
                <w:rFonts w:hint="eastAsia" w:cs="Times New Roman"/>
                <w:kern w:val="0"/>
                <w:sz w:val="21"/>
                <w:szCs w:val="21"/>
              </w:rPr>
              <w:t>苯</w:t>
            </w:r>
          </w:p>
        </w:tc>
        <w:tc>
          <w:tcPr>
            <w:tcW w:w="461" w:type="pct"/>
            <w:vAlign w:val="center"/>
          </w:tcPr>
          <w:p w14:paraId="7C50B682">
            <w:pPr>
              <w:widowControl/>
              <w:spacing w:line="240" w:lineRule="auto"/>
              <w:ind w:firstLine="0" w:firstLineChars="0"/>
              <w:jc w:val="center"/>
              <w:rPr>
                <w:rFonts w:cs="Times New Roman"/>
                <w:kern w:val="0"/>
                <w:sz w:val="21"/>
                <w:szCs w:val="21"/>
              </w:rPr>
            </w:pPr>
            <w:r>
              <w:rPr>
                <w:rFonts w:cs="Times New Roman"/>
                <w:kern w:val="0"/>
                <w:sz w:val="21"/>
                <w:szCs w:val="21"/>
              </w:rPr>
              <w:t>71-43-2</w:t>
            </w:r>
          </w:p>
        </w:tc>
        <w:tc>
          <w:tcPr>
            <w:tcW w:w="470" w:type="pct"/>
            <w:vAlign w:val="center"/>
          </w:tcPr>
          <w:p w14:paraId="3F76A2DF">
            <w:pPr>
              <w:spacing w:line="240" w:lineRule="auto"/>
              <w:ind w:firstLine="0" w:firstLineChars="0"/>
              <w:jc w:val="center"/>
              <w:rPr>
                <w:rFonts w:cs="Times New Roman"/>
                <w:sz w:val="21"/>
                <w:szCs w:val="21"/>
              </w:rPr>
            </w:pPr>
            <w:r>
              <w:rPr>
                <w:rFonts w:hint="eastAsia" w:cs="Times New Roman"/>
                <w:sz w:val="21"/>
                <w:szCs w:val="21"/>
              </w:rPr>
              <w:t>N</w:t>
            </w:r>
            <w:r>
              <w:rPr>
                <w:rFonts w:cs="Times New Roman"/>
                <w:sz w:val="21"/>
                <w:szCs w:val="21"/>
              </w:rPr>
              <w:t>D</w:t>
            </w:r>
          </w:p>
        </w:tc>
        <w:tc>
          <w:tcPr>
            <w:tcW w:w="470" w:type="pct"/>
            <w:vAlign w:val="center"/>
          </w:tcPr>
          <w:p w14:paraId="4553126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EF6385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6DC0E30">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3192433">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168E8D6D">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75D43A5A">
            <w:pPr>
              <w:spacing w:line="240" w:lineRule="auto"/>
              <w:ind w:firstLine="0" w:firstLineChars="0"/>
              <w:jc w:val="center"/>
              <w:rPr>
                <w:rFonts w:cs="Times New Roman"/>
                <w:sz w:val="21"/>
                <w:szCs w:val="21"/>
              </w:rPr>
            </w:pPr>
            <w:r>
              <w:rPr>
                <w:rFonts w:cs="Times New Roman"/>
                <w:sz w:val="21"/>
                <w:szCs w:val="21"/>
              </w:rPr>
              <w:t>4</w:t>
            </w:r>
          </w:p>
        </w:tc>
        <w:tc>
          <w:tcPr>
            <w:tcW w:w="251" w:type="pct"/>
            <w:vAlign w:val="center"/>
          </w:tcPr>
          <w:p w14:paraId="69CF91E4">
            <w:pPr>
              <w:spacing w:line="240" w:lineRule="auto"/>
              <w:ind w:firstLine="0" w:firstLineChars="0"/>
              <w:jc w:val="center"/>
              <w:rPr>
                <w:rFonts w:cs="Times New Roman"/>
                <w:sz w:val="21"/>
                <w:szCs w:val="21"/>
              </w:rPr>
            </w:pPr>
            <w:r>
              <w:rPr>
                <w:rFonts w:hint="eastAsia" w:cs="Times New Roman"/>
                <w:sz w:val="21"/>
                <w:szCs w:val="21"/>
              </w:rPr>
              <w:t>达标</w:t>
            </w:r>
          </w:p>
        </w:tc>
      </w:tr>
      <w:tr w14:paraId="4D22E5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7CE8F8F4">
            <w:pPr>
              <w:widowControl/>
              <w:spacing w:line="240" w:lineRule="auto"/>
              <w:ind w:firstLine="0" w:firstLineChars="0"/>
              <w:jc w:val="center"/>
              <w:rPr>
                <w:rFonts w:cs="Times New Roman"/>
                <w:kern w:val="0"/>
                <w:sz w:val="21"/>
                <w:szCs w:val="21"/>
              </w:rPr>
            </w:pPr>
            <w:r>
              <w:rPr>
                <w:rFonts w:cs="Times New Roman"/>
                <w:kern w:val="0"/>
                <w:sz w:val="21"/>
                <w:szCs w:val="21"/>
              </w:rPr>
              <w:t>27</w:t>
            </w:r>
          </w:p>
        </w:tc>
        <w:tc>
          <w:tcPr>
            <w:tcW w:w="721" w:type="pct"/>
            <w:vAlign w:val="center"/>
          </w:tcPr>
          <w:p w14:paraId="10A3A819">
            <w:pPr>
              <w:widowControl/>
              <w:spacing w:line="240" w:lineRule="auto"/>
              <w:ind w:firstLine="0" w:firstLineChars="0"/>
              <w:jc w:val="center"/>
              <w:rPr>
                <w:rFonts w:cs="Times New Roman"/>
                <w:kern w:val="0"/>
                <w:sz w:val="21"/>
                <w:szCs w:val="21"/>
              </w:rPr>
            </w:pPr>
            <w:r>
              <w:rPr>
                <w:rFonts w:hint="eastAsia" w:cs="Times New Roman"/>
                <w:kern w:val="0"/>
                <w:sz w:val="21"/>
                <w:szCs w:val="21"/>
              </w:rPr>
              <w:t>氯苯</w:t>
            </w:r>
          </w:p>
        </w:tc>
        <w:tc>
          <w:tcPr>
            <w:tcW w:w="461" w:type="pct"/>
            <w:vAlign w:val="center"/>
          </w:tcPr>
          <w:p w14:paraId="71747982">
            <w:pPr>
              <w:widowControl/>
              <w:spacing w:line="240" w:lineRule="auto"/>
              <w:ind w:firstLine="0" w:firstLineChars="0"/>
              <w:jc w:val="center"/>
              <w:rPr>
                <w:rFonts w:cs="Times New Roman"/>
                <w:kern w:val="0"/>
                <w:sz w:val="21"/>
                <w:szCs w:val="21"/>
              </w:rPr>
            </w:pPr>
            <w:r>
              <w:rPr>
                <w:rFonts w:cs="Times New Roman"/>
                <w:kern w:val="0"/>
                <w:sz w:val="21"/>
                <w:szCs w:val="21"/>
              </w:rPr>
              <w:t>108-90-7</w:t>
            </w:r>
          </w:p>
        </w:tc>
        <w:tc>
          <w:tcPr>
            <w:tcW w:w="470" w:type="pct"/>
            <w:vAlign w:val="center"/>
          </w:tcPr>
          <w:p w14:paraId="1C66536F">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1C9B8FAF">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16E3F58F">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42501F4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6CCC6B4">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48EFAE0C">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2DF4E737">
            <w:pPr>
              <w:spacing w:line="240" w:lineRule="auto"/>
              <w:ind w:firstLine="0" w:firstLineChars="0"/>
              <w:jc w:val="center"/>
              <w:rPr>
                <w:rFonts w:cs="Times New Roman"/>
                <w:sz w:val="21"/>
                <w:szCs w:val="21"/>
              </w:rPr>
            </w:pPr>
            <w:r>
              <w:rPr>
                <w:rFonts w:cs="Times New Roman"/>
                <w:sz w:val="21"/>
                <w:szCs w:val="21"/>
              </w:rPr>
              <w:t>270</w:t>
            </w:r>
          </w:p>
        </w:tc>
        <w:tc>
          <w:tcPr>
            <w:tcW w:w="251" w:type="pct"/>
            <w:vAlign w:val="center"/>
          </w:tcPr>
          <w:p w14:paraId="2756EF31">
            <w:pPr>
              <w:spacing w:line="240" w:lineRule="auto"/>
              <w:ind w:firstLine="0" w:firstLineChars="0"/>
              <w:jc w:val="center"/>
              <w:rPr>
                <w:rFonts w:cs="Times New Roman"/>
                <w:sz w:val="21"/>
                <w:szCs w:val="21"/>
              </w:rPr>
            </w:pPr>
            <w:r>
              <w:rPr>
                <w:rFonts w:hint="eastAsia" w:cs="Times New Roman"/>
                <w:sz w:val="21"/>
                <w:szCs w:val="21"/>
              </w:rPr>
              <w:t>达标</w:t>
            </w:r>
          </w:p>
        </w:tc>
      </w:tr>
      <w:tr w14:paraId="4BC692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4ED86E67">
            <w:pPr>
              <w:widowControl/>
              <w:spacing w:line="240" w:lineRule="auto"/>
              <w:ind w:firstLine="0" w:firstLineChars="0"/>
              <w:jc w:val="center"/>
              <w:rPr>
                <w:rFonts w:cs="Times New Roman"/>
                <w:kern w:val="0"/>
                <w:sz w:val="21"/>
                <w:szCs w:val="21"/>
              </w:rPr>
            </w:pPr>
            <w:r>
              <w:rPr>
                <w:rFonts w:cs="Times New Roman"/>
                <w:kern w:val="0"/>
                <w:sz w:val="21"/>
                <w:szCs w:val="21"/>
              </w:rPr>
              <w:t>28</w:t>
            </w:r>
          </w:p>
        </w:tc>
        <w:tc>
          <w:tcPr>
            <w:tcW w:w="721" w:type="pct"/>
            <w:vAlign w:val="center"/>
          </w:tcPr>
          <w:p w14:paraId="60104493">
            <w:pPr>
              <w:widowControl/>
              <w:spacing w:line="240" w:lineRule="auto"/>
              <w:ind w:firstLine="0" w:firstLineChars="0"/>
              <w:jc w:val="center"/>
              <w:rPr>
                <w:rFonts w:cs="Times New Roman"/>
                <w:kern w:val="0"/>
                <w:sz w:val="21"/>
                <w:szCs w:val="21"/>
              </w:rPr>
            </w:pPr>
            <w:r>
              <w:rPr>
                <w:rFonts w:cs="Times New Roman"/>
                <w:kern w:val="0"/>
                <w:sz w:val="21"/>
                <w:szCs w:val="21"/>
              </w:rPr>
              <w:t>1,2-</w:t>
            </w:r>
            <w:r>
              <w:rPr>
                <w:rFonts w:hint="eastAsia" w:cs="Times New Roman"/>
                <w:kern w:val="0"/>
                <w:sz w:val="21"/>
                <w:szCs w:val="21"/>
              </w:rPr>
              <w:t>二氯苯</w:t>
            </w:r>
          </w:p>
        </w:tc>
        <w:tc>
          <w:tcPr>
            <w:tcW w:w="461" w:type="pct"/>
            <w:vAlign w:val="center"/>
          </w:tcPr>
          <w:p w14:paraId="6B23AF77">
            <w:pPr>
              <w:widowControl/>
              <w:spacing w:line="240" w:lineRule="auto"/>
              <w:ind w:firstLine="0" w:firstLineChars="0"/>
              <w:jc w:val="center"/>
              <w:rPr>
                <w:rFonts w:cs="Times New Roman"/>
                <w:kern w:val="0"/>
                <w:sz w:val="21"/>
                <w:szCs w:val="21"/>
              </w:rPr>
            </w:pPr>
            <w:r>
              <w:rPr>
                <w:rFonts w:cs="Times New Roman"/>
                <w:kern w:val="0"/>
                <w:sz w:val="21"/>
                <w:szCs w:val="21"/>
              </w:rPr>
              <w:t>95-50-1</w:t>
            </w:r>
          </w:p>
        </w:tc>
        <w:tc>
          <w:tcPr>
            <w:tcW w:w="470" w:type="pct"/>
            <w:vAlign w:val="center"/>
          </w:tcPr>
          <w:p w14:paraId="530F4FEE">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D7A464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6E73CC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0138B7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8DA20A8">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4323B15C">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4B57F894">
            <w:pPr>
              <w:spacing w:line="240" w:lineRule="auto"/>
              <w:ind w:firstLine="0" w:firstLineChars="0"/>
              <w:jc w:val="center"/>
              <w:rPr>
                <w:rFonts w:cs="Times New Roman"/>
                <w:sz w:val="21"/>
                <w:szCs w:val="21"/>
              </w:rPr>
            </w:pPr>
            <w:r>
              <w:rPr>
                <w:rFonts w:cs="Times New Roman"/>
                <w:sz w:val="21"/>
                <w:szCs w:val="21"/>
              </w:rPr>
              <w:t>560</w:t>
            </w:r>
          </w:p>
        </w:tc>
        <w:tc>
          <w:tcPr>
            <w:tcW w:w="251" w:type="pct"/>
            <w:vAlign w:val="center"/>
          </w:tcPr>
          <w:p w14:paraId="08E81DA9">
            <w:pPr>
              <w:spacing w:line="240" w:lineRule="auto"/>
              <w:ind w:firstLine="0" w:firstLineChars="0"/>
              <w:jc w:val="center"/>
              <w:rPr>
                <w:rFonts w:cs="Times New Roman"/>
                <w:sz w:val="21"/>
                <w:szCs w:val="21"/>
              </w:rPr>
            </w:pPr>
            <w:r>
              <w:rPr>
                <w:rFonts w:hint="eastAsia" w:cs="Times New Roman"/>
                <w:sz w:val="21"/>
                <w:szCs w:val="21"/>
              </w:rPr>
              <w:t>达标</w:t>
            </w:r>
          </w:p>
        </w:tc>
      </w:tr>
      <w:tr w14:paraId="626A49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1BE90B6B">
            <w:pPr>
              <w:widowControl/>
              <w:spacing w:line="240" w:lineRule="auto"/>
              <w:ind w:firstLine="0" w:firstLineChars="0"/>
              <w:jc w:val="center"/>
              <w:rPr>
                <w:rFonts w:cs="Times New Roman"/>
                <w:kern w:val="0"/>
                <w:sz w:val="21"/>
                <w:szCs w:val="21"/>
              </w:rPr>
            </w:pPr>
            <w:r>
              <w:rPr>
                <w:rFonts w:cs="Times New Roman"/>
                <w:kern w:val="0"/>
                <w:sz w:val="21"/>
                <w:szCs w:val="21"/>
              </w:rPr>
              <w:t>29</w:t>
            </w:r>
          </w:p>
        </w:tc>
        <w:tc>
          <w:tcPr>
            <w:tcW w:w="721" w:type="pct"/>
            <w:vAlign w:val="center"/>
          </w:tcPr>
          <w:p w14:paraId="5667CC5B">
            <w:pPr>
              <w:widowControl/>
              <w:spacing w:line="240" w:lineRule="auto"/>
              <w:ind w:firstLine="0" w:firstLineChars="0"/>
              <w:jc w:val="center"/>
              <w:rPr>
                <w:rFonts w:cs="Times New Roman"/>
                <w:kern w:val="0"/>
                <w:sz w:val="21"/>
                <w:szCs w:val="21"/>
              </w:rPr>
            </w:pPr>
            <w:r>
              <w:rPr>
                <w:rFonts w:cs="Times New Roman"/>
                <w:kern w:val="0"/>
                <w:sz w:val="21"/>
                <w:szCs w:val="21"/>
              </w:rPr>
              <w:t>1,4-</w:t>
            </w:r>
            <w:r>
              <w:rPr>
                <w:rFonts w:hint="eastAsia" w:cs="Times New Roman"/>
                <w:kern w:val="0"/>
                <w:sz w:val="21"/>
                <w:szCs w:val="21"/>
              </w:rPr>
              <w:t>二氯苯</w:t>
            </w:r>
          </w:p>
        </w:tc>
        <w:tc>
          <w:tcPr>
            <w:tcW w:w="461" w:type="pct"/>
            <w:vAlign w:val="center"/>
          </w:tcPr>
          <w:p w14:paraId="671799A5">
            <w:pPr>
              <w:widowControl/>
              <w:spacing w:line="240" w:lineRule="auto"/>
              <w:ind w:firstLine="0" w:firstLineChars="0"/>
              <w:jc w:val="center"/>
              <w:rPr>
                <w:rFonts w:cs="Times New Roman"/>
                <w:kern w:val="0"/>
                <w:sz w:val="21"/>
                <w:szCs w:val="21"/>
              </w:rPr>
            </w:pPr>
            <w:r>
              <w:rPr>
                <w:rFonts w:cs="Times New Roman"/>
                <w:kern w:val="0"/>
                <w:sz w:val="21"/>
                <w:szCs w:val="21"/>
              </w:rPr>
              <w:t>106-46-7</w:t>
            </w:r>
          </w:p>
        </w:tc>
        <w:tc>
          <w:tcPr>
            <w:tcW w:w="470" w:type="pct"/>
            <w:vAlign w:val="center"/>
          </w:tcPr>
          <w:p w14:paraId="0F6E3FF0">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3978A5F">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7A40A1F">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B25162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8D00700">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6FA95840">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4EAB7381">
            <w:pPr>
              <w:spacing w:line="240" w:lineRule="auto"/>
              <w:ind w:firstLine="0" w:firstLineChars="0"/>
              <w:jc w:val="center"/>
              <w:rPr>
                <w:rFonts w:cs="Times New Roman"/>
                <w:sz w:val="21"/>
                <w:szCs w:val="21"/>
              </w:rPr>
            </w:pPr>
            <w:r>
              <w:rPr>
                <w:rFonts w:cs="Times New Roman"/>
                <w:sz w:val="21"/>
                <w:szCs w:val="21"/>
              </w:rPr>
              <w:t>20</w:t>
            </w:r>
          </w:p>
        </w:tc>
        <w:tc>
          <w:tcPr>
            <w:tcW w:w="251" w:type="pct"/>
            <w:vAlign w:val="center"/>
          </w:tcPr>
          <w:p w14:paraId="227AF734">
            <w:pPr>
              <w:spacing w:line="240" w:lineRule="auto"/>
              <w:ind w:firstLine="0" w:firstLineChars="0"/>
              <w:jc w:val="center"/>
              <w:rPr>
                <w:rFonts w:cs="Times New Roman"/>
                <w:sz w:val="21"/>
                <w:szCs w:val="21"/>
              </w:rPr>
            </w:pPr>
            <w:r>
              <w:rPr>
                <w:rFonts w:hint="eastAsia" w:cs="Times New Roman"/>
                <w:sz w:val="21"/>
                <w:szCs w:val="21"/>
              </w:rPr>
              <w:t>达标</w:t>
            </w:r>
          </w:p>
        </w:tc>
      </w:tr>
      <w:tr w14:paraId="0367FB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291A104">
            <w:pPr>
              <w:widowControl/>
              <w:spacing w:line="240" w:lineRule="auto"/>
              <w:ind w:firstLine="0" w:firstLineChars="0"/>
              <w:jc w:val="center"/>
              <w:rPr>
                <w:rFonts w:cs="Times New Roman"/>
                <w:kern w:val="0"/>
                <w:sz w:val="21"/>
                <w:szCs w:val="21"/>
              </w:rPr>
            </w:pPr>
            <w:r>
              <w:rPr>
                <w:rFonts w:cs="Times New Roman"/>
                <w:kern w:val="0"/>
                <w:sz w:val="21"/>
                <w:szCs w:val="21"/>
              </w:rPr>
              <w:t>30</w:t>
            </w:r>
          </w:p>
        </w:tc>
        <w:tc>
          <w:tcPr>
            <w:tcW w:w="721" w:type="pct"/>
            <w:vAlign w:val="center"/>
          </w:tcPr>
          <w:p w14:paraId="47DAEC2C">
            <w:pPr>
              <w:widowControl/>
              <w:spacing w:line="240" w:lineRule="auto"/>
              <w:ind w:firstLine="0" w:firstLineChars="0"/>
              <w:jc w:val="center"/>
              <w:rPr>
                <w:rFonts w:cs="Times New Roman"/>
                <w:kern w:val="0"/>
                <w:sz w:val="21"/>
                <w:szCs w:val="21"/>
              </w:rPr>
            </w:pPr>
            <w:r>
              <w:rPr>
                <w:rFonts w:hint="eastAsia" w:cs="Times New Roman"/>
                <w:kern w:val="0"/>
                <w:sz w:val="21"/>
                <w:szCs w:val="21"/>
              </w:rPr>
              <w:t>乙苯</w:t>
            </w:r>
          </w:p>
        </w:tc>
        <w:tc>
          <w:tcPr>
            <w:tcW w:w="461" w:type="pct"/>
            <w:vAlign w:val="center"/>
          </w:tcPr>
          <w:p w14:paraId="34A32608">
            <w:pPr>
              <w:widowControl/>
              <w:spacing w:line="240" w:lineRule="auto"/>
              <w:ind w:firstLine="0" w:firstLineChars="0"/>
              <w:jc w:val="center"/>
              <w:rPr>
                <w:rFonts w:cs="Times New Roman"/>
                <w:kern w:val="0"/>
                <w:sz w:val="21"/>
                <w:szCs w:val="21"/>
              </w:rPr>
            </w:pPr>
            <w:r>
              <w:rPr>
                <w:rFonts w:cs="Times New Roman"/>
                <w:kern w:val="0"/>
                <w:sz w:val="21"/>
                <w:szCs w:val="21"/>
              </w:rPr>
              <w:t>100-41-4</w:t>
            </w:r>
          </w:p>
        </w:tc>
        <w:tc>
          <w:tcPr>
            <w:tcW w:w="470" w:type="pct"/>
            <w:vAlign w:val="center"/>
          </w:tcPr>
          <w:p w14:paraId="71F6D6C5">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259A49EA">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2B1263B6">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7B87FE74">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B3990F8">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5A7B3210">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433C83F4">
            <w:pPr>
              <w:spacing w:line="240" w:lineRule="auto"/>
              <w:ind w:firstLine="0" w:firstLineChars="0"/>
              <w:jc w:val="center"/>
              <w:rPr>
                <w:rFonts w:cs="Times New Roman"/>
                <w:sz w:val="21"/>
                <w:szCs w:val="21"/>
              </w:rPr>
            </w:pPr>
            <w:r>
              <w:rPr>
                <w:rFonts w:cs="Times New Roman"/>
                <w:sz w:val="21"/>
                <w:szCs w:val="21"/>
              </w:rPr>
              <w:t>28</w:t>
            </w:r>
          </w:p>
        </w:tc>
        <w:tc>
          <w:tcPr>
            <w:tcW w:w="251" w:type="pct"/>
            <w:vAlign w:val="center"/>
          </w:tcPr>
          <w:p w14:paraId="039EEFF3">
            <w:pPr>
              <w:spacing w:line="240" w:lineRule="auto"/>
              <w:ind w:firstLine="0" w:firstLineChars="0"/>
              <w:jc w:val="center"/>
              <w:rPr>
                <w:rFonts w:cs="Times New Roman"/>
                <w:sz w:val="21"/>
                <w:szCs w:val="21"/>
              </w:rPr>
            </w:pPr>
            <w:r>
              <w:rPr>
                <w:rFonts w:hint="eastAsia" w:cs="Times New Roman"/>
                <w:sz w:val="21"/>
                <w:szCs w:val="21"/>
              </w:rPr>
              <w:t>达标</w:t>
            </w:r>
          </w:p>
        </w:tc>
      </w:tr>
      <w:tr w14:paraId="5A1FB7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472CBB08">
            <w:pPr>
              <w:widowControl/>
              <w:spacing w:line="240" w:lineRule="auto"/>
              <w:ind w:firstLine="0" w:firstLineChars="0"/>
              <w:jc w:val="center"/>
              <w:rPr>
                <w:rFonts w:cs="Times New Roman"/>
                <w:kern w:val="0"/>
                <w:sz w:val="21"/>
                <w:szCs w:val="21"/>
              </w:rPr>
            </w:pPr>
            <w:r>
              <w:rPr>
                <w:rFonts w:cs="Times New Roman"/>
                <w:kern w:val="0"/>
                <w:sz w:val="21"/>
                <w:szCs w:val="21"/>
              </w:rPr>
              <w:t>31</w:t>
            </w:r>
          </w:p>
        </w:tc>
        <w:tc>
          <w:tcPr>
            <w:tcW w:w="721" w:type="pct"/>
            <w:vAlign w:val="center"/>
          </w:tcPr>
          <w:p w14:paraId="1A100B8F">
            <w:pPr>
              <w:widowControl/>
              <w:spacing w:line="240" w:lineRule="auto"/>
              <w:ind w:firstLine="0" w:firstLineChars="0"/>
              <w:jc w:val="center"/>
              <w:rPr>
                <w:rFonts w:cs="Times New Roman"/>
                <w:kern w:val="0"/>
                <w:sz w:val="21"/>
                <w:szCs w:val="21"/>
              </w:rPr>
            </w:pPr>
            <w:r>
              <w:rPr>
                <w:rFonts w:hint="eastAsia" w:cs="Times New Roman"/>
                <w:kern w:val="0"/>
                <w:sz w:val="21"/>
                <w:szCs w:val="21"/>
              </w:rPr>
              <w:t>苯乙烯</w:t>
            </w:r>
          </w:p>
        </w:tc>
        <w:tc>
          <w:tcPr>
            <w:tcW w:w="461" w:type="pct"/>
            <w:vAlign w:val="center"/>
          </w:tcPr>
          <w:p w14:paraId="749824C5">
            <w:pPr>
              <w:widowControl/>
              <w:spacing w:line="240" w:lineRule="auto"/>
              <w:ind w:firstLine="0" w:firstLineChars="0"/>
              <w:jc w:val="center"/>
              <w:rPr>
                <w:rFonts w:cs="Times New Roman"/>
                <w:kern w:val="0"/>
                <w:sz w:val="21"/>
                <w:szCs w:val="21"/>
              </w:rPr>
            </w:pPr>
            <w:r>
              <w:rPr>
                <w:rFonts w:cs="Times New Roman"/>
                <w:kern w:val="0"/>
                <w:sz w:val="21"/>
                <w:szCs w:val="21"/>
              </w:rPr>
              <w:t>100-42-5</w:t>
            </w:r>
          </w:p>
        </w:tc>
        <w:tc>
          <w:tcPr>
            <w:tcW w:w="470" w:type="pct"/>
            <w:vAlign w:val="center"/>
          </w:tcPr>
          <w:p w14:paraId="0BC77FC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F7D791C">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B9C317E">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2236E3E">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448EE3B">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1CE81FA2">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10125E4D">
            <w:pPr>
              <w:spacing w:line="240" w:lineRule="auto"/>
              <w:ind w:firstLine="0" w:firstLineChars="0"/>
              <w:jc w:val="center"/>
              <w:rPr>
                <w:rFonts w:cs="Times New Roman"/>
                <w:sz w:val="21"/>
                <w:szCs w:val="21"/>
              </w:rPr>
            </w:pPr>
            <w:r>
              <w:rPr>
                <w:rFonts w:cs="Times New Roman"/>
                <w:sz w:val="21"/>
                <w:szCs w:val="21"/>
              </w:rPr>
              <w:t>1290</w:t>
            </w:r>
          </w:p>
        </w:tc>
        <w:tc>
          <w:tcPr>
            <w:tcW w:w="251" w:type="pct"/>
            <w:vAlign w:val="center"/>
          </w:tcPr>
          <w:p w14:paraId="2BB85849">
            <w:pPr>
              <w:spacing w:line="240" w:lineRule="auto"/>
              <w:ind w:firstLine="0" w:firstLineChars="0"/>
              <w:jc w:val="center"/>
              <w:rPr>
                <w:rFonts w:cs="Times New Roman"/>
                <w:sz w:val="21"/>
                <w:szCs w:val="21"/>
              </w:rPr>
            </w:pPr>
            <w:r>
              <w:rPr>
                <w:rFonts w:hint="eastAsia" w:cs="Times New Roman"/>
                <w:sz w:val="21"/>
                <w:szCs w:val="21"/>
              </w:rPr>
              <w:t>达标</w:t>
            </w:r>
          </w:p>
        </w:tc>
      </w:tr>
      <w:tr w14:paraId="0AE1EB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0DD7E776">
            <w:pPr>
              <w:widowControl/>
              <w:spacing w:line="240" w:lineRule="auto"/>
              <w:ind w:firstLine="0" w:firstLineChars="0"/>
              <w:jc w:val="center"/>
              <w:rPr>
                <w:rFonts w:cs="Times New Roman"/>
                <w:kern w:val="0"/>
                <w:sz w:val="21"/>
                <w:szCs w:val="21"/>
              </w:rPr>
            </w:pPr>
            <w:r>
              <w:rPr>
                <w:rFonts w:cs="Times New Roman"/>
                <w:kern w:val="0"/>
                <w:sz w:val="21"/>
                <w:szCs w:val="21"/>
              </w:rPr>
              <w:t>32</w:t>
            </w:r>
          </w:p>
        </w:tc>
        <w:tc>
          <w:tcPr>
            <w:tcW w:w="721" w:type="pct"/>
            <w:vAlign w:val="center"/>
          </w:tcPr>
          <w:p w14:paraId="2ED756A3">
            <w:pPr>
              <w:widowControl/>
              <w:spacing w:line="240" w:lineRule="auto"/>
              <w:ind w:firstLine="0" w:firstLineChars="0"/>
              <w:jc w:val="center"/>
              <w:rPr>
                <w:rFonts w:cs="Times New Roman"/>
                <w:kern w:val="0"/>
                <w:sz w:val="21"/>
                <w:szCs w:val="21"/>
              </w:rPr>
            </w:pPr>
            <w:r>
              <w:rPr>
                <w:rFonts w:hint="eastAsia" w:cs="Times New Roman"/>
                <w:kern w:val="0"/>
                <w:sz w:val="21"/>
                <w:szCs w:val="21"/>
              </w:rPr>
              <w:t>甲苯</w:t>
            </w:r>
          </w:p>
        </w:tc>
        <w:tc>
          <w:tcPr>
            <w:tcW w:w="461" w:type="pct"/>
            <w:vAlign w:val="center"/>
          </w:tcPr>
          <w:p w14:paraId="16236A9B">
            <w:pPr>
              <w:widowControl/>
              <w:spacing w:line="240" w:lineRule="auto"/>
              <w:ind w:firstLine="0" w:firstLineChars="0"/>
              <w:jc w:val="center"/>
              <w:rPr>
                <w:rFonts w:cs="Times New Roman"/>
                <w:kern w:val="0"/>
                <w:sz w:val="21"/>
                <w:szCs w:val="21"/>
              </w:rPr>
            </w:pPr>
            <w:r>
              <w:rPr>
                <w:rFonts w:cs="Times New Roman"/>
                <w:kern w:val="0"/>
                <w:sz w:val="21"/>
                <w:szCs w:val="21"/>
              </w:rPr>
              <w:t>108-88-3</w:t>
            </w:r>
          </w:p>
        </w:tc>
        <w:tc>
          <w:tcPr>
            <w:tcW w:w="470" w:type="pct"/>
            <w:vAlign w:val="center"/>
          </w:tcPr>
          <w:p w14:paraId="67BD896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D4D577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B212D4C">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2D397F2">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A7908DE">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3055D9FB">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689847E6">
            <w:pPr>
              <w:spacing w:line="240" w:lineRule="auto"/>
              <w:ind w:firstLine="0" w:firstLineChars="0"/>
              <w:jc w:val="center"/>
              <w:rPr>
                <w:rFonts w:cs="Times New Roman"/>
                <w:sz w:val="21"/>
                <w:szCs w:val="21"/>
              </w:rPr>
            </w:pPr>
            <w:r>
              <w:rPr>
                <w:rFonts w:cs="Times New Roman"/>
                <w:sz w:val="21"/>
                <w:szCs w:val="21"/>
              </w:rPr>
              <w:t>1200</w:t>
            </w:r>
          </w:p>
        </w:tc>
        <w:tc>
          <w:tcPr>
            <w:tcW w:w="251" w:type="pct"/>
            <w:vAlign w:val="center"/>
          </w:tcPr>
          <w:p w14:paraId="350B3AF7">
            <w:pPr>
              <w:spacing w:line="240" w:lineRule="auto"/>
              <w:ind w:firstLine="0" w:firstLineChars="0"/>
              <w:jc w:val="center"/>
              <w:rPr>
                <w:rFonts w:cs="Times New Roman"/>
                <w:sz w:val="21"/>
                <w:szCs w:val="21"/>
              </w:rPr>
            </w:pPr>
            <w:r>
              <w:rPr>
                <w:rFonts w:hint="eastAsia" w:cs="Times New Roman"/>
                <w:sz w:val="21"/>
                <w:szCs w:val="21"/>
              </w:rPr>
              <w:t>达标</w:t>
            </w:r>
          </w:p>
        </w:tc>
      </w:tr>
      <w:tr w14:paraId="11DD5A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18182C91">
            <w:pPr>
              <w:widowControl/>
              <w:spacing w:line="240" w:lineRule="auto"/>
              <w:ind w:firstLine="0" w:firstLineChars="0"/>
              <w:jc w:val="center"/>
              <w:rPr>
                <w:rFonts w:cs="Times New Roman"/>
                <w:kern w:val="0"/>
                <w:sz w:val="21"/>
                <w:szCs w:val="21"/>
              </w:rPr>
            </w:pPr>
            <w:r>
              <w:rPr>
                <w:rFonts w:cs="Times New Roman"/>
                <w:kern w:val="0"/>
                <w:sz w:val="21"/>
                <w:szCs w:val="21"/>
              </w:rPr>
              <w:t>33</w:t>
            </w:r>
          </w:p>
        </w:tc>
        <w:tc>
          <w:tcPr>
            <w:tcW w:w="721" w:type="pct"/>
            <w:vAlign w:val="center"/>
          </w:tcPr>
          <w:p w14:paraId="7272844C">
            <w:pPr>
              <w:widowControl/>
              <w:spacing w:line="240" w:lineRule="auto"/>
              <w:ind w:firstLine="0" w:firstLineChars="0"/>
              <w:jc w:val="center"/>
              <w:rPr>
                <w:rFonts w:cs="Times New Roman"/>
                <w:kern w:val="0"/>
                <w:sz w:val="21"/>
                <w:szCs w:val="21"/>
              </w:rPr>
            </w:pPr>
            <w:r>
              <w:rPr>
                <w:rFonts w:hint="eastAsia" w:cs="Times New Roman"/>
                <w:kern w:val="0"/>
                <w:sz w:val="21"/>
                <w:szCs w:val="21"/>
              </w:rPr>
              <w:t>间二甲苯</w:t>
            </w:r>
            <w:r>
              <w:rPr>
                <w:rFonts w:cs="Times New Roman"/>
                <w:kern w:val="0"/>
                <w:sz w:val="21"/>
                <w:szCs w:val="21"/>
              </w:rPr>
              <w:t>+</w:t>
            </w:r>
            <w:r>
              <w:rPr>
                <w:rFonts w:hint="eastAsia" w:cs="Times New Roman"/>
                <w:kern w:val="0"/>
                <w:sz w:val="21"/>
                <w:szCs w:val="21"/>
              </w:rPr>
              <w:t>对二甲苯</w:t>
            </w:r>
          </w:p>
        </w:tc>
        <w:tc>
          <w:tcPr>
            <w:tcW w:w="461" w:type="pct"/>
            <w:vAlign w:val="center"/>
          </w:tcPr>
          <w:p w14:paraId="2E4A5EB5">
            <w:pPr>
              <w:widowControl/>
              <w:spacing w:line="240" w:lineRule="auto"/>
              <w:ind w:firstLine="0" w:firstLineChars="0"/>
              <w:jc w:val="center"/>
              <w:rPr>
                <w:rFonts w:cs="Times New Roman"/>
                <w:kern w:val="0"/>
                <w:sz w:val="21"/>
                <w:szCs w:val="21"/>
              </w:rPr>
            </w:pPr>
            <w:r>
              <w:rPr>
                <w:rFonts w:cs="Times New Roman"/>
                <w:kern w:val="0"/>
                <w:sz w:val="21"/>
                <w:szCs w:val="21"/>
              </w:rPr>
              <w:t>108-38-3</w:t>
            </w:r>
            <w:r>
              <w:rPr>
                <w:rFonts w:hint="eastAsia" w:cs="Times New Roman"/>
                <w:kern w:val="0"/>
                <w:sz w:val="21"/>
                <w:szCs w:val="21"/>
              </w:rPr>
              <w:t>，</w:t>
            </w:r>
          </w:p>
          <w:p w14:paraId="76200C69">
            <w:pPr>
              <w:widowControl/>
              <w:spacing w:line="240" w:lineRule="auto"/>
              <w:ind w:firstLine="0" w:firstLineChars="0"/>
              <w:jc w:val="center"/>
              <w:rPr>
                <w:rFonts w:cs="Times New Roman"/>
                <w:kern w:val="0"/>
                <w:sz w:val="21"/>
                <w:szCs w:val="21"/>
              </w:rPr>
            </w:pPr>
            <w:r>
              <w:rPr>
                <w:rFonts w:cs="Times New Roman"/>
                <w:kern w:val="0"/>
                <w:sz w:val="21"/>
                <w:szCs w:val="21"/>
              </w:rPr>
              <w:t>106-42-3</w:t>
            </w:r>
          </w:p>
        </w:tc>
        <w:tc>
          <w:tcPr>
            <w:tcW w:w="470" w:type="pct"/>
            <w:vAlign w:val="center"/>
          </w:tcPr>
          <w:p w14:paraId="4688FCFF">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105EAF5C">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1B7A2568">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37F9B71C">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1F28D16">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511B2549">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19724661">
            <w:pPr>
              <w:spacing w:line="240" w:lineRule="auto"/>
              <w:ind w:firstLine="0" w:firstLineChars="0"/>
              <w:jc w:val="center"/>
              <w:rPr>
                <w:rFonts w:cs="Times New Roman"/>
                <w:sz w:val="21"/>
                <w:szCs w:val="21"/>
              </w:rPr>
            </w:pPr>
            <w:r>
              <w:rPr>
                <w:rFonts w:cs="Times New Roman"/>
                <w:sz w:val="21"/>
                <w:szCs w:val="21"/>
              </w:rPr>
              <w:t>570</w:t>
            </w:r>
          </w:p>
        </w:tc>
        <w:tc>
          <w:tcPr>
            <w:tcW w:w="251" w:type="pct"/>
            <w:vAlign w:val="center"/>
          </w:tcPr>
          <w:p w14:paraId="5002AE16">
            <w:pPr>
              <w:spacing w:line="240" w:lineRule="auto"/>
              <w:ind w:firstLine="0" w:firstLineChars="0"/>
              <w:jc w:val="center"/>
              <w:rPr>
                <w:rFonts w:cs="Times New Roman"/>
                <w:sz w:val="21"/>
                <w:szCs w:val="21"/>
              </w:rPr>
            </w:pPr>
            <w:r>
              <w:rPr>
                <w:rFonts w:hint="eastAsia" w:cs="Times New Roman"/>
                <w:sz w:val="21"/>
                <w:szCs w:val="21"/>
              </w:rPr>
              <w:t>达标</w:t>
            </w:r>
          </w:p>
        </w:tc>
      </w:tr>
      <w:tr w14:paraId="08C622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73DF4EA2">
            <w:pPr>
              <w:widowControl/>
              <w:spacing w:line="240" w:lineRule="auto"/>
              <w:ind w:firstLine="0" w:firstLineChars="0"/>
              <w:jc w:val="center"/>
              <w:rPr>
                <w:rFonts w:cs="Times New Roman"/>
                <w:kern w:val="0"/>
                <w:sz w:val="21"/>
                <w:szCs w:val="21"/>
              </w:rPr>
            </w:pPr>
            <w:r>
              <w:rPr>
                <w:rFonts w:cs="Times New Roman"/>
                <w:kern w:val="0"/>
                <w:sz w:val="21"/>
                <w:szCs w:val="21"/>
              </w:rPr>
              <w:t>34</w:t>
            </w:r>
          </w:p>
        </w:tc>
        <w:tc>
          <w:tcPr>
            <w:tcW w:w="721" w:type="pct"/>
            <w:vAlign w:val="center"/>
          </w:tcPr>
          <w:p w14:paraId="58D8A24C">
            <w:pPr>
              <w:widowControl/>
              <w:spacing w:line="240" w:lineRule="auto"/>
              <w:ind w:firstLine="0" w:firstLineChars="0"/>
              <w:jc w:val="center"/>
              <w:rPr>
                <w:rFonts w:cs="Times New Roman"/>
                <w:kern w:val="0"/>
                <w:sz w:val="21"/>
                <w:szCs w:val="21"/>
              </w:rPr>
            </w:pPr>
            <w:r>
              <w:rPr>
                <w:rFonts w:hint="eastAsia" w:cs="Times New Roman"/>
                <w:kern w:val="0"/>
                <w:sz w:val="21"/>
                <w:szCs w:val="21"/>
              </w:rPr>
              <w:t>邻二甲苯</w:t>
            </w:r>
          </w:p>
        </w:tc>
        <w:tc>
          <w:tcPr>
            <w:tcW w:w="461" w:type="pct"/>
            <w:vAlign w:val="center"/>
          </w:tcPr>
          <w:p w14:paraId="09D72AC9">
            <w:pPr>
              <w:widowControl/>
              <w:spacing w:line="240" w:lineRule="auto"/>
              <w:ind w:firstLine="0" w:firstLineChars="0"/>
              <w:jc w:val="center"/>
              <w:rPr>
                <w:rFonts w:cs="Times New Roman"/>
                <w:kern w:val="0"/>
                <w:sz w:val="21"/>
                <w:szCs w:val="21"/>
              </w:rPr>
            </w:pPr>
            <w:r>
              <w:rPr>
                <w:rFonts w:cs="Times New Roman"/>
                <w:kern w:val="0"/>
                <w:sz w:val="21"/>
                <w:szCs w:val="21"/>
              </w:rPr>
              <w:t>95-47-6</w:t>
            </w:r>
          </w:p>
        </w:tc>
        <w:tc>
          <w:tcPr>
            <w:tcW w:w="470" w:type="pct"/>
            <w:vAlign w:val="center"/>
          </w:tcPr>
          <w:p w14:paraId="1E91071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CC994F5">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C645D2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156C5C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8EE8C56">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428A6A53">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531DDD00">
            <w:pPr>
              <w:spacing w:line="240" w:lineRule="auto"/>
              <w:ind w:firstLine="0" w:firstLineChars="0"/>
              <w:jc w:val="center"/>
              <w:rPr>
                <w:rFonts w:cs="Times New Roman"/>
                <w:sz w:val="21"/>
                <w:szCs w:val="21"/>
              </w:rPr>
            </w:pPr>
            <w:r>
              <w:rPr>
                <w:rFonts w:cs="Times New Roman"/>
                <w:sz w:val="21"/>
                <w:szCs w:val="21"/>
              </w:rPr>
              <w:t>640</w:t>
            </w:r>
          </w:p>
        </w:tc>
        <w:tc>
          <w:tcPr>
            <w:tcW w:w="251" w:type="pct"/>
            <w:vAlign w:val="center"/>
          </w:tcPr>
          <w:p w14:paraId="3BB42397">
            <w:pPr>
              <w:spacing w:line="240" w:lineRule="auto"/>
              <w:ind w:firstLine="0" w:firstLineChars="0"/>
              <w:jc w:val="center"/>
              <w:rPr>
                <w:rFonts w:cs="Times New Roman"/>
                <w:sz w:val="21"/>
                <w:szCs w:val="21"/>
              </w:rPr>
            </w:pPr>
            <w:r>
              <w:rPr>
                <w:rFonts w:hint="eastAsia" w:cs="Times New Roman"/>
                <w:sz w:val="21"/>
                <w:szCs w:val="21"/>
              </w:rPr>
              <w:t>达标</w:t>
            </w:r>
          </w:p>
        </w:tc>
      </w:tr>
      <w:tr w14:paraId="281A03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1"/>
            <w:vAlign w:val="center"/>
          </w:tcPr>
          <w:p w14:paraId="3425C597">
            <w:pPr>
              <w:widowControl/>
              <w:spacing w:line="240" w:lineRule="auto"/>
              <w:ind w:firstLine="0" w:firstLineChars="0"/>
              <w:jc w:val="center"/>
              <w:rPr>
                <w:rFonts w:cs="Times New Roman"/>
                <w:kern w:val="0"/>
                <w:sz w:val="21"/>
                <w:szCs w:val="21"/>
              </w:rPr>
            </w:pPr>
            <w:r>
              <w:rPr>
                <w:rFonts w:hint="eastAsia" w:cs="Times New Roman"/>
                <w:kern w:val="0"/>
                <w:sz w:val="21"/>
                <w:szCs w:val="21"/>
              </w:rPr>
              <w:t>半挥发性有机物（单位：</w:t>
            </w:r>
            <w:r>
              <w:rPr>
                <w:rFonts w:cs="Times New Roman"/>
                <w:kern w:val="0"/>
                <w:sz w:val="21"/>
                <w:szCs w:val="21"/>
              </w:rPr>
              <w:t>mg/kg</w:t>
            </w:r>
            <w:r>
              <w:rPr>
                <w:rFonts w:hint="eastAsia" w:cs="Times New Roman"/>
                <w:kern w:val="0"/>
                <w:sz w:val="21"/>
                <w:szCs w:val="21"/>
              </w:rPr>
              <w:t>）</w:t>
            </w:r>
          </w:p>
        </w:tc>
      </w:tr>
      <w:tr w14:paraId="4214CC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0911AAEB">
            <w:pPr>
              <w:widowControl/>
              <w:spacing w:line="240" w:lineRule="auto"/>
              <w:ind w:firstLine="0" w:firstLineChars="0"/>
              <w:jc w:val="center"/>
              <w:rPr>
                <w:rFonts w:cs="Times New Roman"/>
                <w:kern w:val="0"/>
                <w:sz w:val="21"/>
                <w:szCs w:val="21"/>
              </w:rPr>
            </w:pPr>
            <w:r>
              <w:rPr>
                <w:rFonts w:cs="Times New Roman"/>
                <w:kern w:val="0"/>
                <w:sz w:val="21"/>
                <w:szCs w:val="21"/>
              </w:rPr>
              <w:t>35</w:t>
            </w:r>
          </w:p>
        </w:tc>
        <w:tc>
          <w:tcPr>
            <w:tcW w:w="721" w:type="pct"/>
            <w:vAlign w:val="center"/>
          </w:tcPr>
          <w:p w14:paraId="05D6B71E">
            <w:pPr>
              <w:widowControl/>
              <w:spacing w:line="240" w:lineRule="auto"/>
              <w:ind w:firstLine="0" w:firstLineChars="0"/>
              <w:jc w:val="center"/>
              <w:rPr>
                <w:rFonts w:cs="Times New Roman"/>
                <w:kern w:val="0"/>
                <w:sz w:val="21"/>
                <w:szCs w:val="21"/>
              </w:rPr>
            </w:pPr>
            <w:r>
              <w:rPr>
                <w:rFonts w:hint="eastAsia" w:cs="Times New Roman"/>
                <w:kern w:val="0"/>
                <w:sz w:val="21"/>
                <w:szCs w:val="21"/>
              </w:rPr>
              <w:t>硝基苯</w:t>
            </w:r>
          </w:p>
        </w:tc>
        <w:tc>
          <w:tcPr>
            <w:tcW w:w="461" w:type="pct"/>
            <w:vAlign w:val="center"/>
          </w:tcPr>
          <w:p w14:paraId="193BA0CA">
            <w:pPr>
              <w:widowControl/>
              <w:spacing w:line="240" w:lineRule="auto"/>
              <w:ind w:firstLine="0" w:firstLineChars="0"/>
              <w:jc w:val="center"/>
              <w:rPr>
                <w:rFonts w:cs="Times New Roman"/>
                <w:kern w:val="0"/>
                <w:sz w:val="21"/>
                <w:szCs w:val="21"/>
              </w:rPr>
            </w:pPr>
            <w:r>
              <w:rPr>
                <w:rFonts w:cs="Times New Roman"/>
                <w:kern w:val="0"/>
                <w:sz w:val="21"/>
                <w:szCs w:val="21"/>
              </w:rPr>
              <w:t>98-95-3</w:t>
            </w:r>
          </w:p>
        </w:tc>
        <w:tc>
          <w:tcPr>
            <w:tcW w:w="470" w:type="pct"/>
            <w:vAlign w:val="center"/>
          </w:tcPr>
          <w:p w14:paraId="1F94234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11A0F9F">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FD5FC6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F412415">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1120E99">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6CC6DCAB">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240C8B34">
            <w:pPr>
              <w:spacing w:line="240" w:lineRule="auto"/>
              <w:ind w:firstLine="0" w:firstLineChars="0"/>
              <w:jc w:val="center"/>
              <w:rPr>
                <w:rFonts w:cs="Times New Roman"/>
                <w:sz w:val="21"/>
                <w:szCs w:val="21"/>
              </w:rPr>
            </w:pPr>
            <w:r>
              <w:rPr>
                <w:rFonts w:cs="Times New Roman"/>
                <w:sz w:val="21"/>
                <w:szCs w:val="21"/>
              </w:rPr>
              <w:t>76</w:t>
            </w:r>
          </w:p>
        </w:tc>
        <w:tc>
          <w:tcPr>
            <w:tcW w:w="251" w:type="pct"/>
            <w:vAlign w:val="center"/>
          </w:tcPr>
          <w:p w14:paraId="1044FFC4">
            <w:pPr>
              <w:spacing w:line="240" w:lineRule="auto"/>
              <w:ind w:firstLine="0" w:firstLineChars="0"/>
              <w:jc w:val="center"/>
              <w:rPr>
                <w:rFonts w:cs="Times New Roman"/>
                <w:sz w:val="21"/>
                <w:szCs w:val="21"/>
              </w:rPr>
            </w:pPr>
            <w:r>
              <w:rPr>
                <w:rFonts w:hint="eastAsia" w:cs="Times New Roman"/>
                <w:sz w:val="21"/>
                <w:szCs w:val="21"/>
              </w:rPr>
              <w:t>达标</w:t>
            </w:r>
          </w:p>
        </w:tc>
      </w:tr>
      <w:tr w14:paraId="1A445C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32FD1E2E">
            <w:pPr>
              <w:widowControl/>
              <w:spacing w:line="240" w:lineRule="auto"/>
              <w:ind w:firstLine="0" w:firstLineChars="0"/>
              <w:jc w:val="center"/>
              <w:rPr>
                <w:rFonts w:cs="Times New Roman"/>
                <w:kern w:val="0"/>
                <w:sz w:val="21"/>
                <w:szCs w:val="21"/>
              </w:rPr>
            </w:pPr>
            <w:r>
              <w:rPr>
                <w:rFonts w:cs="Times New Roman"/>
                <w:kern w:val="0"/>
                <w:sz w:val="21"/>
                <w:szCs w:val="21"/>
              </w:rPr>
              <w:t>36</w:t>
            </w:r>
          </w:p>
        </w:tc>
        <w:tc>
          <w:tcPr>
            <w:tcW w:w="721" w:type="pct"/>
            <w:vAlign w:val="center"/>
          </w:tcPr>
          <w:p w14:paraId="337BA4ED">
            <w:pPr>
              <w:widowControl/>
              <w:spacing w:line="240" w:lineRule="auto"/>
              <w:ind w:firstLine="0" w:firstLineChars="0"/>
              <w:jc w:val="center"/>
              <w:rPr>
                <w:rFonts w:cs="Times New Roman"/>
                <w:kern w:val="0"/>
                <w:sz w:val="21"/>
                <w:szCs w:val="21"/>
              </w:rPr>
            </w:pPr>
            <w:r>
              <w:rPr>
                <w:rFonts w:hint="eastAsia" w:cs="Times New Roman"/>
                <w:kern w:val="0"/>
                <w:sz w:val="21"/>
                <w:szCs w:val="21"/>
              </w:rPr>
              <w:t>苯胺</w:t>
            </w:r>
          </w:p>
        </w:tc>
        <w:tc>
          <w:tcPr>
            <w:tcW w:w="461" w:type="pct"/>
            <w:vAlign w:val="center"/>
          </w:tcPr>
          <w:p w14:paraId="2972E640">
            <w:pPr>
              <w:widowControl/>
              <w:spacing w:line="240" w:lineRule="auto"/>
              <w:ind w:firstLine="0" w:firstLineChars="0"/>
              <w:jc w:val="center"/>
              <w:rPr>
                <w:rFonts w:cs="Times New Roman"/>
                <w:kern w:val="0"/>
                <w:sz w:val="21"/>
                <w:szCs w:val="21"/>
              </w:rPr>
            </w:pPr>
            <w:r>
              <w:rPr>
                <w:rFonts w:cs="Times New Roman"/>
                <w:kern w:val="0"/>
                <w:sz w:val="21"/>
                <w:szCs w:val="21"/>
              </w:rPr>
              <w:t>62-53-3</w:t>
            </w:r>
          </w:p>
        </w:tc>
        <w:tc>
          <w:tcPr>
            <w:tcW w:w="470" w:type="pct"/>
            <w:vAlign w:val="center"/>
          </w:tcPr>
          <w:p w14:paraId="37F7EA0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CDA2B5E">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8BE95A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2802612">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9416AC9">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0DAA9097">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6379B616">
            <w:pPr>
              <w:spacing w:line="240" w:lineRule="auto"/>
              <w:ind w:firstLine="0" w:firstLineChars="0"/>
              <w:jc w:val="center"/>
              <w:rPr>
                <w:rFonts w:cs="Times New Roman"/>
                <w:sz w:val="21"/>
                <w:szCs w:val="21"/>
              </w:rPr>
            </w:pPr>
            <w:r>
              <w:rPr>
                <w:rFonts w:cs="Times New Roman"/>
                <w:sz w:val="21"/>
                <w:szCs w:val="21"/>
              </w:rPr>
              <w:t>260</w:t>
            </w:r>
          </w:p>
        </w:tc>
        <w:tc>
          <w:tcPr>
            <w:tcW w:w="251" w:type="pct"/>
            <w:vAlign w:val="center"/>
          </w:tcPr>
          <w:p w14:paraId="4F4B63E6">
            <w:pPr>
              <w:spacing w:line="240" w:lineRule="auto"/>
              <w:ind w:firstLine="0" w:firstLineChars="0"/>
              <w:jc w:val="center"/>
              <w:rPr>
                <w:rFonts w:cs="Times New Roman"/>
                <w:sz w:val="21"/>
                <w:szCs w:val="21"/>
              </w:rPr>
            </w:pPr>
            <w:r>
              <w:rPr>
                <w:rFonts w:hint="eastAsia" w:cs="Times New Roman"/>
                <w:sz w:val="21"/>
                <w:szCs w:val="21"/>
              </w:rPr>
              <w:t>达标</w:t>
            </w:r>
          </w:p>
        </w:tc>
      </w:tr>
      <w:tr w14:paraId="492F6D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4BA51951">
            <w:pPr>
              <w:widowControl/>
              <w:spacing w:line="240" w:lineRule="auto"/>
              <w:ind w:firstLine="0" w:firstLineChars="0"/>
              <w:jc w:val="center"/>
              <w:rPr>
                <w:rFonts w:cs="Times New Roman"/>
                <w:kern w:val="0"/>
                <w:sz w:val="21"/>
                <w:szCs w:val="21"/>
              </w:rPr>
            </w:pPr>
            <w:r>
              <w:rPr>
                <w:rFonts w:cs="Times New Roman"/>
                <w:kern w:val="0"/>
                <w:sz w:val="21"/>
                <w:szCs w:val="21"/>
              </w:rPr>
              <w:t>37</w:t>
            </w:r>
          </w:p>
        </w:tc>
        <w:tc>
          <w:tcPr>
            <w:tcW w:w="721" w:type="pct"/>
            <w:vAlign w:val="center"/>
          </w:tcPr>
          <w:p w14:paraId="17C90D8C">
            <w:pPr>
              <w:widowControl/>
              <w:spacing w:line="240" w:lineRule="auto"/>
              <w:ind w:firstLine="0" w:firstLineChars="0"/>
              <w:jc w:val="center"/>
              <w:rPr>
                <w:rFonts w:cs="Times New Roman"/>
                <w:kern w:val="0"/>
                <w:sz w:val="21"/>
                <w:szCs w:val="21"/>
              </w:rPr>
            </w:pPr>
            <w:r>
              <w:rPr>
                <w:rFonts w:cs="Times New Roman"/>
                <w:kern w:val="0"/>
                <w:sz w:val="21"/>
                <w:szCs w:val="21"/>
              </w:rPr>
              <w:t>2-</w:t>
            </w:r>
            <w:r>
              <w:rPr>
                <w:rFonts w:hint="eastAsia" w:cs="Times New Roman"/>
                <w:kern w:val="0"/>
                <w:sz w:val="21"/>
                <w:szCs w:val="21"/>
              </w:rPr>
              <w:t>氯酚</w:t>
            </w:r>
          </w:p>
        </w:tc>
        <w:tc>
          <w:tcPr>
            <w:tcW w:w="461" w:type="pct"/>
            <w:vAlign w:val="center"/>
          </w:tcPr>
          <w:p w14:paraId="17197486">
            <w:pPr>
              <w:widowControl/>
              <w:spacing w:line="240" w:lineRule="auto"/>
              <w:ind w:firstLine="0" w:firstLineChars="0"/>
              <w:jc w:val="center"/>
              <w:rPr>
                <w:rFonts w:cs="Times New Roman"/>
                <w:kern w:val="0"/>
                <w:sz w:val="21"/>
                <w:szCs w:val="21"/>
              </w:rPr>
            </w:pPr>
            <w:r>
              <w:rPr>
                <w:rFonts w:cs="Times New Roman"/>
                <w:kern w:val="0"/>
                <w:sz w:val="21"/>
                <w:szCs w:val="21"/>
              </w:rPr>
              <w:t>95-57-8</w:t>
            </w:r>
          </w:p>
        </w:tc>
        <w:tc>
          <w:tcPr>
            <w:tcW w:w="470" w:type="pct"/>
            <w:vAlign w:val="center"/>
          </w:tcPr>
          <w:p w14:paraId="4698092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1A3FA2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AC093F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8F956D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085C728">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67361AD4">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21B013EE">
            <w:pPr>
              <w:spacing w:line="240" w:lineRule="auto"/>
              <w:ind w:firstLine="0" w:firstLineChars="0"/>
              <w:jc w:val="center"/>
              <w:rPr>
                <w:rFonts w:cs="Times New Roman"/>
                <w:sz w:val="21"/>
                <w:szCs w:val="21"/>
              </w:rPr>
            </w:pPr>
            <w:r>
              <w:rPr>
                <w:rFonts w:cs="Times New Roman"/>
                <w:sz w:val="21"/>
                <w:szCs w:val="21"/>
              </w:rPr>
              <w:t>2256</w:t>
            </w:r>
          </w:p>
        </w:tc>
        <w:tc>
          <w:tcPr>
            <w:tcW w:w="251" w:type="pct"/>
            <w:vAlign w:val="center"/>
          </w:tcPr>
          <w:p w14:paraId="7AF94DED">
            <w:pPr>
              <w:spacing w:line="240" w:lineRule="auto"/>
              <w:ind w:firstLine="0" w:firstLineChars="0"/>
              <w:jc w:val="center"/>
              <w:rPr>
                <w:rFonts w:cs="Times New Roman"/>
                <w:sz w:val="21"/>
                <w:szCs w:val="21"/>
              </w:rPr>
            </w:pPr>
            <w:r>
              <w:rPr>
                <w:rFonts w:hint="eastAsia" w:cs="Times New Roman"/>
                <w:sz w:val="21"/>
                <w:szCs w:val="21"/>
              </w:rPr>
              <w:t>达标</w:t>
            </w:r>
          </w:p>
        </w:tc>
      </w:tr>
      <w:tr w14:paraId="25E6D5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3B828057">
            <w:pPr>
              <w:widowControl/>
              <w:spacing w:line="240" w:lineRule="auto"/>
              <w:ind w:firstLine="0" w:firstLineChars="0"/>
              <w:jc w:val="center"/>
              <w:rPr>
                <w:rFonts w:cs="Times New Roman"/>
                <w:kern w:val="0"/>
                <w:sz w:val="21"/>
                <w:szCs w:val="21"/>
              </w:rPr>
            </w:pPr>
            <w:r>
              <w:rPr>
                <w:rFonts w:cs="Times New Roman"/>
                <w:kern w:val="0"/>
                <w:sz w:val="21"/>
                <w:szCs w:val="21"/>
              </w:rPr>
              <w:t>38</w:t>
            </w:r>
          </w:p>
        </w:tc>
        <w:tc>
          <w:tcPr>
            <w:tcW w:w="721" w:type="pct"/>
            <w:vAlign w:val="center"/>
          </w:tcPr>
          <w:p w14:paraId="18826C5D">
            <w:pPr>
              <w:widowControl/>
              <w:spacing w:line="240" w:lineRule="auto"/>
              <w:ind w:firstLine="0" w:firstLineChars="0"/>
              <w:jc w:val="center"/>
              <w:rPr>
                <w:rFonts w:cs="Times New Roman"/>
                <w:kern w:val="0"/>
                <w:sz w:val="21"/>
                <w:szCs w:val="21"/>
              </w:rPr>
            </w:pPr>
            <w:r>
              <w:rPr>
                <w:rFonts w:hint="eastAsia" w:cs="Times New Roman"/>
                <w:kern w:val="0"/>
                <w:sz w:val="21"/>
                <w:szCs w:val="21"/>
              </w:rPr>
              <w:t>苯并</w:t>
            </w:r>
            <w:r>
              <w:rPr>
                <w:rFonts w:cs="Times New Roman"/>
                <w:kern w:val="0"/>
                <w:sz w:val="21"/>
                <w:szCs w:val="21"/>
              </w:rPr>
              <w:t>[a]</w:t>
            </w:r>
            <w:r>
              <w:rPr>
                <w:rFonts w:hint="eastAsia" w:cs="Times New Roman"/>
                <w:kern w:val="0"/>
                <w:sz w:val="21"/>
                <w:szCs w:val="21"/>
              </w:rPr>
              <w:t>蒽</w:t>
            </w:r>
          </w:p>
        </w:tc>
        <w:tc>
          <w:tcPr>
            <w:tcW w:w="461" w:type="pct"/>
            <w:vAlign w:val="center"/>
          </w:tcPr>
          <w:p w14:paraId="5E83EEB2">
            <w:pPr>
              <w:widowControl/>
              <w:spacing w:line="240" w:lineRule="auto"/>
              <w:ind w:firstLine="0" w:firstLineChars="0"/>
              <w:jc w:val="center"/>
              <w:rPr>
                <w:rFonts w:cs="Times New Roman"/>
                <w:kern w:val="0"/>
                <w:sz w:val="21"/>
                <w:szCs w:val="21"/>
              </w:rPr>
            </w:pPr>
            <w:r>
              <w:rPr>
                <w:rFonts w:cs="Times New Roman"/>
                <w:kern w:val="0"/>
                <w:sz w:val="21"/>
                <w:szCs w:val="21"/>
              </w:rPr>
              <w:t>56-55-3</w:t>
            </w:r>
          </w:p>
        </w:tc>
        <w:tc>
          <w:tcPr>
            <w:tcW w:w="470" w:type="pct"/>
            <w:vAlign w:val="center"/>
          </w:tcPr>
          <w:p w14:paraId="06690460">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5D984F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4CE79AF">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01ED76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A3AB0C2">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789BE59B">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0FC45F73">
            <w:pPr>
              <w:spacing w:line="240" w:lineRule="auto"/>
              <w:ind w:firstLine="0" w:firstLineChars="0"/>
              <w:jc w:val="center"/>
              <w:rPr>
                <w:rFonts w:cs="Times New Roman"/>
                <w:sz w:val="21"/>
                <w:szCs w:val="21"/>
              </w:rPr>
            </w:pPr>
            <w:r>
              <w:rPr>
                <w:rFonts w:cs="Times New Roman"/>
                <w:sz w:val="21"/>
                <w:szCs w:val="21"/>
              </w:rPr>
              <w:t>15</w:t>
            </w:r>
          </w:p>
        </w:tc>
        <w:tc>
          <w:tcPr>
            <w:tcW w:w="251" w:type="pct"/>
            <w:vAlign w:val="center"/>
          </w:tcPr>
          <w:p w14:paraId="7B8E873B">
            <w:pPr>
              <w:spacing w:line="240" w:lineRule="auto"/>
              <w:ind w:firstLine="0" w:firstLineChars="0"/>
              <w:jc w:val="center"/>
              <w:rPr>
                <w:rFonts w:cs="Times New Roman"/>
                <w:sz w:val="21"/>
                <w:szCs w:val="21"/>
              </w:rPr>
            </w:pPr>
            <w:r>
              <w:rPr>
                <w:rFonts w:hint="eastAsia" w:cs="Times New Roman"/>
                <w:sz w:val="21"/>
                <w:szCs w:val="21"/>
              </w:rPr>
              <w:t>达标</w:t>
            </w:r>
          </w:p>
        </w:tc>
      </w:tr>
      <w:tr w14:paraId="23D357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3891072">
            <w:pPr>
              <w:widowControl/>
              <w:spacing w:line="240" w:lineRule="auto"/>
              <w:ind w:firstLine="0" w:firstLineChars="0"/>
              <w:jc w:val="center"/>
              <w:rPr>
                <w:rFonts w:cs="Times New Roman"/>
                <w:kern w:val="0"/>
                <w:sz w:val="21"/>
                <w:szCs w:val="21"/>
              </w:rPr>
            </w:pPr>
            <w:r>
              <w:rPr>
                <w:rFonts w:cs="Times New Roman"/>
                <w:kern w:val="0"/>
                <w:sz w:val="21"/>
                <w:szCs w:val="21"/>
              </w:rPr>
              <w:t>39</w:t>
            </w:r>
          </w:p>
        </w:tc>
        <w:tc>
          <w:tcPr>
            <w:tcW w:w="721" w:type="pct"/>
            <w:vAlign w:val="center"/>
          </w:tcPr>
          <w:p w14:paraId="5C48B762">
            <w:pPr>
              <w:widowControl/>
              <w:spacing w:line="240" w:lineRule="auto"/>
              <w:ind w:firstLine="0" w:firstLineChars="0"/>
              <w:jc w:val="center"/>
              <w:rPr>
                <w:rFonts w:cs="Times New Roman"/>
                <w:kern w:val="0"/>
                <w:sz w:val="21"/>
                <w:szCs w:val="21"/>
              </w:rPr>
            </w:pPr>
            <w:r>
              <w:rPr>
                <w:rFonts w:hint="eastAsia" w:cs="Times New Roman"/>
                <w:kern w:val="0"/>
                <w:sz w:val="21"/>
                <w:szCs w:val="21"/>
              </w:rPr>
              <w:t>苯并</w:t>
            </w:r>
            <w:r>
              <w:rPr>
                <w:rFonts w:cs="Times New Roman"/>
                <w:kern w:val="0"/>
                <w:sz w:val="21"/>
                <w:szCs w:val="21"/>
              </w:rPr>
              <w:t>[a]</w:t>
            </w:r>
            <w:r>
              <w:rPr>
                <w:rFonts w:hint="eastAsia" w:cs="Times New Roman"/>
                <w:kern w:val="0"/>
                <w:sz w:val="21"/>
                <w:szCs w:val="21"/>
              </w:rPr>
              <w:t>芘</w:t>
            </w:r>
          </w:p>
        </w:tc>
        <w:tc>
          <w:tcPr>
            <w:tcW w:w="461" w:type="pct"/>
            <w:vAlign w:val="center"/>
          </w:tcPr>
          <w:p w14:paraId="6CB01FDD">
            <w:pPr>
              <w:widowControl/>
              <w:spacing w:line="240" w:lineRule="auto"/>
              <w:ind w:firstLine="0" w:firstLineChars="0"/>
              <w:jc w:val="center"/>
              <w:rPr>
                <w:rFonts w:cs="Times New Roman"/>
                <w:kern w:val="0"/>
                <w:sz w:val="21"/>
                <w:szCs w:val="21"/>
              </w:rPr>
            </w:pPr>
            <w:r>
              <w:rPr>
                <w:rFonts w:cs="Times New Roman"/>
                <w:kern w:val="0"/>
                <w:sz w:val="21"/>
                <w:szCs w:val="21"/>
              </w:rPr>
              <w:t>50-32-8</w:t>
            </w:r>
          </w:p>
        </w:tc>
        <w:tc>
          <w:tcPr>
            <w:tcW w:w="470" w:type="pct"/>
            <w:vAlign w:val="center"/>
          </w:tcPr>
          <w:p w14:paraId="3BC34564">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D49DA94">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553440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6654F02">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794B55F">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1EFEFFD0">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37A8A39B">
            <w:pPr>
              <w:spacing w:line="240" w:lineRule="auto"/>
              <w:ind w:firstLine="0" w:firstLineChars="0"/>
              <w:jc w:val="center"/>
              <w:rPr>
                <w:rFonts w:cs="Times New Roman"/>
                <w:sz w:val="21"/>
                <w:szCs w:val="21"/>
              </w:rPr>
            </w:pPr>
            <w:r>
              <w:rPr>
                <w:rFonts w:cs="Times New Roman"/>
                <w:sz w:val="21"/>
                <w:szCs w:val="21"/>
              </w:rPr>
              <w:t>1.5</w:t>
            </w:r>
          </w:p>
        </w:tc>
        <w:tc>
          <w:tcPr>
            <w:tcW w:w="251" w:type="pct"/>
            <w:vAlign w:val="center"/>
          </w:tcPr>
          <w:p w14:paraId="5B99515E">
            <w:pPr>
              <w:spacing w:line="240" w:lineRule="auto"/>
              <w:ind w:firstLine="0" w:firstLineChars="0"/>
              <w:jc w:val="center"/>
              <w:rPr>
                <w:rFonts w:cs="Times New Roman"/>
                <w:sz w:val="21"/>
                <w:szCs w:val="21"/>
              </w:rPr>
            </w:pPr>
            <w:r>
              <w:rPr>
                <w:rFonts w:hint="eastAsia" w:cs="Times New Roman"/>
                <w:sz w:val="21"/>
                <w:szCs w:val="21"/>
              </w:rPr>
              <w:t>达标</w:t>
            </w:r>
          </w:p>
        </w:tc>
      </w:tr>
      <w:tr w14:paraId="3A6738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7DD9F0A2">
            <w:pPr>
              <w:widowControl/>
              <w:spacing w:line="240" w:lineRule="auto"/>
              <w:ind w:firstLine="0" w:firstLineChars="0"/>
              <w:jc w:val="center"/>
              <w:rPr>
                <w:rFonts w:cs="Times New Roman"/>
                <w:kern w:val="0"/>
                <w:sz w:val="21"/>
                <w:szCs w:val="21"/>
              </w:rPr>
            </w:pPr>
            <w:r>
              <w:rPr>
                <w:rFonts w:cs="Times New Roman"/>
                <w:kern w:val="0"/>
                <w:sz w:val="21"/>
                <w:szCs w:val="21"/>
              </w:rPr>
              <w:t>40</w:t>
            </w:r>
          </w:p>
        </w:tc>
        <w:tc>
          <w:tcPr>
            <w:tcW w:w="721" w:type="pct"/>
            <w:vAlign w:val="center"/>
          </w:tcPr>
          <w:p w14:paraId="2CF1642C">
            <w:pPr>
              <w:widowControl/>
              <w:spacing w:line="240" w:lineRule="auto"/>
              <w:ind w:firstLine="0" w:firstLineChars="0"/>
              <w:jc w:val="center"/>
              <w:rPr>
                <w:rFonts w:cs="Times New Roman"/>
                <w:kern w:val="0"/>
                <w:sz w:val="21"/>
                <w:szCs w:val="21"/>
              </w:rPr>
            </w:pPr>
            <w:r>
              <w:rPr>
                <w:rFonts w:hint="eastAsia" w:cs="Times New Roman"/>
                <w:kern w:val="0"/>
                <w:sz w:val="21"/>
                <w:szCs w:val="21"/>
              </w:rPr>
              <w:t>苯并</w:t>
            </w:r>
            <w:r>
              <w:rPr>
                <w:rFonts w:cs="Times New Roman"/>
                <w:kern w:val="0"/>
                <w:sz w:val="21"/>
                <w:szCs w:val="21"/>
              </w:rPr>
              <w:t>[b]</w:t>
            </w:r>
            <w:r>
              <w:rPr>
                <w:rFonts w:hint="eastAsia" w:cs="Times New Roman"/>
                <w:kern w:val="0"/>
                <w:sz w:val="21"/>
                <w:szCs w:val="21"/>
              </w:rPr>
              <w:t>荧蒽</w:t>
            </w:r>
          </w:p>
        </w:tc>
        <w:tc>
          <w:tcPr>
            <w:tcW w:w="461" w:type="pct"/>
            <w:vAlign w:val="center"/>
          </w:tcPr>
          <w:p w14:paraId="439CC66C">
            <w:pPr>
              <w:widowControl/>
              <w:spacing w:line="240" w:lineRule="auto"/>
              <w:ind w:firstLine="0" w:firstLineChars="0"/>
              <w:jc w:val="center"/>
              <w:rPr>
                <w:rFonts w:cs="Times New Roman"/>
                <w:kern w:val="0"/>
                <w:sz w:val="21"/>
                <w:szCs w:val="21"/>
              </w:rPr>
            </w:pPr>
            <w:r>
              <w:rPr>
                <w:rFonts w:cs="Times New Roman"/>
                <w:kern w:val="0"/>
                <w:sz w:val="21"/>
                <w:szCs w:val="21"/>
              </w:rPr>
              <w:t>205-99-2</w:t>
            </w:r>
          </w:p>
        </w:tc>
        <w:tc>
          <w:tcPr>
            <w:tcW w:w="470" w:type="pct"/>
            <w:vAlign w:val="center"/>
          </w:tcPr>
          <w:p w14:paraId="7075004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398F5A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E15726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7D34FC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0A88E7C">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6D6F1B49">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5A76C378">
            <w:pPr>
              <w:spacing w:line="240" w:lineRule="auto"/>
              <w:ind w:firstLine="0" w:firstLineChars="0"/>
              <w:jc w:val="center"/>
              <w:rPr>
                <w:rFonts w:cs="Times New Roman"/>
                <w:sz w:val="21"/>
                <w:szCs w:val="21"/>
              </w:rPr>
            </w:pPr>
            <w:r>
              <w:rPr>
                <w:rFonts w:cs="Times New Roman"/>
                <w:sz w:val="21"/>
                <w:szCs w:val="21"/>
              </w:rPr>
              <w:t>15</w:t>
            </w:r>
          </w:p>
        </w:tc>
        <w:tc>
          <w:tcPr>
            <w:tcW w:w="251" w:type="pct"/>
            <w:vAlign w:val="center"/>
          </w:tcPr>
          <w:p w14:paraId="1935A77D">
            <w:pPr>
              <w:spacing w:line="240" w:lineRule="auto"/>
              <w:ind w:firstLine="0" w:firstLineChars="0"/>
              <w:jc w:val="center"/>
              <w:rPr>
                <w:rFonts w:cs="Times New Roman"/>
                <w:sz w:val="21"/>
                <w:szCs w:val="21"/>
              </w:rPr>
            </w:pPr>
            <w:r>
              <w:rPr>
                <w:rFonts w:hint="eastAsia" w:cs="Times New Roman"/>
                <w:sz w:val="21"/>
                <w:szCs w:val="21"/>
              </w:rPr>
              <w:t>达标</w:t>
            </w:r>
          </w:p>
        </w:tc>
      </w:tr>
      <w:tr w14:paraId="26668D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4F0963F">
            <w:pPr>
              <w:widowControl/>
              <w:spacing w:line="240" w:lineRule="auto"/>
              <w:ind w:firstLine="0" w:firstLineChars="0"/>
              <w:jc w:val="center"/>
              <w:rPr>
                <w:rFonts w:cs="Times New Roman"/>
                <w:kern w:val="0"/>
                <w:sz w:val="21"/>
                <w:szCs w:val="21"/>
              </w:rPr>
            </w:pPr>
            <w:r>
              <w:rPr>
                <w:rFonts w:cs="Times New Roman"/>
                <w:kern w:val="0"/>
                <w:sz w:val="21"/>
                <w:szCs w:val="21"/>
              </w:rPr>
              <w:t>41</w:t>
            </w:r>
          </w:p>
        </w:tc>
        <w:tc>
          <w:tcPr>
            <w:tcW w:w="721" w:type="pct"/>
            <w:vAlign w:val="center"/>
          </w:tcPr>
          <w:p w14:paraId="3CC0A463">
            <w:pPr>
              <w:widowControl/>
              <w:spacing w:line="240" w:lineRule="auto"/>
              <w:ind w:firstLine="0" w:firstLineChars="0"/>
              <w:jc w:val="center"/>
              <w:rPr>
                <w:rFonts w:cs="Times New Roman"/>
                <w:kern w:val="0"/>
                <w:sz w:val="21"/>
                <w:szCs w:val="21"/>
              </w:rPr>
            </w:pPr>
            <w:r>
              <w:rPr>
                <w:rFonts w:hint="eastAsia" w:cs="Times New Roman"/>
                <w:kern w:val="0"/>
                <w:sz w:val="21"/>
                <w:szCs w:val="21"/>
              </w:rPr>
              <w:t>苯并</w:t>
            </w:r>
            <w:r>
              <w:rPr>
                <w:rFonts w:cs="Times New Roman"/>
                <w:kern w:val="0"/>
                <w:sz w:val="21"/>
                <w:szCs w:val="21"/>
              </w:rPr>
              <w:t>[k]</w:t>
            </w:r>
            <w:r>
              <w:rPr>
                <w:rFonts w:hint="eastAsia" w:cs="Times New Roman"/>
                <w:kern w:val="0"/>
                <w:sz w:val="21"/>
                <w:szCs w:val="21"/>
              </w:rPr>
              <w:t>荧蒽</w:t>
            </w:r>
          </w:p>
        </w:tc>
        <w:tc>
          <w:tcPr>
            <w:tcW w:w="461" w:type="pct"/>
            <w:vAlign w:val="center"/>
          </w:tcPr>
          <w:p w14:paraId="456F37F7">
            <w:pPr>
              <w:widowControl/>
              <w:spacing w:line="240" w:lineRule="auto"/>
              <w:ind w:firstLine="0" w:firstLineChars="0"/>
              <w:jc w:val="center"/>
              <w:rPr>
                <w:rFonts w:cs="Times New Roman"/>
                <w:kern w:val="0"/>
                <w:sz w:val="21"/>
                <w:szCs w:val="21"/>
              </w:rPr>
            </w:pPr>
            <w:r>
              <w:rPr>
                <w:rFonts w:cs="Times New Roman"/>
                <w:kern w:val="0"/>
                <w:sz w:val="21"/>
                <w:szCs w:val="21"/>
              </w:rPr>
              <w:t>207-08-9</w:t>
            </w:r>
          </w:p>
        </w:tc>
        <w:tc>
          <w:tcPr>
            <w:tcW w:w="470" w:type="pct"/>
            <w:vAlign w:val="center"/>
          </w:tcPr>
          <w:p w14:paraId="56C2DBF1">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C7C84E5">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002FE9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DED9F94">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00FB780">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45FF6EF5">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73509573">
            <w:pPr>
              <w:spacing w:line="240" w:lineRule="auto"/>
              <w:ind w:firstLine="0" w:firstLineChars="0"/>
              <w:jc w:val="center"/>
              <w:rPr>
                <w:rFonts w:cs="Times New Roman"/>
                <w:sz w:val="21"/>
                <w:szCs w:val="21"/>
              </w:rPr>
            </w:pPr>
            <w:r>
              <w:rPr>
                <w:rFonts w:cs="Times New Roman"/>
                <w:sz w:val="21"/>
                <w:szCs w:val="21"/>
              </w:rPr>
              <w:t>151</w:t>
            </w:r>
          </w:p>
        </w:tc>
        <w:tc>
          <w:tcPr>
            <w:tcW w:w="251" w:type="pct"/>
            <w:vAlign w:val="center"/>
          </w:tcPr>
          <w:p w14:paraId="758264EB">
            <w:pPr>
              <w:spacing w:line="240" w:lineRule="auto"/>
              <w:ind w:firstLine="0" w:firstLineChars="0"/>
              <w:jc w:val="center"/>
              <w:rPr>
                <w:rFonts w:cs="Times New Roman"/>
                <w:sz w:val="21"/>
                <w:szCs w:val="21"/>
              </w:rPr>
            </w:pPr>
            <w:r>
              <w:rPr>
                <w:rFonts w:hint="eastAsia" w:cs="Times New Roman"/>
                <w:sz w:val="21"/>
                <w:szCs w:val="21"/>
              </w:rPr>
              <w:t>达标</w:t>
            </w:r>
          </w:p>
        </w:tc>
      </w:tr>
      <w:tr w14:paraId="0661CB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4744954E">
            <w:pPr>
              <w:widowControl/>
              <w:spacing w:line="240" w:lineRule="auto"/>
              <w:ind w:firstLine="0" w:firstLineChars="0"/>
              <w:jc w:val="center"/>
              <w:rPr>
                <w:rFonts w:cs="Times New Roman"/>
                <w:kern w:val="0"/>
                <w:sz w:val="21"/>
                <w:szCs w:val="21"/>
              </w:rPr>
            </w:pPr>
            <w:r>
              <w:rPr>
                <w:rFonts w:cs="Times New Roman"/>
                <w:kern w:val="0"/>
                <w:sz w:val="21"/>
                <w:szCs w:val="21"/>
              </w:rPr>
              <w:t>42</w:t>
            </w:r>
          </w:p>
        </w:tc>
        <w:tc>
          <w:tcPr>
            <w:tcW w:w="721" w:type="pct"/>
            <w:vAlign w:val="center"/>
          </w:tcPr>
          <w:p w14:paraId="2D20A3C2">
            <w:pPr>
              <w:widowControl/>
              <w:spacing w:line="240" w:lineRule="auto"/>
              <w:ind w:firstLine="0" w:firstLineChars="0"/>
              <w:jc w:val="center"/>
              <w:rPr>
                <w:rFonts w:cs="Times New Roman"/>
                <w:kern w:val="0"/>
                <w:sz w:val="21"/>
                <w:szCs w:val="21"/>
              </w:rPr>
            </w:pPr>
            <w:r>
              <w:rPr>
                <w:rFonts w:hint="eastAsia" w:cs="Times New Roman"/>
                <w:kern w:val="0"/>
                <w:sz w:val="21"/>
                <w:szCs w:val="21"/>
              </w:rPr>
              <w:t>䓛</w:t>
            </w:r>
          </w:p>
        </w:tc>
        <w:tc>
          <w:tcPr>
            <w:tcW w:w="461" w:type="pct"/>
            <w:vAlign w:val="center"/>
          </w:tcPr>
          <w:p w14:paraId="58371BD2">
            <w:pPr>
              <w:widowControl/>
              <w:spacing w:line="240" w:lineRule="auto"/>
              <w:ind w:firstLine="0" w:firstLineChars="0"/>
              <w:jc w:val="center"/>
              <w:rPr>
                <w:rFonts w:cs="Times New Roman"/>
                <w:kern w:val="0"/>
                <w:sz w:val="21"/>
                <w:szCs w:val="21"/>
              </w:rPr>
            </w:pPr>
            <w:r>
              <w:rPr>
                <w:rFonts w:cs="Times New Roman"/>
                <w:kern w:val="0"/>
                <w:sz w:val="21"/>
                <w:szCs w:val="21"/>
              </w:rPr>
              <w:t>218-01-9</w:t>
            </w:r>
          </w:p>
        </w:tc>
        <w:tc>
          <w:tcPr>
            <w:tcW w:w="470" w:type="pct"/>
            <w:vAlign w:val="center"/>
          </w:tcPr>
          <w:p w14:paraId="5533390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91FB76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0CBDFE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85999E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0730059">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66E13BB5">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69BC85BD">
            <w:pPr>
              <w:spacing w:line="240" w:lineRule="auto"/>
              <w:ind w:firstLine="0" w:firstLineChars="0"/>
              <w:jc w:val="center"/>
              <w:rPr>
                <w:rFonts w:cs="Times New Roman"/>
                <w:sz w:val="21"/>
                <w:szCs w:val="21"/>
              </w:rPr>
            </w:pPr>
            <w:r>
              <w:rPr>
                <w:rFonts w:cs="Times New Roman"/>
                <w:sz w:val="21"/>
                <w:szCs w:val="21"/>
              </w:rPr>
              <w:t>1293</w:t>
            </w:r>
          </w:p>
        </w:tc>
        <w:tc>
          <w:tcPr>
            <w:tcW w:w="251" w:type="pct"/>
            <w:vAlign w:val="center"/>
          </w:tcPr>
          <w:p w14:paraId="00638E96">
            <w:pPr>
              <w:spacing w:line="240" w:lineRule="auto"/>
              <w:ind w:firstLine="0" w:firstLineChars="0"/>
              <w:jc w:val="center"/>
              <w:rPr>
                <w:rFonts w:cs="Times New Roman"/>
                <w:sz w:val="21"/>
                <w:szCs w:val="21"/>
              </w:rPr>
            </w:pPr>
            <w:r>
              <w:rPr>
                <w:rFonts w:hint="eastAsia" w:cs="Times New Roman"/>
                <w:sz w:val="21"/>
                <w:szCs w:val="21"/>
              </w:rPr>
              <w:t>达标</w:t>
            </w:r>
          </w:p>
        </w:tc>
      </w:tr>
      <w:tr w14:paraId="2D97A5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70CFE572">
            <w:pPr>
              <w:widowControl/>
              <w:spacing w:line="240" w:lineRule="auto"/>
              <w:ind w:firstLine="0" w:firstLineChars="0"/>
              <w:jc w:val="center"/>
              <w:rPr>
                <w:rFonts w:cs="Times New Roman"/>
                <w:kern w:val="0"/>
                <w:sz w:val="21"/>
                <w:szCs w:val="21"/>
              </w:rPr>
            </w:pPr>
            <w:r>
              <w:rPr>
                <w:rFonts w:cs="Times New Roman"/>
                <w:kern w:val="0"/>
                <w:sz w:val="21"/>
                <w:szCs w:val="21"/>
              </w:rPr>
              <w:t>43</w:t>
            </w:r>
          </w:p>
        </w:tc>
        <w:tc>
          <w:tcPr>
            <w:tcW w:w="721" w:type="pct"/>
            <w:vAlign w:val="center"/>
          </w:tcPr>
          <w:p w14:paraId="72A22BB3">
            <w:pPr>
              <w:widowControl/>
              <w:spacing w:line="240" w:lineRule="auto"/>
              <w:ind w:firstLine="0" w:firstLineChars="0"/>
              <w:jc w:val="center"/>
              <w:rPr>
                <w:rFonts w:cs="Times New Roman"/>
                <w:kern w:val="0"/>
                <w:sz w:val="21"/>
                <w:szCs w:val="21"/>
              </w:rPr>
            </w:pPr>
            <w:r>
              <w:rPr>
                <w:rFonts w:hint="eastAsia" w:cs="Times New Roman"/>
                <w:kern w:val="0"/>
                <w:sz w:val="21"/>
                <w:szCs w:val="21"/>
              </w:rPr>
              <w:t>二苯并</w:t>
            </w:r>
            <w:r>
              <w:rPr>
                <w:rFonts w:cs="Times New Roman"/>
                <w:kern w:val="0"/>
                <w:sz w:val="21"/>
                <w:szCs w:val="21"/>
              </w:rPr>
              <w:t>[a</w:t>
            </w:r>
            <w:r>
              <w:rPr>
                <w:rFonts w:hint="eastAsia" w:cs="Times New Roman"/>
                <w:kern w:val="0"/>
                <w:sz w:val="21"/>
                <w:szCs w:val="21"/>
              </w:rPr>
              <w:t>，</w:t>
            </w:r>
            <w:r>
              <w:rPr>
                <w:rFonts w:cs="Times New Roman"/>
                <w:kern w:val="0"/>
                <w:sz w:val="21"/>
                <w:szCs w:val="21"/>
              </w:rPr>
              <w:t>h]</w:t>
            </w:r>
            <w:r>
              <w:rPr>
                <w:rFonts w:hint="eastAsia" w:cs="Times New Roman"/>
                <w:kern w:val="0"/>
                <w:sz w:val="21"/>
                <w:szCs w:val="21"/>
              </w:rPr>
              <w:t>蒽</w:t>
            </w:r>
          </w:p>
        </w:tc>
        <w:tc>
          <w:tcPr>
            <w:tcW w:w="461" w:type="pct"/>
            <w:vAlign w:val="center"/>
          </w:tcPr>
          <w:p w14:paraId="527371A1">
            <w:pPr>
              <w:widowControl/>
              <w:spacing w:line="240" w:lineRule="auto"/>
              <w:ind w:firstLine="0" w:firstLineChars="0"/>
              <w:jc w:val="center"/>
              <w:rPr>
                <w:rFonts w:cs="Times New Roman"/>
                <w:kern w:val="0"/>
                <w:sz w:val="21"/>
                <w:szCs w:val="21"/>
              </w:rPr>
            </w:pPr>
            <w:r>
              <w:rPr>
                <w:rFonts w:cs="Times New Roman"/>
                <w:kern w:val="0"/>
                <w:sz w:val="21"/>
                <w:szCs w:val="21"/>
              </w:rPr>
              <w:t>53-70-3</w:t>
            </w:r>
          </w:p>
        </w:tc>
        <w:tc>
          <w:tcPr>
            <w:tcW w:w="470" w:type="pct"/>
            <w:vAlign w:val="center"/>
          </w:tcPr>
          <w:p w14:paraId="31DB143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CA35CF2">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62317705">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EAFE31E">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CA8C9BE">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525061AD">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70C01A03">
            <w:pPr>
              <w:spacing w:line="240" w:lineRule="auto"/>
              <w:ind w:firstLine="0" w:firstLineChars="0"/>
              <w:jc w:val="center"/>
              <w:rPr>
                <w:rFonts w:cs="Times New Roman"/>
                <w:sz w:val="21"/>
                <w:szCs w:val="21"/>
              </w:rPr>
            </w:pPr>
            <w:r>
              <w:rPr>
                <w:rFonts w:cs="Times New Roman"/>
                <w:sz w:val="21"/>
                <w:szCs w:val="21"/>
              </w:rPr>
              <w:t>1.5</w:t>
            </w:r>
          </w:p>
        </w:tc>
        <w:tc>
          <w:tcPr>
            <w:tcW w:w="251" w:type="pct"/>
            <w:vAlign w:val="center"/>
          </w:tcPr>
          <w:p w14:paraId="14B2E213">
            <w:pPr>
              <w:spacing w:line="240" w:lineRule="auto"/>
              <w:ind w:firstLine="0" w:firstLineChars="0"/>
              <w:jc w:val="center"/>
              <w:rPr>
                <w:rFonts w:cs="Times New Roman"/>
                <w:sz w:val="21"/>
                <w:szCs w:val="21"/>
              </w:rPr>
            </w:pPr>
            <w:r>
              <w:rPr>
                <w:rFonts w:hint="eastAsia" w:cs="Times New Roman"/>
                <w:sz w:val="21"/>
                <w:szCs w:val="21"/>
              </w:rPr>
              <w:t>达标</w:t>
            </w:r>
          </w:p>
        </w:tc>
      </w:tr>
      <w:tr w14:paraId="322069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DB42A77">
            <w:pPr>
              <w:widowControl/>
              <w:spacing w:line="240" w:lineRule="auto"/>
              <w:ind w:firstLine="0" w:firstLineChars="0"/>
              <w:jc w:val="center"/>
              <w:rPr>
                <w:rFonts w:cs="Times New Roman"/>
                <w:kern w:val="0"/>
                <w:sz w:val="21"/>
                <w:szCs w:val="21"/>
              </w:rPr>
            </w:pPr>
            <w:r>
              <w:rPr>
                <w:rFonts w:cs="Times New Roman"/>
                <w:kern w:val="0"/>
                <w:sz w:val="21"/>
                <w:szCs w:val="21"/>
              </w:rPr>
              <w:t>44</w:t>
            </w:r>
          </w:p>
        </w:tc>
        <w:tc>
          <w:tcPr>
            <w:tcW w:w="721" w:type="pct"/>
            <w:vAlign w:val="center"/>
          </w:tcPr>
          <w:p w14:paraId="73CDD558">
            <w:pPr>
              <w:widowControl/>
              <w:spacing w:line="240" w:lineRule="auto"/>
              <w:ind w:firstLine="0" w:firstLineChars="0"/>
              <w:jc w:val="center"/>
              <w:rPr>
                <w:rFonts w:cs="Times New Roman"/>
                <w:kern w:val="0"/>
                <w:sz w:val="21"/>
                <w:szCs w:val="21"/>
              </w:rPr>
            </w:pPr>
            <w:r>
              <w:rPr>
                <w:rFonts w:hint="eastAsia" w:cs="Times New Roman"/>
                <w:kern w:val="0"/>
                <w:sz w:val="21"/>
                <w:szCs w:val="21"/>
              </w:rPr>
              <w:t>茚并</w:t>
            </w:r>
            <w:r>
              <w:rPr>
                <w:rFonts w:cs="Times New Roman"/>
                <w:kern w:val="0"/>
                <w:sz w:val="21"/>
                <w:szCs w:val="21"/>
              </w:rPr>
              <w:t>[1,2,3-cd]</w:t>
            </w:r>
            <w:r>
              <w:rPr>
                <w:rFonts w:hint="eastAsia" w:cs="Times New Roman"/>
                <w:kern w:val="0"/>
                <w:sz w:val="21"/>
                <w:szCs w:val="21"/>
              </w:rPr>
              <w:t>芘</w:t>
            </w:r>
          </w:p>
        </w:tc>
        <w:tc>
          <w:tcPr>
            <w:tcW w:w="461" w:type="pct"/>
            <w:vAlign w:val="center"/>
          </w:tcPr>
          <w:p w14:paraId="3A7E8110">
            <w:pPr>
              <w:widowControl/>
              <w:spacing w:line="240" w:lineRule="auto"/>
              <w:ind w:firstLine="0" w:firstLineChars="0"/>
              <w:jc w:val="center"/>
              <w:rPr>
                <w:rFonts w:cs="Times New Roman"/>
                <w:kern w:val="0"/>
                <w:sz w:val="21"/>
                <w:szCs w:val="21"/>
              </w:rPr>
            </w:pPr>
            <w:r>
              <w:rPr>
                <w:rFonts w:cs="Times New Roman"/>
                <w:kern w:val="0"/>
                <w:sz w:val="21"/>
                <w:szCs w:val="21"/>
              </w:rPr>
              <w:t>193-39-5</w:t>
            </w:r>
          </w:p>
        </w:tc>
        <w:tc>
          <w:tcPr>
            <w:tcW w:w="470" w:type="pct"/>
            <w:vAlign w:val="center"/>
          </w:tcPr>
          <w:p w14:paraId="222A127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31315EE">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E3D15D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187CA74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012A79DC">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55919455">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4CF46F8C">
            <w:pPr>
              <w:spacing w:line="240" w:lineRule="auto"/>
              <w:ind w:firstLine="0" w:firstLineChars="0"/>
              <w:jc w:val="center"/>
              <w:rPr>
                <w:rFonts w:cs="Times New Roman"/>
                <w:sz w:val="21"/>
                <w:szCs w:val="21"/>
              </w:rPr>
            </w:pPr>
            <w:r>
              <w:rPr>
                <w:rFonts w:cs="Times New Roman"/>
                <w:sz w:val="21"/>
                <w:szCs w:val="21"/>
              </w:rPr>
              <w:t>15</w:t>
            </w:r>
          </w:p>
        </w:tc>
        <w:tc>
          <w:tcPr>
            <w:tcW w:w="251" w:type="pct"/>
            <w:vAlign w:val="center"/>
          </w:tcPr>
          <w:p w14:paraId="58683E07">
            <w:pPr>
              <w:spacing w:line="240" w:lineRule="auto"/>
              <w:ind w:firstLine="0" w:firstLineChars="0"/>
              <w:jc w:val="center"/>
              <w:rPr>
                <w:rFonts w:cs="Times New Roman"/>
                <w:sz w:val="21"/>
                <w:szCs w:val="21"/>
              </w:rPr>
            </w:pPr>
            <w:r>
              <w:rPr>
                <w:rFonts w:hint="eastAsia" w:cs="Times New Roman"/>
                <w:sz w:val="21"/>
                <w:szCs w:val="21"/>
              </w:rPr>
              <w:t>达标</w:t>
            </w:r>
          </w:p>
        </w:tc>
      </w:tr>
      <w:tr w14:paraId="7417FE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06F22D6">
            <w:pPr>
              <w:widowControl/>
              <w:spacing w:line="240" w:lineRule="auto"/>
              <w:ind w:firstLine="0" w:firstLineChars="0"/>
              <w:jc w:val="center"/>
              <w:rPr>
                <w:rFonts w:cs="Times New Roman"/>
                <w:kern w:val="0"/>
                <w:sz w:val="21"/>
                <w:szCs w:val="21"/>
              </w:rPr>
            </w:pPr>
            <w:r>
              <w:rPr>
                <w:rFonts w:cs="Times New Roman"/>
                <w:kern w:val="0"/>
                <w:sz w:val="21"/>
                <w:szCs w:val="21"/>
              </w:rPr>
              <w:t>45</w:t>
            </w:r>
          </w:p>
        </w:tc>
        <w:tc>
          <w:tcPr>
            <w:tcW w:w="721" w:type="pct"/>
            <w:vAlign w:val="center"/>
          </w:tcPr>
          <w:p w14:paraId="62983685">
            <w:pPr>
              <w:widowControl/>
              <w:spacing w:line="240" w:lineRule="auto"/>
              <w:ind w:firstLine="0" w:firstLineChars="0"/>
              <w:jc w:val="center"/>
              <w:rPr>
                <w:rFonts w:cs="Times New Roman"/>
                <w:kern w:val="0"/>
                <w:sz w:val="21"/>
                <w:szCs w:val="21"/>
              </w:rPr>
            </w:pPr>
            <w:r>
              <w:rPr>
                <w:rFonts w:hint="eastAsia" w:cs="Times New Roman"/>
                <w:kern w:val="0"/>
                <w:sz w:val="21"/>
                <w:szCs w:val="21"/>
              </w:rPr>
              <w:t>萘</w:t>
            </w:r>
          </w:p>
        </w:tc>
        <w:tc>
          <w:tcPr>
            <w:tcW w:w="461" w:type="pct"/>
            <w:vAlign w:val="center"/>
          </w:tcPr>
          <w:p w14:paraId="047070CD">
            <w:pPr>
              <w:widowControl/>
              <w:spacing w:line="240" w:lineRule="auto"/>
              <w:ind w:firstLine="0" w:firstLineChars="0"/>
              <w:jc w:val="center"/>
              <w:rPr>
                <w:rFonts w:cs="Times New Roman"/>
                <w:kern w:val="0"/>
                <w:sz w:val="21"/>
                <w:szCs w:val="21"/>
              </w:rPr>
            </w:pPr>
            <w:r>
              <w:rPr>
                <w:rFonts w:cs="Times New Roman"/>
                <w:kern w:val="0"/>
                <w:sz w:val="21"/>
                <w:szCs w:val="21"/>
              </w:rPr>
              <w:t>91-20-3</w:t>
            </w:r>
          </w:p>
        </w:tc>
        <w:tc>
          <w:tcPr>
            <w:tcW w:w="470" w:type="pct"/>
            <w:vAlign w:val="center"/>
          </w:tcPr>
          <w:p w14:paraId="68A40BD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786706C0">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237AF72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3F6943E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445EC47E">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02A4EBDF">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0BF9722D">
            <w:pPr>
              <w:spacing w:line="240" w:lineRule="auto"/>
              <w:ind w:firstLine="0" w:firstLineChars="0"/>
              <w:jc w:val="center"/>
              <w:rPr>
                <w:rFonts w:cs="Times New Roman"/>
                <w:sz w:val="21"/>
                <w:szCs w:val="21"/>
              </w:rPr>
            </w:pPr>
            <w:r>
              <w:rPr>
                <w:rFonts w:cs="Times New Roman"/>
                <w:sz w:val="21"/>
                <w:szCs w:val="21"/>
              </w:rPr>
              <w:t>70</w:t>
            </w:r>
          </w:p>
        </w:tc>
        <w:tc>
          <w:tcPr>
            <w:tcW w:w="251" w:type="pct"/>
            <w:vAlign w:val="center"/>
          </w:tcPr>
          <w:p w14:paraId="7B9DE99C">
            <w:pPr>
              <w:spacing w:line="240" w:lineRule="auto"/>
              <w:ind w:firstLine="0" w:firstLineChars="0"/>
              <w:jc w:val="center"/>
              <w:rPr>
                <w:rFonts w:cs="Times New Roman"/>
                <w:sz w:val="21"/>
                <w:szCs w:val="21"/>
              </w:rPr>
            </w:pPr>
            <w:r>
              <w:rPr>
                <w:rFonts w:hint="eastAsia" w:cs="Times New Roman"/>
                <w:sz w:val="21"/>
                <w:szCs w:val="21"/>
              </w:rPr>
              <w:t>达标</w:t>
            </w:r>
          </w:p>
        </w:tc>
      </w:tr>
    </w:tbl>
    <w:p w14:paraId="578C24C8">
      <w:pPr>
        <w:spacing w:before="120" w:beforeLines="50" w:line="240" w:lineRule="auto"/>
        <w:ind w:firstLine="0" w:firstLineChars="0"/>
        <w:jc w:val="center"/>
        <w:rPr>
          <w:rFonts w:cs="Times New Roman"/>
          <w:b/>
          <w:bCs/>
          <w:szCs w:val="24"/>
        </w:rPr>
      </w:pPr>
      <w:r>
        <w:rPr>
          <w:rFonts w:hint="eastAsia" w:cs="Times New Roman"/>
          <w:b/>
          <w:bCs/>
          <w:szCs w:val="24"/>
        </w:rPr>
        <w:t>表4.4-18</w:t>
      </w:r>
      <w:r>
        <w:rPr>
          <w:rFonts w:cs="Times New Roman"/>
          <w:b/>
          <w:bCs/>
          <w:szCs w:val="24"/>
        </w:rPr>
        <w:t xml:space="preserve"> </w:t>
      </w:r>
      <w:r>
        <w:rPr>
          <w:rFonts w:hint="eastAsia" w:cs="Times New Roman"/>
          <w:b/>
          <w:bCs/>
          <w:szCs w:val="24"/>
        </w:rPr>
        <w:t>项目场地内TR3、TR4土壤环境质量监测结果</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
        <w:gridCol w:w="806"/>
        <w:gridCol w:w="914"/>
        <w:gridCol w:w="877"/>
        <w:gridCol w:w="989"/>
        <w:gridCol w:w="877"/>
        <w:gridCol w:w="877"/>
        <w:gridCol w:w="989"/>
        <w:gridCol w:w="877"/>
        <w:gridCol w:w="590"/>
        <w:gridCol w:w="366"/>
      </w:tblGrid>
      <w:tr w14:paraId="1D491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restart"/>
            <w:tcBorders>
              <w:left w:val="nil"/>
            </w:tcBorders>
            <w:vAlign w:val="center"/>
          </w:tcPr>
          <w:p w14:paraId="366BFF39">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序号</w:t>
            </w:r>
          </w:p>
        </w:tc>
        <w:tc>
          <w:tcPr>
            <w:tcW w:w="721" w:type="pct"/>
            <w:vMerge w:val="restart"/>
            <w:vAlign w:val="center"/>
          </w:tcPr>
          <w:p w14:paraId="682AFD21">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污染物项目</w:t>
            </w:r>
          </w:p>
        </w:tc>
        <w:tc>
          <w:tcPr>
            <w:tcW w:w="461" w:type="pct"/>
            <w:vMerge w:val="restart"/>
            <w:vAlign w:val="center"/>
          </w:tcPr>
          <w:p w14:paraId="543DC982">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C</w:t>
            </w:r>
            <w:r>
              <w:rPr>
                <w:rFonts w:cs="Times New Roman"/>
                <w:b/>
                <w:bCs/>
                <w:kern w:val="0"/>
                <w:sz w:val="21"/>
                <w:szCs w:val="21"/>
              </w:rPr>
              <w:t>AS</w:t>
            </w:r>
            <w:r>
              <w:rPr>
                <w:rFonts w:hint="eastAsia" w:cs="Times New Roman"/>
                <w:b/>
                <w:bCs/>
                <w:kern w:val="0"/>
                <w:sz w:val="21"/>
                <w:szCs w:val="21"/>
              </w:rPr>
              <w:t>编号</w:t>
            </w:r>
          </w:p>
        </w:tc>
        <w:tc>
          <w:tcPr>
            <w:tcW w:w="2821" w:type="pct"/>
            <w:gridSpan w:val="6"/>
            <w:vAlign w:val="center"/>
          </w:tcPr>
          <w:p w14:paraId="616856FE">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监测结果</w:t>
            </w:r>
          </w:p>
        </w:tc>
        <w:tc>
          <w:tcPr>
            <w:tcW w:w="495" w:type="pct"/>
            <w:vMerge w:val="restart"/>
            <w:vAlign w:val="center"/>
          </w:tcPr>
          <w:p w14:paraId="7ADE3526">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评价标准</w:t>
            </w:r>
          </w:p>
          <w:p w14:paraId="39A9DBB4">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（第二类用地筛选值）</w:t>
            </w:r>
          </w:p>
        </w:tc>
        <w:tc>
          <w:tcPr>
            <w:tcW w:w="251" w:type="pct"/>
            <w:vMerge w:val="restart"/>
            <w:tcBorders>
              <w:right w:val="nil"/>
            </w:tcBorders>
            <w:vAlign w:val="center"/>
          </w:tcPr>
          <w:p w14:paraId="445E6D9E">
            <w:pPr>
              <w:spacing w:line="240" w:lineRule="auto"/>
              <w:ind w:firstLine="0" w:firstLineChars="0"/>
              <w:jc w:val="center"/>
              <w:rPr>
                <w:rFonts w:cs="Times New Roman"/>
                <w:b/>
                <w:bCs/>
                <w:sz w:val="21"/>
                <w:szCs w:val="21"/>
              </w:rPr>
            </w:pPr>
            <w:r>
              <w:rPr>
                <w:rFonts w:hint="eastAsia" w:cs="Times New Roman"/>
                <w:b/>
                <w:bCs/>
                <w:sz w:val="21"/>
                <w:szCs w:val="21"/>
              </w:rPr>
              <w:t>达标</w:t>
            </w:r>
          </w:p>
          <w:p w14:paraId="75A02F72">
            <w:pPr>
              <w:spacing w:line="240" w:lineRule="auto"/>
              <w:ind w:firstLine="0" w:firstLineChars="0"/>
              <w:jc w:val="center"/>
              <w:rPr>
                <w:rFonts w:cs="Times New Roman"/>
                <w:b/>
                <w:bCs/>
                <w:sz w:val="21"/>
                <w:szCs w:val="21"/>
              </w:rPr>
            </w:pPr>
            <w:r>
              <w:rPr>
                <w:rFonts w:hint="eastAsia" w:cs="Times New Roman"/>
                <w:b/>
                <w:bCs/>
                <w:sz w:val="21"/>
                <w:szCs w:val="21"/>
              </w:rPr>
              <w:t>情况</w:t>
            </w:r>
          </w:p>
        </w:tc>
      </w:tr>
      <w:tr w14:paraId="64A3E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tcBorders>
              <w:left w:val="nil"/>
            </w:tcBorders>
            <w:vAlign w:val="center"/>
          </w:tcPr>
          <w:p w14:paraId="18B3DDA7">
            <w:pPr>
              <w:widowControl/>
              <w:spacing w:line="240" w:lineRule="auto"/>
              <w:ind w:firstLine="0" w:firstLineChars="0"/>
              <w:jc w:val="center"/>
              <w:rPr>
                <w:rFonts w:cs="Times New Roman"/>
                <w:b/>
                <w:bCs/>
                <w:kern w:val="0"/>
                <w:sz w:val="21"/>
                <w:szCs w:val="21"/>
              </w:rPr>
            </w:pPr>
          </w:p>
        </w:tc>
        <w:tc>
          <w:tcPr>
            <w:tcW w:w="721" w:type="pct"/>
            <w:vMerge w:val="continue"/>
            <w:vAlign w:val="center"/>
          </w:tcPr>
          <w:p w14:paraId="474AFDD3">
            <w:pPr>
              <w:widowControl/>
              <w:spacing w:line="240" w:lineRule="auto"/>
              <w:ind w:firstLine="0" w:firstLineChars="0"/>
              <w:jc w:val="center"/>
              <w:rPr>
                <w:rFonts w:cs="Times New Roman"/>
                <w:b/>
                <w:bCs/>
                <w:kern w:val="0"/>
                <w:sz w:val="21"/>
                <w:szCs w:val="21"/>
              </w:rPr>
            </w:pPr>
          </w:p>
        </w:tc>
        <w:tc>
          <w:tcPr>
            <w:tcW w:w="461" w:type="pct"/>
            <w:vMerge w:val="continue"/>
            <w:vAlign w:val="center"/>
          </w:tcPr>
          <w:p w14:paraId="22F85D4C">
            <w:pPr>
              <w:widowControl/>
              <w:spacing w:line="240" w:lineRule="auto"/>
              <w:ind w:firstLine="0" w:firstLineChars="0"/>
              <w:jc w:val="center"/>
              <w:rPr>
                <w:rFonts w:cs="Times New Roman"/>
                <w:b/>
                <w:bCs/>
                <w:kern w:val="0"/>
                <w:sz w:val="21"/>
                <w:szCs w:val="21"/>
              </w:rPr>
            </w:pPr>
          </w:p>
        </w:tc>
        <w:tc>
          <w:tcPr>
            <w:tcW w:w="470" w:type="pct"/>
            <w:vAlign w:val="center"/>
          </w:tcPr>
          <w:p w14:paraId="2D1FF7B0">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TR3</w:t>
            </w:r>
          </w:p>
          <w:p w14:paraId="3E6DF4ED">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0m-0.5m</w:t>
            </w:r>
            <w:r>
              <w:rPr>
                <w:rFonts w:cs="Times New Roman"/>
                <w:b/>
                <w:bCs/>
                <w:kern w:val="0"/>
                <w:sz w:val="21"/>
                <w:szCs w:val="21"/>
              </w:rPr>
              <w:t>)</w:t>
            </w:r>
          </w:p>
        </w:tc>
        <w:tc>
          <w:tcPr>
            <w:tcW w:w="470" w:type="pct"/>
            <w:vAlign w:val="center"/>
          </w:tcPr>
          <w:p w14:paraId="1B5A07B5">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TR3</w:t>
            </w:r>
          </w:p>
          <w:p w14:paraId="67E67BE6">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0.5m-1.5m</w:t>
            </w:r>
            <w:r>
              <w:rPr>
                <w:rFonts w:cs="Times New Roman"/>
                <w:b/>
                <w:bCs/>
                <w:kern w:val="0"/>
                <w:sz w:val="21"/>
                <w:szCs w:val="21"/>
              </w:rPr>
              <w:t>)</w:t>
            </w:r>
          </w:p>
        </w:tc>
        <w:tc>
          <w:tcPr>
            <w:tcW w:w="470" w:type="pct"/>
            <w:vAlign w:val="center"/>
          </w:tcPr>
          <w:p w14:paraId="0736E4E8">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TR3</w:t>
            </w:r>
            <w:r>
              <w:rPr>
                <w:rFonts w:cs="Times New Roman"/>
                <w:b/>
                <w:bCs/>
                <w:kern w:val="0"/>
                <w:sz w:val="21"/>
                <w:szCs w:val="21"/>
              </w:rPr>
              <w:t xml:space="preserve"> (</w:t>
            </w:r>
            <w:r>
              <w:rPr>
                <w:rFonts w:hint="eastAsia" w:cs="Times New Roman"/>
                <w:b/>
                <w:bCs/>
                <w:kern w:val="0"/>
                <w:sz w:val="21"/>
                <w:szCs w:val="21"/>
              </w:rPr>
              <w:t>1.5m-3m</w:t>
            </w:r>
            <w:r>
              <w:rPr>
                <w:rFonts w:cs="Times New Roman"/>
                <w:b/>
                <w:bCs/>
                <w:kern w:val="0"/>
                <w:sz w:val="21"/>
                <w:szCs w:val="21"/>
              </w:rPr>
              <w:t>)</w:t>
            </w:r>
          </w:p>
        </w:tc>
        <w:tc>
          <w:tcPr>
            <w:tcW w:w="470" w:type="pct"/>
            <w:vAlign w:val="center"/>
          </w:tcPr>
          <w:p w14:paraId="5FF83B0C">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TR4</w:t>
            </w:r>
          </w:p>
          <w:p w14:paraId="50FE1FFD">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0m-0.5m</w:t>
            </w:r>
            <w:r>
              <w:rPr>
                <w:rFonts w:cs="Times New Roman"/>
                <w:b/>
                <w:bCs/>
                <w:kern w:val="0"/>
                <w:sz w:val="21"/>
                <w:szCs w:val="21"/>
              </w:rPr>
              <w:t>)</w:t>
            </w:r>
          </w:p>
        </w:tc>
        <w:tc>
          <w:tcPr>
            <w:tcW w:w="470" w:type="pct"/>
            <w:vAlign w:val="center"/>
          </w:tcPr>
          <w:p w14:paraId="401E0494">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TR4</w:t>
            </w:r>
          </w:p>
          <w:p w14:paraId="5AA2692C">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0.5m-1.5m</w:t>
            </w:r>
            <w:r>
              <w:rPr>
                <w:rFonts w:cs="Times New Roman"/>
                <w:b/>
                <w:bCs/>
                <w:kern w:val="0"/>
                <w:sz w:val="21"/>
                <w:szCs w:val="21"/>
              </w:rPr>
              <w:t>)</w:t>
            </w:r>
          </w:p>
        </w:tc>
        <w:tc>
          <w:tcPr>
            <w:tcW w:w="471" w:type="pct"/>
            <w:vAlign w:val="center"/>
          </w:tcPr>
          <w:p w14:paraId="23A99ACC">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TR4</w:t>
            </w:r>
          </w:p>
          <w:p w14:paraId="3CA44778">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1.5m-3m</w:t>
            </w:r>
            <w:r>
              <w:rPr>
                <w:rFonts w:cs="Times New Roman"/>
                <w:b/>
                <w:bCs/>
                <w:kern w:val="0"/>
                <w:sz w:val="21"/>
                <w:szCs w:val="21"/>
              </w:rPr>
              <w:t>)</w:t>
            </w:r>
          </w:p>
        </w:tc>
        <w:tc>
          <w:tcPr>
            <w:tcW w:w="495" w:type="pct"/>
            <w:vMerge w:val="continue"/>
            <w:vAlign w:val="center"/>
          </w:tcPr>
          <w:p w14:paraId="0556ABC0">
            <w:pPr>
              <w:widowControl/>
              <w:spacing w:line="240" w:lineRule="auto"/>
              <w:ind w:firstLine="0" w:firstLineChars="0"/>
              <w:jc w:val="center"/>
              <w:rPr>
                <w:rFonts w:cs="Times New Roman"/>
                <w:b/>
                <w:bCs/>
                <w:kern w:val="0"/>
                <w:sz w:val="21"/>
                <w:szCs w:val="21"/>
              </w:rPr>
            </w:pPr>
          </w:p>
        </w:tc>
        <w:tc>
          <w:tcPr>
            <w:tcW w:w="251" w:type="pct"/>
            <w:vMerge w:val="continue"/>
            <w:tcBorders>
              <w:right w:val="nil"/>
            </w:tcBorders>
            <w:vAlign w:val="center"/>
          </w:tcPr>
          <w:p w14:paraId="6907A077">
            <w:pPr>
              <w:spacing w:line="240" w:lineRule="auto"/>
              <w:ind w:firstLine="0" w:firstLineChars="0"/>
              <w:jc w:val="center"/>
              <w:rPr>
                <w:rFonts w:cs="Times New Roman"/>
                <w:b/>
                <w:bCs/>
                <w:sz w:val="21"/>
                <w:szCs w:val="21"/>
              </w:rPr>
            </w:pPr>
          </w:p>
        </w:tc>
      </w:tr>
      <w:tr w14:paraId="6CD8F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1"/>
            <w:tcBorders>
              <w:left w:val="nil"/>
              <w:right w:val="nil"/>
            </w:tcBorders>
            <w:vAlign w:val="center"/>
          </w:tcPr>
          <w:p w14:paraId="7FB56462">
            <w:pPr>
              <w:widowControl/>
              <w:spacing w:line="240" w:lineRule="auto"/>
              <w:ind w:firstLine="0" w:firstLineChars="0"/>
              <w:jc w:val="center"/>
              <w:rPr>
                <w:rFonts w:cs="Times New Roman"/>
                <w:kern w:val="0"/>
                <w:sz w:val="21"/>
                <w:szCs w:val="21"/>
              </w:rPr>
            </w:pPr>
            <w:r>
              <w:rPr>
                <w:rFonts w:hint="eastAsia" w:cs="Times New Roman"/>
                <w:kern w:val="0"/>
                <w:sz w:val="21"/>
                <w:szCs w:val="21"/>
              </w:rPr>
              <w:t>重金属元素（单位：</w:t>
            </w:r>
            <w:r>
              <w:rPr>
                <w:rFonts w:cs="Times New Roman"/>
                <w:kern w:val="0"/>
                <w:sz w:val="21"/>
                <w:szCs w:val="21"/>
              </w:rPr>
              <w:t>mg/kg</w:t>
            </w:r>
            <w:r>
              <w:rPr>
                <w:rFonts w:hint="eastAsia" w:cs="Times New Roman"/>
                <w:kern w:val="0"/>
                <w:sz w:val="21"/>
                <w:szCs w:val="21"/>
              </w:rPr>
              <w:t>）</w:t>
            </w:r>
          </w:p>
        </w:tc>
      </w:tr>
      <w:tr w14:paraId="6F6F5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left w:val="nil"/>
            </w:tcBorders>
            <w:vAlign w:val="center"/>
          </w:tcPr>
          <w:p w14:paraId="5B2376CA">
            <w:pPr>
              <w:widowControl/>
              <w:spacing w:line="240" w:lineRule="auto"/>
              <w:ind w:firstLine="0" w:firstLineChars="0"/>
              <w:jc w:val="center"/>
              <w:rPr>
                <w:rFonts w:cs="Times New Roman"/>
                <w:kern w:val="0"/>
                <w:sz w:val="21"/>
                <w:szCs w:val="21"/>
              </w:rPr>
            </w:pPr>
            <w:r>
              <w:rPr>
                <w:rFonts w:cs="Times New Roman"/>
                <w:kern w:val="0"/>
                <w:sz w:val="21"/>
                <w:szCs w:val="21"/>
              </w:rPr>
              <w:t>1</w:t>
            </w:r>
          </w:p>
        </w:tc>
        <w:tc>
          <w:tcPr>
            <w:tcW w:w="721" w:type="pct"/>
            <w:vAlign w:val="center"/>
          </w:tcPr>
          <w:p w14:paraId="7A90FA39">
            <w:pPr>
              <w:widowControl/>
              <w:spacing w:line="240" w:lineRule="auto"/>
              <w:ind w:firstLine="0" w:firstLineChars="0"/>
              <w:jc w:val="center"/>
              <w:rPr>
                <w:rFonts w:cs="Times New Roman"/>
                <w:kern w:val="0"/>
                <w:sz w:val="21"/>
                <w:szCs w:val="21"/>
              </w:rPr>
            </w:pPr>
            <w:r>
              <w:rPr>
                <w:rFonts w:hint="eastAsia" w:cs="Times New Roman"/>
                <w:kern w:val="0"/>
                <w:sz w:val="21"/>
                <w:szCs w:val="21"/>
              </w:rPr>
              <w:t>砷</w:t>
            </w:r>
          </w:p>
        </w:tc>
        <w:tc>
          <w:tcPr>
            <w:tcW w:w="461" w:type="pct"/>
            <w:vAlign w:val="center"/>
          </w:tcPr>
          <w:p w14:paraId="26DC4A8E">
            <w:pPr>
              <w:widowControl/>
              <w:spacing w:line="240" w:lineRule="auto"/>
              <w:ind w:firstLine="0" w:firstLineChars="0"/>
              <w:jc w:val="center"/>
              <w:rPr>
                <w:rFonts w:cs="Times New Roman"/>
                <w:kern w:val="0"/>
                <w:sz w:val="21"/>
                <w:szCs w:val="21"/>
              </w:rPr>
            </w:pPr>
            <w:r>
              <w:rPr>
                <w:rFonts w:cs="Times New Roman"/>
                <w:kern w:val="0"/>
                <w:sz w:val="21"/>
                <w:szCs w:val="21"/>
              </w:rPr>
              <w:t>7440-38-2</w:t>
            </w:r>
          </w:p>
        </w:tc>
        <w:tc>
          <w:tcPr>
            <w:tcW w:w="470" w:type="pct"/>
            <w:vAlign w:val="center"/>
          </w:tcPr>
          <w:p w14:paraId="6C24E826">
            <w:pPr>
              <w:widowControl/>
              <w:spacing w:line="240" w:lineRule="auto"/>
              <w:ind w:firstLine="0" w:firstLineChars="0"/>
              <w:jc w:val="center"/>
              <w:rPr>
                <w:rFonts w:cs="Times New Roman"/>
                <w:kern w:val="0"/>
                <w:sz w:val="21"/>
                <w:szCs w:val="21"/>
              </w:rPr>
            </w:pPr>
            <w:r>
              <w:rPr>
                <w:rFonts w:hint="eastAsia" w:cs="Times New Roman"/>
                <w:spacing w:val="-5"/>
                <w:kern w:val="0"/>
                <w:sz w:val="21"/>
                <w:szCs w:val="21"/>
              </w:rPr>
              <w:t>8.15</w:t>
            </w:r>
          </w:p>
        </w:tc>
        <w:tc>
          <w:tcPr>
            <w:tcW w:w="470" w:type="pct"/>
            <w:vAlign w:val="center"/>
          </w:tcPr>
          <w:p w14:paraId="5EEAED58">
            <w:pPr>
              <w:widowControl/>
              <w:spacing w:line="240" w:lineRule="auto"/>
              <w:ind w:firstLine="0" w:firstLineChars="0"/>
              <w:jc w:val="center"/>
              <w:rPr>
                <w:rFonts w:cs="Times New Roman"/>
                <w:kern w:val="0"/>
                <w:sz w:val="21"/>
                <w:szCs w:val="21"/>
              </w:rPr>
            </w:pPr>
            <w:r>
              <w:rPr>
                <w:rFonts w:hint="eastAsia" w:cs="Times New Roman"/>
                <w:spacing w:val="-5"/>
                <w:kern w:val="0"/>
                <w:sz w:val="21"/>
                <w:szCs w:val="21"/>
              </w:rPr>
              <w:t>7.91</w:t>
            </w:r>
          </w:p>
        </w:tc>
        <w:tc>
          <w:tcPr>
            <w:tcW w:w="470" w:type="pct"/>
            <w:vAlign w:val="center"/>
          </w:tcPr>
          <w:p w14:paraId="75A02667">
            <w:pPr>
              <w:widowControl/>
              <w:spacing w:line="240" w:lineRule="auto"/>
              <w:ind w:firstLine="0" w:firstLineChars="0"/>
              <w:jc w:val="center"/>
              <w:rPr>
                <w:rFonts w:cs="Times New Roman"/>
                <w:kern w:val="0"/>
                <w:sz w:val="21"/>
                <w:szCs w:val="21"/>
              </w:rPr>
            </w:pPr>
            <w:r>
              <w:rPr>
                <w:rFonts w:hint="eastAsia" w:cs="Times New Roman"/>
                <w:spacing w:val="-5"/>
                <w:kern w:val="0"/>
                <w:sz w:val="21"/>
                <w:szCs w:val="21"/>
              </w:rPr>
              <w:t>7.45</w:t>
            </w:r>
          </w:p>
        </w:tc>
        <w:tc>
          <w:tcPr>
            <w:tcW w:w="470" w:type="pct"/>
            <w:vAlign w:val="center"/>
          </w:tcPr>
          <w:p w14:paraId="1BEE2AAA">
            <w:pPr>
              <w:spacing w:line="240" w:lineRule="auto"/>
              <w:ind w:firstLine="0" w:firstLineChars="0"/>
              <w:jc w:val="center"/>
              <w:rPr>
                <w:rFonts w:cs="Times New Roman"/>
                <w:sz w:val="21"/>
                <w:szCs w:val="21"/>
              </w:rPr>
            </w:pPr>
            <w:r>
              <w:rPr>
                <w:rFonts w:hint="eastAsia" w:cs="Times New Roman"/>
                <w:spacing w:val="-5"/>
                <w:sz w:val="21"/>
                <w:szCs w:val="21"/>
              </w:rPr>
              <w:t>11.9</w:t>
            </w:r>
          </w:p>
        </w:tc>
        <w:tc>
          <w:tcPr>
            <w:tcW w:w="470" w:type="pct"/>
            <w:vAlign w:val="center"/>
          </w:tcPr>
          <w:p w14:paraId="1AE78F4E">
            <w:pPr>
              <w:spacing w:line="240" w:lineRule="auto"/>
              <w:ind w:firstLine="0" w:firstLineChars="0"/>
              <w:jc w:val="center"/>
              <w:rPr>
                <w:rFonts w:cs="Times New Roman"/>
                <w:sz w:val="21"/>
                <w:szCs w:val="21"/>
              </w:rPr>
            </w:pPr>
            <w:r>
              <w:rPr>
                <w:rFonts w:hint="eastAsia" w:cs="Times New Roman"/>
                <w:spacing w:val="-5"/>
                <w:sz w:val="21"/>
                <w:szCs w:val="21"/>
              </w:rPr>
              <w:t>8.91</w:t>
            </w:r>
          </w:p>
        </w:tc>
        <w:tc>
          <w:tcPr>
            <w:tcW w:w="471" w:type="pct"/>
            <w:vAlign w:val="center"/>
          </w:tcPr>
          <w:p w14:paraId="40716B1E">
            <w:pPr>
              <w:spacing w:line="240" w:lineRule="auto"/>
              <w:ind w:firstLine="0" w:firstLineChars="0"/>
              <w:jc w:val="center"/>
              <w:rPr>
                <w:rFonts w:cs="Times New Roman"/>
                <w:sz w:val="21"/>
                <w:szCs w:val="21"/>
              </w:rPr>
            </w:pPr>
            <w:r>
              <w:rPr>
                <w:rFonts w:hint="eastAsia" w:cs="Times New Roman"/>
                <w:spacing w:val="-5"/>
                <w:sz w:val="21"/>
                <w:szCs w:val="21"/>
              </w:rPr>
              <w:t>9.78</w:t>
            </w:r>
          </w:p>
        </w:tc>
        <w:tc>
          <w:tcPr>
            <w:tcW w:w="495" w:type="pct"/>
            <w:vAlign w:val="center"/>
          </w:tcPr>
          <w:p w14:paraId="5A273830">
            <w:pPr>
              <w:spacing w:line="240" w:lineRule="auto"/>
              <w:ind w:firstLine="0" w:firstLineChars="0"/>
              <w:jc w:val="center"/>
              <w:rPr>
                <w:rFonts w:cs="Times New Roman"/>
                <w:sz w:val="21"/>
                <w:szCs w:val="21"/>
              </w:rPr>
            </w:pPr>
            <w:r>
              <w:rPr>
                <w:rFonts w:cs="Times New Roman"/>
                <w:sz w:val="21"/>
                <w:szCs w:val="21"/>
              </w:rPr>
              <w:t>60</w:t>
            </w:r>
            <w:r>
              <w:rPr>
                <w:rFonts w:hint="eastAsia" w:cs="Times New Roman"/>
                <w:sz w:val="21"/>
                <w:szCs w:val="21"/>
              </w:rPr>
              <w:t>①</w:t>
            </w:r>
          </w:p>
        </w:tc>
        <w:tc>
          <w:tcPr>
            <w:tcW w:w="251" w:type="pct"/>
            <w:tcBorders>
              <w:right w:val="nil"/>
            </w:tcBorders>
            <w:vAlign w:val="center"/>
          </w:tcPr>
          <w:p w14:paraId="2DA35E8F">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36224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left w:val="nil"/>
            </w:tcBorders>
            <w:vAlign w:val="center"/>
          </w:tcPr>
          <w:p w14:paraId="1D0DDB83">
            <w:pPr>
              <w:widowControl/>
              <w:spacing w:line="240" w:lineRule="auto"/>
              <w:ind w:firstLine="0" w:firstLineChars="0"/>
              <w:jc w:val="center"/>
              <w:rPr>
                <w:rFonts w:cs="Times New Roman"/>
                <w:kern w:val="0"/>
                <w:sz w:val="21"/>
                <w:szCs w:val="21"/>
              </w:rPr>
            </w:pPr>
            <w:r>
              <w:rPr>
                <w:rFonts w:cs="Times New Roman"/>
                <w:kern w:val="0"/>
                <w:sz w:val="21"/>
                <w:szCs w:val="21"/>
              </w:rPr>
              <w:t>2</w:t>
            </w:r>
          </w:p>
        </w:tc>
        <w:tc>
          <w:tcPr>
            <w:tcW w:w="721" w:type="pct"/>
            <w:vAlign w:val="center"/>
          </w:tcPr>
          <w:p w14:paraId="37AAE75D">
            <w:pPr>
              <w:widowControl/>
              <w:spacing w:line="240" w:lineRule="auto"/>
              <w:ind w:firstLine="0" w:firstLineChars="0"/>
              <w:jc w:val="center"/>
              <w:rPr>
                <w:rFonts w:cs="Times New Roman"/>
                <w:kern w:val="0"/>
                <w:sz w:val="21"/>
                <w:szCs w:val="21"/>
              </w:rPr>
            </w:pPr>
            <w:r>
              <w:rPr>
                <w:rFonts w:hint="eastAsia" w:cs="Times New Roman"/>
                <w:kern w:val="0"/>
                <w:sz w:val="21"/>
                <w:szCs w:val="21"/>
              </w:rPr>
              <w:t>镉</w:t>
            </w:r>
          </w:p>
        </w:tc>
        <w:tc>
          <w:tcPr>
            <w:tcW w:w="461" w:type="pct"/>
            <w:vAlign w:val="center"/>
          </w:tcPr>
          <w:p w14:paraId="327AAC29">
            <w:pPr>
              <w:widowControl/>
              <w:spacing w:line="240" w:lineRule="auto"/>
              <w:ind w:firstLine="0" w:firstLineChars="0"/>
              <w:jc w:val="center"/>
              <w:rPr>
                <w:rFonts w:cs="Times New Roman"/>
                <w:kern w:val="0"/>
                <w:sz w:val="21"/>
                <w:szCs w:val="21"/>
              </w:rPr>
            </w:pPr>
            <w:r>
              <w:rPr>
                <w:rFonts w:cs="Times New Roman"/>
                <w:kern w:val="0"/>
                <w:sz w:val="21"/>
                <w:szCs w:val="21"/>
              </w:rPr>
              <w:t>7440-43-9</w:t>
            </w:r>
          </w:p>
        </w:tc>
        <w:tc>
          <w:tcPr>
            <w:tcW w:w="470" w:type="pct"/>
            <w:vAlign w:val="center"/>
          </w:tcPr>
          <w:p w14:paraId="272B5E6A">
            <w:pPr>
              <w:widowControl/>
              <w:spacing w:line="240" w:lineRule="auto"/>
              <w:ind w:firstLine="0" w:firstLineChars="0"/>
              <w:jc w:val="center"/>
              <w:rPr>
                <w:rFonts w:cs="Times New Roman"/>
                <w:kern w:val="0"/>
                <w:sz w:val="21"/>
                <w:szCs w:val="21"/>
              </w:rPr>
            </w:pPr>
            <w:r>
              <w:rPr>
                <w:rFonts w:hint="eastAsia" w:cs="Times New Roman"/>
                <w:kern w:val="0"/>
                <w:sz w:val="21"/>
                <w:szCs w:val="21"/>
              </w:rPr>
              <w:t>0.06</w:t>
            </w:r>
          </w:p>
        </w:tc>
        <w:tc>
          <w:tcPr>
            <w:tcW w:w="470" w:type="pct"/>
            <w:vAlign w:val="center"/>
          </w:tcPr>
          <w:p w14:paraId="45D1C0DB">
            <w:pPr>
              <w:widowControl/>
              <w:spacing w:line="240" w:lineRule="auto"/>
              <w:ind w:firstLine="0" w:firstLineChars="0"/>
              <w:jc w:val="center"/>
              <w:rPr>
                <w:rFonts w:cs="Times New Roman"/>
                <w:kern w:val="0"/>
                <w:sz w:val="21"/>
                <w:szCs w:val="21"/>
              </w:rPr>
            </w:pPr>
            <w:r>
              <w:rPr>
                <w:rFonts w:hint="eastAsia" w:cs="Times New Roman"/>
                <w:kern w:val="0"/>
                <w:sz w:val="21"/>
                <w:szCs w:val="21"/>
              </w:rPr>
              <w:t>0.06</w:t>
            </w:r>
          </w:p>
        </w:tc>
        <w:tc>
          <w:tcPr>
            <w:tcW w:w="470" w:type="pct"/>
            <w:vAlign w:val="center"/>
          </w:tcPr>
          <w:p w14:paraId="1AE05BD1">
            <w:pPr>
              <w:widowControl/>
              <w:spacing w:line="240" w:lineRule="auto"/>
              <w:ind w:firstLine="0" w:firstLineChars="0"/>
              <w:jc w:val="center"/>
              <w:rPr>
                <w:rFonts w:cs="Times New Roman"/>
                <w:kern w:val="0"/>
                <w:sz w:val="21"/>
                <w:szCs w:val="21"/>
              </w:rPr>
            </w:pPr>
            <w:r>
              <w:rPr>
                <w:rFonts w:hint="eastAsia" w:cs="Times New Roman"/>
                <w:kern w:val="0"/>
                <w:sz w:val="21"/>
                <w:szCs w:val="21"/>
              </w:rPr>
              <w:t>0.04</w:t>
            </w:r>
          </w:p>
        </w:tc>
        <w:tc>
          <w:tcPr>
            <w:tcW w:w="470" w:type="pct"/>
            <w:vAlign w:val="center"/>
          </w:tcPr>
          <w:p w14:paraId="2C2F14A1">
            <w:pPr>
              <w:spacing w:line="240" w:lineRule="auto"/>
              <w:ind w:firstLine="0" w:firstLineChars="0"/>
              <w:jc w:val="center"/>
              <w:rPr>
                <w:rFonts w:cs="Times New Roman"/>
                <w:sz w:val="21"/>
                <w:szCs w:val="21"/>
              </w:rPr>
            </w:pPr>
            <w:r>
              <w:rPr>
                <w:rFonts w:hint="eastAsia" w:cs="Times New Roman"/>
                <w:sz w:val="21"/>
                <w:szCs w:val="21"/>
              </w:rPr>
              <w:t>0.07</w:t>
            </w:r>
          </w:p>
        </w:tc>
        <w:tc>
          <w:tcPr>
            <w:tcW w:w="470" w:type="pct"/>
            <w:vAlign w:val="center"/>
          </w:tcPr>
          <w:p w14:paraId="253724B4">
            <w:pPr>
              <w:spacing w:line="240" w:lineRule="auto"/>
              <w:ind w:firstLine="0" w:firstLineChars="0"/>
              <w:jc w:val="center"/>
              <w:rPr>
                <w:rFonts w:cs="Times New Roman"/>
                <w:sz w:val="21"/>
                <w:szCs w:val="21"/>
              </w:rPr>
            </w:pPr>
            <w:r>
              <w:rPr>
                <w:rFonts w:hint="eastAsia" w:cs="Times New Roman"/>
                <w:sz w:val="21"/>
                <w:szCs w:val="21"/>
              </w:rPr>
              <w:t>0.05</w:t>
            </w:r>
          </w:p>
        </w:tc>
        <w:tc>
          <w:tcPr>
            <w:tcW w:w="471" w:type="pct"/>
            <w:vAlign w:val="center"/>
          </w:tcPr>
          <w:p w14:paraId="4F87DA6B">
            <w:pPr>
              <w:spacing w:line="240" w:lineRule="auto"/>
              <w:ind w:firstLine="0" w:firstLineChars="0"/>
              <w:jc w:val="center"/>
              <w:rPr>
                <w:rFonts w:cs="Times New Roman"/>
                <w:sz w:val="21"/>
                <w:szCs w:val="21"/>
              </w:rPr>
            </w:pPr>
            <w:r>
              <w:rPr>
                <w:rFonts w:hint="eastAsia" w:cs="Times New Roman"/>
                <w:sz w:val="21"/>
                <w:szCs w:val="21"/>
              </w:rPr>
              <w:t>0.05</w:t>
            </w:r>
          </w:p>
        </w:tc>
        <w:tc>
          <w:tcPr>
            <w:tcW w:w="495" w:type="pct"/>
            <w:vAlign w:val="center"/>
          </w:tcPr>
          <w:p w14:paraId="29D30A39">
            <w:pPr>
              <w:spacing w:line="240" w:lineRule="auto"/>
              <w:ind w:firstLine="0" w:firstLineChars="0"/>
              <w:jc w:val="center"/>
              <w:rPr>
                <w:rFonts w:cs="Times New Roman"/>
                <w:sz w:val="21"/>
                <w:szCs w:val="21"/>
              </w:rPr>
            </w:pPr>
            <w:r>
              <w:rPr>
                <w:rFonts w:cs="Times New Roman"/>
                <w:sz w:val="21"/>
                <w:szCs w:val="21"/>
              </w:rPr>
              <w:t>65</w:t>
            </w:r>
          </w:p>
        </w:tc>
        <w:tc>
          <w:tcPr>
            <w:tcW w:w="251" w:type="pct"/>
            <w:tcBorders>
              <w:right w:val="nil"/>
            </w:tcBorders>
            <w:vAlign w:val="center"/>
          </w:tcPr>
          <w:p w14:paraId="203BEDE6">
            <w:pPr>
              <w:spacing w:line="240" w:lineRule="auto"/>
              <w:ind w:firstLine="0" w:firstLineChars="0"/>
              <w:jc w:val="center"/>
              <w:rPr>
                <w:rFonts w:cs="Times New Roman"/>
                <w:szCs w:val="24"/>
              </w:rPr>
            </w:pPr>
            <w:r>
              <w:rPr>
                <w:rFonts w:hint="eastAsia" w:cs="Times New Roman"/>
                <w:sz w:val="21"/>
                <w:szCs w:val="21"/>
              </w:rPr>
              <w:t>达标</w:t>
            </w:r>
          </w:p>
        </w:tc>
      </w:tr>
      <w:tr w14:paraId="5C25E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left w:val="nil"/>
            </w:tcBorders>
            <w:vAlign w:val="center"/>
          </w:tcPr>
          <w:p w14:paraId="5BC0F6C4">
            <w:pPr>
              <w:widowControl/>
              <w:spacing w:line="240" w:lineRule="auto"/>
              <w:ind w:firstLine="0" w:firstLineChars="0"/>
              <w:jc w:val="center"/>
              <w:rPr>
                <w:rFonts w:cs="Times New Roman"/>
                <w:kern w:val="0"/>
                <w:sz w:val="21"/>
                <w:szCs w:val="21"/>
              </w:rPr>
            </w:pPr>
            <w:r>
              <w:rPr>
                <w:rFonts w:cs="Times New Roman"/>
                <w:kern w:val="0"/>
                <w:sz w:val="21"/>
                <w:szCs w:val="21"/>
              </w:rPr>
              <w:t>3</w:t>
            </w:r>
          </w:p>
        </w:tc>
        <w:tc>
          <w:tcPr>
            <w:tcW w:w="721" w:type="pct"/>
            <w:vAlign w:val="center"/>
          </w:tcPr>
          <w:p w14:paraId="14C7A9A1">
            <w:pPr>
              <w:widowControl/>
              <w:spacing w:line="240" w:lineRule="auto"/>
              <w:ind w:firstLine="0" w:firstLineChars="0"/>
              <w:jc w:val="center"/>
              <w:rPr>
                <w:rFonts w:cs="Times New Roman"/>
                <w:kern w:val="0"/>
                <w:sz w:val="21"/>
                <w:szCs w:val="21"/>
              </w:rPr>
            </w:pPr>
            <w:r>
              <w:rPr>
                <w:rFonts w:hint="eastAsia" w:cs="Times New Roman"/>
                <w:kern w:val="0"/>
                <w:sz w:val="21"/>
                <w:szCs w:val="21"/>
              </w:rPr>
              <w:t>铬（六价）</w:t>
            </w:r>
          </w:p>
        </w:tc>
        <w:tc>
          <w:tcPr>
            <w:tcW w:w="461" w:type="pct"/>
            <w:vAlign w:val="center"/>
          </w:tcPr>
          <w:p w14:paraId="4AC33298">
            <w:pPr>
              <w:widowControl/>
              <w:spacing w:line="240" w:lineRule="auto"/>
              <w:ind w:firstLine="0" w:firstLineChars="0"/>
              <w:jc w:val="center"/>
              <w:rPr>
                <w:rFonts w:cs="Times New Roman"/>
                <w:kern w:val="0"/>
                <w:sz w:val="21"/>
                <w:szCs w:val="21"/>
              </w:rPr>
            </w:pPr>
            <w:r>
              <w:rPr>
                <w:rFonts w:cs="Times New Roman"/>
                <w:kern w:val="0"/>
                <w:sz w:val="21"/>
                <w:szCs w:val="21"/>
              </w:rPr>
              <w:t>18540-29-9</w:t>
            </w:r>
          </w:p>
        </w:tc>
        <w:tc>
          <w:tcPr>
            <w:tcW w:w="470" w:type="pct"/>
            <w:vAlign w:val="center"/>
          </w:tcPr>
          <w:p w14:paraId="3D78D865">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60127919">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3FBCAF31">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vAlign w:val="center"/>
          </w:tcPr>
          <w:p w14:paraId="4499AEFC">
            <w:pPr>
              <w:spacing w:line="240" w:lineRule="auto"/>
              <w:ind w:firstLine="0" w:firstLineChars="0"/>
              <w:jc w:val="center"/>
              <w:rPr>
                <w:rFonts w:cs="Times New Roman"/>
                <w:sz w:val="21"/>
                <w:szCs w:val="21"/>
              </w:rPr>
            </w:pPr>
            <w:r>
              <w:rPr>
                <w:rFonts w:hint="eastAsia" w:cs="Times New Roman"/>
                <w:sz w:val="21"/>
                <w:szCs w:val="21"/>
              </w:rPr>
              <w:t>ND</w:t>
            </w:r>
          </w:p>
        </w:tc>
        <w:tc>
          <w:tcPr>
            <w:tcW w:w="470" w:type="pct"/>
            <w:vAlign w:val="center"/>
          </w:tcPr>
          <w:p w14:paraId="56DADEA0">
            <w:pPr>
              <w:spacing w:line="240" w:lineRule="auto"/>
              <w:ind w:firstLine="0" w:firstLineChars="0"/>
              <w:jc w:val="center"/>
              <w:rPr>
                <w:rFonts w:cs="Times New Roman"/>
                <w:sz w:val="21"/>
                <w:szCs w:val="21"/>
              </w:rPr>
            </w:pPr>
            <w:r>
              <w:rPr>
                <w:rFonts w:hint="eastAsia" w:cs="Times New Roman"/>
                <w:sz w:val="21"/>
                <w:szCs w:val="21"/>
              </w:rPr>
              <w:t>ND</w:t>
            </w:r>
          </w:p>
        </w:tc>
        <w:tc>
          <w:tcPr>
            <w:tcW w:w="471" w:type="pct"/>
            <w:vAlign w:val="center"/>
          </w:tcPr>
          <w:p w14:paraId="259B7B3D">
            <w:pPr>
              <w:spacing w:line="240" w:lineRule="auto"/>
              <w:ind w:firstLine="0" w:firstLineChars="0"/>
              <w:jc w:val="center"/>
              <w:rPr>
                <w:rFonts w:cs="Times New Roman"/>
                <w:sz w:val="21"/>
                <w:szCs w:val="21"/>
              </w:rPr>
            </w:pPr>
            <w:r>
              <w:rPr>
                <w:rFonts w:hint="eastAsia" w:cs="Times New Roman"/>
                <w:sz w:val="21"/>
                <w:szCs w:val="21"/>
              </w:rPr>
              <w:t>ND</w:t>
            </w:r>
          </w:p>
        </w:tc>
        <w:tc>
          <w:tcPr>
            <w:tcW w:w="495" w:type="pct"/>
            <w:vAlign w:val="center"/>
          </w:tcPr>
          <w:p w14:paraId="58D3A834">
            <w:pPr>
              <w:spacing w:line="240" w:lineRule="auto"/>
              <w:ind w:firstLine="0" w:firstLineChars="0"/>
              <w:jc w:val="center"/>
              <w:rPr>
                <w:rFonts w:cs="Times New Roman"/>
                <w:sz w:val="21"/>
                <w:szCs w:val="21"/>
              </w:rPr>
            </w:pPr>
            <w:r>
              <w:rPr>
                <w:rFonts w:cs="Times New Roman"/>
                <w:sz w:val="21"/>
                <w:szCs w:val="21"/>
              </w:rPr>
              <w:t>5.7</w:t>
            </w:r>
          </w:p>
        </w:tc>
        <w:tc>
          <w:tcPr>
            <w:tcW w:w="251" w:type="pct"/>
            <w:tcBorders>
              <w:right w:val="nil"/>
            </w:tcBorders>
            <w:vAlign w:val="center"/>
          </w:tcPr>
          <w:p w14:paraId="4AE8B2F3">
            <w:pPr>
              <w:spacing w:line="240" w:lineRule="auto"/>
              <w:ind w:firstLine="0" w:firstLineChars="0"/>
              <w:jc w:val="center"/>
              <w:rPr>
                <w:rFonts w:cs="Times New Roman"/>
                <w:szCs w:val="24"/>
              </w:rPr>
            </w:pPr>
            <w:r>
              <w:rPr>
                <w:rFonts w:hint="eastAsia" w:cs="Times New Roman"/>
                <w:sz w:val="21"/>
                <w:szCs w:val="21"/>
              </w:rPr>
              <w:t>达标</w:t>
            </w:r>
          </w:p>
        </w:tc>
      </w:tr>
      <w:tr w14:paraId="29ACB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left w:val="nil"/>
            </w:tcBorders>
            <w:vAlign w:val="center"/>
          </w:tcPr>
          <w:p w14:paraId="35638FA0">
            <w:pPr>
              <w:widowControl/>
              <w:spacing w:line="240" w:lineRule="auto"/>
              <w:ind w:firstLine="0" w:firstLineChars="0"/>
              <w:jc w:val="center"/>
              <w:rPr>
                <w:rFonts w:cs="Times New Roman"/>
                <w:kern w:val="0"/>
                <w:sz w:val="21"/>
                <w:szCs w:val="21"/>
              </w:rPr>
            </w:pPr>
            <w:r>
              <w:rPr>
                <w:rFonts w:cs="Times New Roman"/>
                <w:kern w:val="0"/>
                <w:sz w:val="21"/>
                <w:szCs w:val="21"/>
              </w:rPr>
              <w:t>4</w:t>
            </w:r>
          </w:p>
        </w:tc>
        <w:tc>
          <w:tcPr>
            <w:tcW w:w="721" w:type="pct"/>
            <w:vAlign w:val="center"/>
          </w:tcPr>
          <w:p w14:paraId="4789B415">
            <w:pPr>
              <w:widowControl/>
              <w:spacing w:line="240" w:lineRule="auto"/>
              <w:ind w:firstLine="0" w:firstLineChars="0"/>
              <w:jc w:val="center"/>
              <w:rPr>
                <w:rFonts w:cs="Times New Roman"/>
                <w:kern w:val="0"/>
                <w:sz w:val="21"/>
                <w:szCs w:val="21"/>
              </w:rPr>
            </w:pPr>
            <w:r>
              <w:rPr>
                <w:rFonts w:hint="eastAsia" w:cs="Times New Roman"/>
                <w:kern w:val="0"/>
                <w:sz w:val="21"/>
                <w:szCs w:val="21"/>
              </w:rPr>
              <w:t>铜</w:t>
            </w:r>
          </w:p>
        </w:tc>
        <w:tc>
          <w:tcPr>
            <w:tcW w:w="461" w:type="pct"/>
            <w:vAlign w:val="center"/>
          </w:tcPr>
          <w:p w14:paraId="08CE63FF">
            <w:pPr>
              <w:widowControl/>
              <w:spacing w:line="240" w:lineRule="auto"/>
              <w:ind w:firstLine="0" w:firstLineChars="0"/>
              <w:jc w:val="center"/>
              <w:rPr>
                <w:rFonts w:cs="Times New Roman"/>
                <w:kern w:val="0"/>
                <w:sz w:val="21"/>
                <w:szCs w:val="21"/>
              </w:rPr>
            </w:pPr>
            <w:r>
              <w:rPr>
                <w:rFonts w:cs="Times New Roman"/>
                <w:kern w:val="0"/>
                <w:sz w:val="21"/>
                <w:szCs w:val="21"/>
              </w:rPr>
              <w:t>7440-50-8</w:t>
            </w:r>
          </w:p>
        </w:tc>
        <w:tc>
          <w:tcPr>
            <w:tcW w:w="470" w:type="pct"/>
            <w:vAlign w:val="center"/>
          </w:tcPr>
          <w:p w14:paraId="70DEE35C">
            <w:pPr>
              <w:widowControl/>
              <w:spacing w:line="240" w:lineRule="auto"/>
              <w:ind w:firstLine="0" w:firstLineChars="0"/>
              <w:jc w:val="center"/>
              <w:rPr>
                <w:rFonts w:cs="Times New Roman"/>
                <w:kern w:val="0"/>
                <w:sz w:val="21"/>
                <w:szCs w:val="21"/>
              </w:rPr>
            </w:pPr>
            <w:r>
              <w:rPr>
                <w:rFonts w:hint="eastAsia" w:cs="Times New Roman"/>
                <w:kern w:val="0"/>
                <w:sz w:val="21"/>
                <w:szCs w:val="21"/>
              </w:rPr>
              <w:t>14</w:t>
            </w:r>
          </w:p>
        </w:tc>
        <w:tc>
          <w:tcPr>
            <w:tcW w:w="470" w:type="pct"/>
            <w:vAlign w:val="center"/>
          </w:tcPr>
          <w:p w14:paraId="31C52354">
            <w:pPr>
              <w:widowControl/>
              <w:spacing w:line="240" w:lineRule="auto"/>
              <w:ind w:firstLine="0" w:firstLineChars="0"/>
              <w:jc w:val="center"/>
              <w:rPr>
                <w:rFonts w:cs="Times New Roman"/>
                <w:kern w:val="0"/>
                <w:sz w:val="21"/>
                <w:szCs w:val="21"/>
              </w:rPr>
            </w:pPr>
            <w:r>
              <w:rPr>
                <w:rFonts w:hint="eastAsia" w:cs="Times New Roman"/>
                <w:kern w:val="0"/>
                <w:sz w:val="21"/>
                <w:szCs w:val="21"/>
              </w:rPr>
              <w:t>12</w:t>
            </w:r>
          </w:p>
        </w:tc>
        <w:tc>
          <w:tcPr>
            <w:tcW w:w="470" w:type="pct"/>
            <w:vAlign w:val="center"/>
          </w:tcPr>
          <w:p w14:paraId="72E91E5C">
            <w:pPr>
              <w:widowControl/>
              <w:spacing w:line="240" w:lineRule="auto"/>
              <w:ind w:firstLine="0" w:firstLineChars="0"/>
              <w:jc w:val="center"/>
              <w:rPr>
                <w:rFonts w:cs="Times New Roman"/>
                <w:kern w:val="0"/>
                <w:sz w:val="21"/>
                <w:szCs w:val="21"/>
              </w:rPr>
            </w:pPr>
            <w:r>
              <w:rPr>
                <w:rFonts w:hint="eastAsia" w:cs="Times New Roman"/>
                <w:kern w:val="0"/>
                <w:sz w:val="21"/>
                <w:szCs w:val="21"/>
              </w:rPr>
              <w:t>13</w:t>
            </w:r>
          </w:p>
        </w:tc>
        <w:tc>
          <w:tcPr>
            <w:tcW w:w="470" w:type="pct"/>
            <w:vAlign w:val="center"/>
          </w:tcPr>
          <w:p w14:paraId="743EAF3F">
            <w:pPr>
              <w:spacing w:line="240" w:lineRule="auto"/>
              <w:ind w:firstLine="0" w:firstLineChars="0"/>
              <w:jc w:val="center"/>
              <w:rPr>
                <w:rFonts w:cs="Times New Roman"/>
                <w:sz w:val="21"/>
                <w:szCs w:val="21"/>
              </w:rPr>
            </w:pPr>
            <w:r>
              <w:rPr>
                <w:rFonts w:hint="eastAsia" w:cs="Times New Roman"/>
                <w:sz w:val="21"/>
                <w:szCs w:val="21"/>
              </w:rPr>
              <w:t>22</w:t>
            </w:r>
          </w:p>
        </w:tc>
        <w:tc>
          <w:tcPr>
            <w:tcW w:w="470" w:type="pct"/>
            <w:vAlign w:val="center"/>
          </w:tcPr>
          <w:p w14:paraId="23D5FF98">
            <w:pPr>
              <w:spacing w:line="240" w:lineRule="auto"/>
              <w:ind w:firstLine="0" w:firstLineChars="0"/>
              <w:jc w:val="center"/>
              <w:rPr>
                <w:rFonts w:cs="Times New Roman"/>
                <w:sz w:val="21"/>
                <w:szCs w:val="21"/>
              </w:rPr>
            </w:pPr>
            <w:r>
              <w:rPr>
                <w:rFonts w:hint="eastAsia" w:cs="Times New Roman"/>
                <w:sz w:val="21"/>
                <w:szCs w:val="21"/>
              </w:rPr>
              <w:t>15</w:t>
            </w:r>
          </w:p>
        </w:tc>
        <w:tc>
          <w:tcPr>
            <w:tcW w:w="471" w:type="pct"/>
            <w:vAlign w:val="center"/>
          </w:tcPr>
          <w:p w14:paraId="63BB3FDC">
            <w:pPr>
              <w:spacing w:line="240" w:lineRule="auto"/>
              <w:ind w:firstLine="0" w:firstLineChars="0"/>
              <w:jc w:val="center"/>
              <w:rPr>
                <w:rFonts w:cs="Times New Roman"/>
                <w:sz w:val="21"/>
                <w:szCs w:val="21"/>
              </w:rPr>
            </w:pPr>
            <w:r>
              <w:rPr>
                <w:rFonts w:hint="eastAsia" w:cs="Times New Roman"/>
                <w:sz w:val="21"/>
                <w:szCs w:val="21"/>
              </w:rPr>
              <w:t>15</w:t>
            </w:r>
          </w:p>
        </w:tc>
        <w:tc>
          <w:tcPr>
            <w:tcW w:w="495" w:type="pct"/>
            <w:vAlign w:val="center"/>
          </w:tcPr>
          <w:p w14:paraId="218DCC5E">
            <w:pPr>
              <w:spacing w:line="240" w:lineRule="auto"/>
              <w:ind w:firstLine="0" w:firstLineChars="0"/>
              <w:jc w:val="center"/>
              <w:rPr>
                <w:rFonts w:cs="Times New Roman"/>
                <w:sz w:val="21"/>
                <w:szCs w:val="21"/>
              </w:rPr>
            </w:pPr>
            <w:r>
              <w:rPr>
                <w:rFonts w:cs="Times New Roman"/>
                <w:sz w:val="21"/>
                <w:szCs w:val="21"/>
              </w:rPr>
              <w:t>18000</w:t>
            </w:r>
          </w:p>
        </w:tc>
        <w:tc>
          <w:tcPr>
            <w:tcW w:w="251" w:type="pct"/>
            <w:tcBorders>
              <w:right w:val="nil"/>
            </w:tcBorders>
            <w:vAlign w:val="center"/>
          </w:tcPr>
          <w:p w14:paraId="57E5E5C6">
            <w:pPr>
              <w:spacing w:line="240" w:lineRule="auto"/>
              <w:ind w:firstLine="0" w:firstLineChars="0"/>
              <w:jc w:val="center"/>
              <w:rPr>
                <w:rFonts w:cs="Times New Roman"/>
                <w:szCs w:val="24"/>
              </w:rPr>
            </w:pPr>
            <w:r>
              <w:rPr>
                <w:rFonts w:hint="eastAsia" w:cs="Times New Roman"/>
                <w:sz w:val="21"/>
                <w:szCs w:val="21"/>
              </w:rPr>
              <w:t>达标</w:t>
            </w:r>
          </w:p>
        </w:tc>
      </w:tr>
      <w:tr w14:paraId="12EED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left w:val="nil"/>
            </w:tcBorders>
            <w:vAlign w:val="center"/>
          </w:tcPr>
          <w:p w14:paraId="62C9CB47">
            <w:pPr>
              <w:widowControl/>
              <w:spacing w:line="240" w:lineRule="auto"/>
              <w:ind w:firstLine="0" w:firstLineChars="0"/>
              <w:jc w:val="center"/>
              <w:rPr>
                <w:rFonts w:cs="Times New Roman"/>
                <w:kern w:val="0"/>
                <w:sz w:val="21"/>
                <w:szCs w:val="21"/>
              </w:rPr>
            </w:pPr>
            <w:r>
              <w:rPr>
                <w:rFonts w:cs="Times New Roman"/>
                <w:kern w:val="0"/>
                <w:sz w:val="21"/>
                <w:szCs w:val="21"/>
              </w:rPr>
              <w:t>5</w:t>
            </w:r>
          </w:p>
        </w:tc>
        <w:tc>
          <w:tcPr>
            <w:tcW w:w="721" w:type="pct"/>
            <w:vAlign w:val="center"/>
          </w:tcPr>
          <w:p w14:paraId="72885821">
            <w:pPr>
              <w:widowControl/>
              <w:spacing w:line="240" w:lineRule="auto"/>
              <w:ind w:firstLine="0" w:firstLineChars="0"/>
              <w:jc w:val="center"/>
              <w:rPr>
                <w:rFonts w:cs="Times New Roman"/>
                <w:kern w:val="0"/>
                <w:sz w:val="21"/>
                <w:szCs w:val="21"/>
              </w:rPr>
            </w:pPr>
            <w:r>
              <w:rPr>
                <w:rFonts w:hint="eastAsia" w:cs="Times New Roman"/>
                <w:kern w:val="0"/>
                <w:sz w:val="21"/>
                <w:szCs w:val="21"/>
              </w:rPr>
              <w:t>铅</w:t>
            </w:r>
          </w:p>
        </w:tc>
        <w:tc>
          <w:tcPr>
            <w:tcW w:w="461" w:type="pct"/>
            <w:vAlign w:val="center"/>
          </w:tcPr>
          <w:p w14:paraId="73A9D50F">
            <w:pPr>
              <w:widowControl/>
              <w:spacing w:line="240" w:lineRule="auto"/>
              <w:ind w:firstLine="0" w:firstLineChars="0"/>
              <w:jc w:val="center"/>
              <w:rPr>
                <w:rFonts w:cs="Times New Roman"/>
                <w:kern w:val="0"/>
                <w:sz w:val="21"/>
                <w:szCs w:val="21"/>
              </w:rPr>
            </w:pPr>
            <w:r>
              <w:rPr>
                <w:rFonts w:cs="Times New Roman"/>
                <w:kern w:val="0"/>
                <w:sz w:val="21"/>
                <w:szCs w:val="21"/>
              </w:rPr>
              <w:t>7439-92-1</w:t>
            </w:r>
          </w:p>
        </w:tc>
        <w:tc>
          <w:tcPr>
            <w:tcW w:w="470" w:type="pct"/>
            <w:vAlign w:val="center"/>
          </w:tcPr>
          <w:p w14:paraId="555F9004">
            <w:pPr>
              <w:widowControl/>
              <w:spacing w:line="240" w:lineRule="auto"/>
              <w:ind w:firstLine="0" w:firstLineChars="0"/>
              <w:jc w:val="center"/>
              <w:rPr>
                <w:rFonts w:cs="Times New Roman"/>
                <w:kern w:val="0"/>
                <w:sz w:val="21"/>
                <w:szCs w:val="21"/>
              </w:rPr>
            </w:pPr>
            <w:r>
              <w:rPr>
                <w:rFonts w:hint="eastAsia" w:cs="Times New Roman"/>
                <w:kern w:val="0"/>
                <w:sz w:val="21"/>
                <w:szCs w:val="21"/>
              </w:rPr>
              <w:t>18.6</w:t>
            </w:r>
          </w:p>
        </w:tc>
        <w:tc>
          <w:tcPr>
            <w:tcW w:w="470" w:type="pct"/>
            <w:vAlign w:val="center"/>
          </w:tcPr>
          <w:p w14:paraId="4E24D520">
            <w:pPr>
              <w:widowControl/>
              <w:spacing w:line="240" w:lineRule="auto"/>
              <w:ind w:firstLine="0" w:firstLineChars="0"/>
              <w:jc w:val="center"/>
              <w:rPr>
                <w:rFonts w:cs="Times New Roman"/>
                <w:kern w:val="0"/>
                <w:sz w:val="21"/>
                <w:szCs w:val="21"/>
              </w:rPr>
            </w:pPr>
            <w:r>
              <w:rPr>
                <w:rFonts w:hint="eastAsia" w:cs="Times New Roman"/>
                <w:kern w:val="0"/>
                <w:sz w:val="21"/>
                <w:szCs w:val="21"/>
              </w:rPr>
              <w:t>17.6</w:t>
            </w:r>
          </w:p>
        </w:tc>
        <w:tc>
          <w:tcPr>
            <w:tcW w:w="470" w:type="pct"/>
            <w:vAlign w:val="center"/>
          </w:tcPr>
          <w:p w14:paraId="76110723">
            <w:pPr>
              <w:widowControl/>
              <w:spacing w:line="240" w:lineRule="auto"/>
              <w:ind w:firstLine="0" w:firstLineChars="0"/>
              <w:jc w:val="center"/>
              <w:rPr>
                <w:rFonts w:cs="Times New Roman"/>
                <w:kern w:val="0"/>
                <w:sz w:val="21"/>
                <w:szCs w:val="21"/>
              </w:rPr>
            </w:pPr>
            <w:r>
              <w:rPr>
                <w:rFonts w:hint="eastAsia" w:cs="Times New Roman"/>
                <w:kern w:val="0"/>
                <w:sz w:val="21"/>
                <w:szCs w:val="21"/>
              </w:rPr>
              <w:t>18.4</w:t>
            </w:r>
          </w:p>
        </w:tc>
        <w:tc>
          <w:tcPr>
            <w:tcW w:w="470" w:type="pct"/>
            <w:vAlign w:val="center"/>
          </w:tcPr>
          <w:p w14:paraId="064BB3BE">
            <w:pPr>
              <w:spacing w:line="240" w:lineRule="auto"/>
              <w:ind w:firstLine="0" w:firstLineChars="0"/>
              <w:jc w:val="center"/>
              <w:rPr>
                <w:rFonts w:cs="Times New Roman"/>
                <w:sz w:val="21"/>
                <w:szCs w:val="21"/>
              </w:rPr>
            </w:pPr>
            <w:r>
              <w:rPr>
                <w:rFonts w:hint="eastAsia" w:cs="Times New Roman"/>
                <w:sz w:val="21"/>
                <w:szCs w:val="21"/>
              </w:rPr>
              <w:t>20.5</w:t>
            </w:r>
          </w:p>
        </w:tc>
        <w:tc>
          <w:tcPr>
            <w:tcW w:w="470" w:type="pct"/>
            <w:vAlign w:val="center"/>
          </w:tcPr>
          <w:p w14:paraId="213B3467">
            <w:pPr>
              <w:spacing w:line="240" w:lineRule="auto"/>
              <w:ind w:firstLine="0" w:firstLineChars="0"/>
              <w:jc w:val="center"/>
              <w:rPr>
                <w:rFonts w:cs="Times New Roman"/>
                <w:sz w:val="21"/>
                <w:szCs w:val="21"/>
              </w:rPr>
            </w:pPr>
            <w:r>
              <w:rPr>
                <w:rFonts w:hint="eastAsia" w:cs="Times New Roman"/>
                <w:sz w:val="21"/>
                <w:szCs w:val="21"/>
              </w:rPr>
              <w:t>17.3</w:t>
            </w:r>
          </w:p>
        </w:tc>
        <w:tc>
          <w:tcPr>
            <w:tcW w:w="471" w:type="pct"/>
            <w:vAlign w:val="center"/>
          </w:tcPr>
          <w:p w14:paraId="7756059E">
            <w:pPr>
              <w:spacing w:line="240" w:lineRule="auto"/>
              <w:ind w:firstLine="0" w:firstLineChars="0"/>
              <w:jc w:val="center"/>
              <w:rPr>
                <w:rFonts w:cs="Times New Roman"/>
                <w:sz w:val="21"/>
                <w:szCs w:val="21"/>
              </w:rPr>
            </w:pPr>
            <w:r>
              <w:rPr>
                <w:rFonts w:hint="eastAsia" w:cs="Times New Roman"/>
                <w:sz w:val="21"/>
                <w:szCs w:val="21"/>
              </w:rPr>
              <w:t>16.7</w:t>
            </w:r>
          </w:p>
        </w:tc>
        <w:tc>
          <w:tcPr>
            <w:tcW w:w="495" w:type="pct"/>
            <w:vAlign w:val="center"/>
          </w:tcPr>
          <w:p w14:paraId="3A227310">
            <w:pPr>
              <w:spacing w:line="240" w:lineRule="auto"/>
              <w:ind w:firstLine="0" w:firstLineChars="0"/>
              <w:jc w:val="center"/>
              <w:rPr>
                <w:rFonts w:cs="Times New Roman"/>
                <w:sz w:val="21"/>
                <w:szCs w:val="21"/>
              </w:rPr>
            </w:pPr>
            <w:r>
              <w:rPr>
                <w:rFonts w:cs="Times New Roman"/>
                <w:sz w:val="21"/>
                <w:szCs w:val="21"/>
              </w:rPr>
              <w:t>800</w:t>
            </w:r>
          </w:p>
        </w:tc>
        <w:tc>
          <w:tcPr>
            <w:tcW w:w="251" w:type="pct"/>
            <w:tcBorders>
              <w:right w:val="nil"/>
            </w:tcBorders>
            <w:vAlign w:val="center"/>
          </w:tcPr>
          <w:p w14:paraId="56A4FF9B">
            <w:pPr>
              <w:spacing w:line="240" w:lineRule="auto"/>
              <w:ind w:firstLine="0" w:firstLineChars="0"/>
              <w:jc w:val="center"/>
              <w:rPr>
                <w:rFonts w:cs="Times New Roman"/>
                <w:szCs w:val="24"/>
              </w:rPr>
            </w:pPr>
            <w:r>
              <w:rPr>
                <w:rFonts w:hint="eastAsia" w:cs="Times New Roman"/>
                <w:sz w:val="21"/>
                <w:szCs w:val="21"/>
              </w:rPr>
              <w:t>达标</w:t>
            </w:r>
          </w:p>
        </w:tc>
      </w:tr>
      <w:tr w14:paraId="2B4F6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left w:val="nil"/>
            </w:tcBorders>
            <w:vAlign w:val="center"/>
          </w:tcPr>
          <w:p w14:paraId="6F0E2F45">
            <w:pPr>
              <w:widowControl/>
              <w:spacing w:line="240" w:lineRule="auto"/>
              <w:ind w:firstLine="0" w:firstLineChars="0"/>
              <w:jc w:val="center"/>
              <w:rPr>
                <w:rFonts w:cs="Times New Roman"/>
                <w:kern w:val="0"/>
                <w:sz w:val="21"/>
                <w:szCs w:val="21"/>
              </w:rPr>
            </w:pPr>
            <w:r>
              <w:rPr>
                <w:rFonts w:cs="Times New Roman"/>
                <w:kern w:val="0"/>
                <w:sz w:val="21"/>
                <w:szCs w:val="21"/>
              </w:rPr>
              <w:t>6</w:t>
            </w:r>
          </w:p>
        </w:tc>
        <w:tc>
          <w:tcPr>
            <w:tcW w:w="721" w:type="pct"/>
            <w:vAlign w:val="center"/>
          </w:tcPr>
          <w:p w14:paraId="0E3861CE">
            <w:pPr>
              <w:widowControl/>
              <w:spacing w:line="240" w:lineRule="auto"/>
              <w:ind w:firstLine="0" w:firstLineChars="0"/>
              <w:jc w:val="center"/>
              <w:rPr>
                <w:rFonts w:cs="Times New Roman"/>
                <w:kern w:val="0"/>
                <w:sz w:val="21"/>
                <w:szCs w:val="21"/>
              </w:rPr>
            </w:pPr>
            <w:r>
              <w:rPr>
                <w:rFonts w:hint="eastAsia" w:cs="Times New Roman"/>
                <w:kern w:val="0"/>
                <w:sz w:val="21"/>
                <w:szCs w:val="21"/>
              </w:rPr>
              <w:t>汞</w:t>
            </w:r>
          </w:p>
        </w:tc>
        <w:tc>
          <w:tcPr>
            <w:tcW w:w="461" w:type="pct"/>
            <w:vAlign w:val="center"/>
          </w:tcPr>
          <w:p w14:paraId="240CD981">
            <w:pPr>
              <w:widowControl/>
              <w:spacing w:line="240" w:lineRule="auto"/>
              <w:ind w:firstLine="0" w:firstLineChars="0"/>
              <w:jc w:val="center"/>
              <w:rPr>
                <w:rFonts w:cs="Times New Roman"/>
                <w:kern w:val="0"/>
                <w:sz w:val="21"/>
                <w:szCs w:val="21"/>
              </w:rPr>
            </w:pPr>
            <w:r>
              <w:rPr>
                <w:rFonts w:cs="Times New Roman"/>
                <w:kern w:val="0"/>
                <w:sz w:val="21"/>
                <w:szCs w:val="21"/>
              </w:rPr>
              <w:t>7439-97-6</w:t>
            </w:r>
          </w:p>
        </w:tc>
        <w:tc>
          <w:tcPr>
            <w:tcW w:w="470" w:type="pct"/>
            <w:vAlign w:val="center"/>
          </w:tcPr>
          <w:p w14:paraId="1C00F026">
            <w:pPr>
              <w:widowControl/>
              <w:spacing w:line="240" w:lineRule="auto"/>
              <w:ind w:firstLine="0" w:firstLineChars="0"/>
              <w:jc w:val="center"/>
              <w:rPr>
                <w:rFonts w:cs="Times New Roman"/>
                <w:kern w:val="0"/>
                <w:sz w:val="21"/>
                <w:szCs w:val="21"/>
              </w:rPr>
            </w:pPr>
            <w:r>
              <w:rPr>
                <w:rFonts w:hint="eastAsia" w:cs="Times New Roman"/>
                <w:kern w:val="0"/>
                <w:sz w:val="21"/>
                <w:szCs w:val="21"/>
              </w:rPr>
              <w:t>0.193</w:t>
            </w:r>
          </w:p>
        </w:tc>
        <w:tc>
          <w:tcPr>
            <w:tcW w:w="470" w:type="pct"/>
            <w:vAlign w:val="center"/>
          </w:tcPr>
          <w:p w14:paraId="6B09A3D0">
            <w:pPr>
              <w:widowControl/>
              <w:spacing w:line="240" w:lineRule="auto"/>
              <w:ind w:firstLine="0" w:firstLineChars="0"/>
              <w:jc w:val="center"/>
              <w:rPr>
                <w:rFonts w:cs="Times New Roman"/>
                <w:kern w:val="0"/>
                <w:sz w:val="21"/>
                <w:szCs w:val="21"/>
              </w:rPr>
            </w:pPr>
            <w:r>
              <w:rPr>
                <w:rFonts w:hint="eastAsia" w:cs="Times New Roman"/>
                <w:kern w:val="0"/>
                <w:sz w:val="21"/>
                <w:szCs w:val="21"/>
              </w:rPr>
              <w:t>0.192</w:t>
            </w:r>
          </w:p>
        </w:tc>
        <w:tc>
          <w:tcPr>
            <w:tcW w:w="470" w:type="pct"/>
            <w:vAlign w:val="center"/>
          </w:tcPr>
          <w:p w14:paraId="6BDE63BD">
            <w:pPr>
              <w:widowControl/>
              <w:spacing w:line="240" w:lineRule="auto"/>
              <w:ind w:firstLine="0" w:firstLineChars="0"/>
              <w:jc w:val="center"/>
              <w:rPr>
                <w:rFonts w:cs="Times New Roman"/>
                <w:kern w:val="0"/>
                <w:sz w:val="21"/>
                <w:szCs w:val="21"/>
              </w:rPr>
            </w:pPr>
            <w:r>
              <w:rPr>
                <w:rFonts w:hint="eastAsia" w:cs="Times New Roman"/>
                <w:kern w:val="0"/>
                <w:sz w:val="21"/>
                <w:szCs w:val="21"/>
              </w:rPr>
              <w:t>0.166</w:t>
            </w:r>
          </w:p>
        </w:tc>
        <w:tc>
          <w:tcPr>
            <w:tcW w:w="470" w:type="pct"/>
            <w:vAlign w:val="center"/>
          </w:tcPr>
          <w:p w14:paraId="4DA52931">
            <w:pPr>
              <w:spacing w:line="240" w:lineRule="auto"/>
              <w:ind w:firstLine="0" w:firstLineChars="0"/>
              <w:jc w:val="center"/>
              <w:rPr>
                <w:rFonts w:cs="Times New Roman"/>
                <w:sz w:val="21"/>
                <w:szCs w:val="21"/>
              </w:rPr>
            </w:pPr>
            <w:r>
              <w:rPr>
                <w:rFonts w:hint="eastAsia" w:cs="Times New Roman"/>
                <w:sz w:val="21"/>
                <w:szCs w:val="21"/>
              </w:rPr>
              <w:t>0.112</w:t>
            </w:r>
          </w:p>
        </w:tc>
        <w:tc>
          <w:tcPr>
            <w:tcW w:w="470" w:type="pct"/>
            <w:vAlign w:val="center"/>
          </w:tcPr>
          <w:p w14:paraId="542A2D6B">
            <w:pPr>
              <w:spacing w:line="240" w:lineRule="auto"/>
              <w:ind w:firstLine="0" w:firstLineChars="0"/>
              <w:jc w:val="center"/>
              <w:rPr>
                <w:rFonts w:cs="Times New Roman"/>
                <w:sz w:val="21"/>
                <w:szCs w:val="21"/>
              </w:rPr>
            </w:pPr>
            <w:r>
              <w:rPr>
                <w:rFonts w:hint="eastAsia" w:cs="Times New Roman"/>
                <w:sz w:val="21"/>
                <w:szCs w:val="21"/>
              </w:rPr>
              <w:t>0.134</w:t>
            </w:r>
          </w:p>
        </w:tc>
        <w:tc>
          <w:tcPr>
            <w:tcW w:w="471" w:type="pct"/>
            <w:vAlign w:val="center"/>
          </w:tcPr>
          <w:p w14:paraId="711D3BEF">
            <w:pPr>
              <w:spacing w:line="240" w:lineRule="auto"/>
              <w:ind w:firstLine="0" w:firstLineChars="0"/>
              <w:jc w:val="center"/>
              <w:rPr>
                <w:rFonts w:cs="Times New Roman"/>
                <w:sz w:val="21"/>
                <w:szCs w:val="21"/>
              </w:rPr>
            </w:pPr>
            <w:r>
              <w:rPr>
                <w:rFonts w:hint="eastAsia" w:cs="Times New Roman"/>
                <w:sz w:val="21"/>
                <w:szCs w:val="21"/>
              </w:rPr>
              <w:t>0.143</w:t>
            </w:r>
          </w:p>
        </w:tc>
        <w:tc>
          <w:tcPr>
            <w:tcW w:w="495" w:type="pct"/>
            <w:vAlign w:val="center"/>
          </w:tcPr>
          <w:p w14:paraId="09912668">
            <w:pPr>
              <w:spacing w:line="240" w:lineRule="auto"/>
              <w:ind w:firstLine="0" w:firstLineChars="0"/>
              <w:jc w:val="center"/>
              <w:rPr>
                <w:rFonts w:cs="Times New Roman"/>
                <w:sz w:val="21"/>
                <w:szCs w:val="21"/>
              </w:rPr>
            </w:pPr>
            <w:r>
              <w:rPr>
                <w:rFonts w:cs="Times New Roman"/>
                <w:sz w:val="21"/>
                <w:szCs w:val="21"/>
              </w:rPr>
              <w:t>38</w:t>
            </w:r>
          </w:p>
        </w:tc>
        <w:tc>
          <w:tcPr>
            <w:tcW w:w="251" w:type="pct"/>
            <w:tcBorders>
              <w:right w:val="nil"/>
            </w:tcBorders>
            <w:vAlign w:val="center"/>
          </w:tcPr>
          <w:p w14:paraId="207B0A85">
            <w:pPr>
              <w:spacing w:line="240" w:lineRule="auto"/>
              <w:ind w:firstLine="0" w:firstLineChars="0"/>
              <w:jc w:val="center"/>
              <w:rPr>
                <w:rFonts w:cs="Times New Roman"/>
                <w:szCs w:val="24"/>
              </w:rPr>
            </w:pPr>
            <w:r>
              <w:rPr>
                <w:rFonts w:hint="eastAsia" w:cs="Times New Roman"/>
                <w:sz w:val="21"/>
                <w:szCs w:val="21"/>
              </w:rPr>
              <w:t>达标</w:t>
            </w:r>
          </w:p>
        </w:tc>
      </w:tr>
      <w:tr w14:paraId="61F69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left w:val="nil"/>
            </w:tcBorders>
            <w:vAlign w:val="center"/>
          </w:tcPr>
          <w:p w14:paraId="20213849">
            <w:pPr>
              <w:widowControl/>
              <w:spacing w:line="240" w:lineRule="auto"/>
              <w:ind w:firstLine="0" w:firstLineChars="0"/>
              <w:jc w:val="center"/>
              <w:rPr>
                <w:rFonts w:cs="Times New Roman"/>
                <w:kern w:val="0"/>
                <w:sz w:val="21"/>
                <w:szCs w:val="21"/>
              </w:rPr>
            </w:pPr>
            <w:r>
              <w:rPr>
                <w:rFonts w:cs="Times New Roman"/>
                <w:kern w:val="0"/>
                <w:sz w:val="21"/>
                <w:szCs w:val="21"/>
              </w:rPr>
              <w:t>7</w:t>
            </w:r>
          </w:p>
        </w:tc>
        <w:tc>
          <w:tcPr>
            <w:tcW w:w="721" w:type="pct"/>
            <w:vAlign w:val="center"/>
          </w:tcPr>
          <w:p w14:paraId="3578FD6B">
            <w:pPr>
              <w:widowControl/>
              <w:spacing w:line="240" w:lineRule="auto"/>
              <w:ind w:firstLine="0" w:firstLineChars="0"/>
              <w:jc w:val="center"/>
              <w:rPr>
                <w:rFonts w:cs="Times New Roman"/>
                <w:kern w:val="0"/>
                <w:sz w:val="21"/>
                <w:szCs w:val="21"/>
              </w:rPr>
            </w:pPr>
            <w:r>
              <w:rPr>
                <w:rFonts w:hint="eastAsia" w:cs="Times New Roman"/>
                <w:kern w:val="0"/>
                <w:sz w:val="21"/>
                <w:szCs w:val="21"/>
              </w:rPr>
              <w:t>镍</w:t>
            </w:r>
          </w:p>
        </w:tc>
        <w:tc>
          <w:tcPr>
            <w:tcW w:w="461" w:type="pct"/>
            <w:vAlign w:val="center"/>
          </w:tcPr>
          <w:p w14:paraId="7D9ED4D9">
            <w:pPr>
              <w:widowControl/>
              <w:spacing w:line="240" w:lineRule="auto"/>
              <w:ind w:firstLine="0" w:firstLineChars="0"/>
              <w:jc w:val="center"/>
              <w:rPr>
                <w:rFonts w:cs="Times New Roman"/>
                <w:kern w:val="0"/>
                <w:sz w:val="21"/>
                <w:szCs w:val="21"/>
              </w:rPr>
            </w:pPr>
            <w:r>
              <w:rPr>
                <w:rFonts w:cs="Times New Roman"/>
                <w:kern w:val="0"/>
                <w:sz w:val="21"/>
                <w:szCs w:val="21"/>
              </w:rPr>
              <w:t>7440-02-0</w:t>
            </w:r>
          </w:p>
        </w:tc>
        <w:tc>
          <w:tcPr>
            <w:tcW w:w="470" w:type="pct"/>
            <w:vAlign w:val="center"/>
          </w:tcPr>
          <w:p w14:paraId="51588703">
            <w:pPr>
              <w:widowControl/>
              <w:spacing w:line="240" w:lineRule="auto"/>
              <w:ind w:firstLine="0" w:firstLineChars="0"/>
              <w:jc w:val="center"/>
              <w:rPr>
                <w:rFonts w:cs="Times New Roman"/>
                <w:kern w:val="0"/>
                <w:sz w:val="21"/>
                <w:szCs w:val="21"/>
              </w:rPr>
            </w:pPr>
            <w:r>
              <w:rPr>
                <w:rFonts w:hint="eastAsia" w:cs="Times New Roman"/>
                <w:kern w:val="0"/>
                <w:sz w:val="21"/>
                <w:szCs w:val="21"/>
              </w:rPr>
              <w:t>20</w:t>
            </w:r>
          </w:p>
        </w:tc>
        <w:tc>
          <w:tcPr>
            <w:tcW w:w="470" w:type="pct"/>
            <w:vAlign w:val="center"/>
          </w:tcPr>
          <w:p w14:paraId="4C40536F">
            <w:pPr>
              <w:widowControl/>
              <w:spacing w:line="240" w:lineRule="auto"/>
              <w:ind w:firstLine="0" w:firstLineChars="0"/>
              <w:jc w:val="center"/>
              <w:rPr>
                <w:rFonts w:cs="Times New Roman"/>
                <w:kern w:val="0"/>
                <w:sz w:val="21"/>
                <w:szCs w:val="21"/>
              </w:rPr>
            </w:pPr>
            <w:r>
              <w:rPr>
                <w:rFonts w:hint="eastAsia" w:cs="Times New Roman"/>
                <w:kern w:val="0"/>
                <w:sz w:val="21"/>
                <w:szCs w:val="21"/>
              </w:rPr>
              <w:t>15</w:t>
            </w:r>
          </w:p>
        </w:tc>
        <w:tc>
          <w:tcPr>
            <w:tcW w:w="470" w:type="pct"/>
            <w:vAlign w:val="center"/>
          </w:tcPr>
          <w:p w14:paraId="5ACD9EE4">
            <w:pPr>
              <w:widowControl/>
              <w:spacing w:line="240" w:lineRule="auto"/>
              <w:ind w:firstLine="0" w:firstLineChars="0"/>
              <w:jc w:val="center"/>
              <w:rPr>
                <w:rFonts w:cs="Times New Roman"/>
                <w:kern w:val="0"/>
                <w:sz w:val="21"/>
                <w:szCs w:val="21"/>
              </w:rPr>
            </w:pPr>
            <w:r>
              <w:rPr>
                <w:rFonts w:hint="eastAsia" w:cs="Times New Roman"/>
                <w:kern w:val="0"/>
                <w:sz w:val="21"/>
                <w:szCs w:val="21"/>
              </w:rPr>
              <w:t>15</w:t>
            </w:r>
          </w:p>
        </w:tc>
        <w:tc>
          <w:tcPr>
            <w:tcW w:w="470" w:type="pct"/>
            <w:vAlign w:val="center"/>
          </w:tcPr>
          <w:p w14:paraId="1D557B4E">
            <w:pPr>
              <w:spacing w:line="240" w:lineRule="auto"/>
              <w:ind w:firstLine="0" w:firstLineChars="0"/>
              <w:jc w:val="center"/>
              <w:rPr>
                <w:rFonts w:cs="Times New Roman"/>
                <w:sz w:val="21"/>
                <w:szCs w:val="21"/>
              </w:rPr>
            </w:pPr>
            <w:r>
              <w:rPr>
                <w:rFonts w:hint="eastAsia" w:cs="Times New Roman"/>
                <w:sz w:val="21"/>
                <w:szCs w:val="21"/>
              </w:rPr>
              <w:t>25</w:t>
            </w:r>
          </w:p>
        </w:tc>
        <w:tc>
          <w:tcPr>
            <w:tcW w:w="470" w:type="pct"/>
            <w:vAlign w:val="center"/>
          </w:tcPr>
          <w:p w14:paraId="73681714">
            <w:pPr>
              <w:spacing w:line="240" w:lineRule="auto"/>
              <w:ind w:firstLine="0" w:firstLineChars="0"/>
              <w:jc w:val="center"/>
              <w:rPr>
                <w:rFonts w:cs="Times New Roman"/>
                <w:sz w:val="21"/>
                <w:szCs w:val="21"/>
              </w:rPr>
            </w:pPr>
            <w:r>
              <w:rPr>
                <w:rFonts w:hint="eastAsia" w:cs="Times New Roman"/>
                <w:sz w:val="21"/>
                <w:szCs w:val="21"/>
              </w:rPr>
              <w:t>17</w:t>
            </w:r>
          </w:p>
        </w:tc>
        <w:tc>
          <w:tcPr>
            <w:tcW w:w="471" w:type="pct"/>
            <w:vAlign w:val="center"/>
          </w:tcPr>
          <w:p w14:paraId="7B4A5FDC">
            <w:pPr>
              <w:spacing w:line="240" w:lineRule="auto"/>
              <w:ind w:firstLine="0" w:firstLineChars="0"/>
              <w:jc w:val="center"/>
              <w:rPr>
                <w:rFonts w:cs="Times New Roman"/>
                <w:sz w:val="21"/>
                <w:szCs w:val="21"/>
              </w:rPr>
            </w:pPr>
            <w:r>
              <w:rPr>
                <w:rFonts w:hint="eastAsia" w:cs="Times New Roman"/>
                <w:sz w:val="21"/>
                <w:szCs w:val="21"/>
              </w:rPr>
              <w:t>19</w:t>
            </w:r>
          </w:p>
        </w:tc>
        <w:tc>
          <w:tcPr>
            <w:tcW w:w="495" w:type="pct"/>
            <w:vAlign w:val="center"/>
          </w:tcPr>
          <w:p w14:paraId="6F4C7607">
            <w:pPr>
              <w:spacing w:line="240" w:lineRule="auto"/>
              <w:ind w:firstLine="0" w:firstLineChars="0"/>
              <w:jc w:val="center"/>
              <w:rPr>
                <w:rFonts w:cs="Times New Roman"/>
                <w:sz w:val="21"/>
                <w:szCs w:val="21"/>
              </w:rPr>
            </w:pPr>
            <w:r>
              <w:rPr>
                <w:rFonts w:cs="Times New Roman"/>
                <w:sz w:val="21"/>
                <w:szCs w:val="21"/>
              </w:rPr>
              <w:t>900</w:t>
            </w:r>
          </w:p>
        </w:tc>
        <w:tc>
          <w:tcPr>
            <w:tcW w:w="251" w:type="pct"/>
            <w:tcBorders>
              <w:right w:val="nil"/>
            </w:tcBorders>
            <w:vAlign w:val="center"/>
          </w:tcPr>
          <w:p w14:paraId="6358D52A">
            <w:pPr>
              <w:spacing w:line="240" w:lineRule="auto"/>
              <w:ind w:firstLine="0" w:firstLineChars="0"/>
              <w:jc w:val="center"/>
              <w:rPr>
                <w:rFonts w:cs="Times New Roman"/>
                <w:szCs w:val="24"/>
              </w:rPr>
            </w:pPr>
            <w:r>
              <w:rPr>
                <w:rFonts w:hint="eastAsia" w:cs="Times New Roman"/>
                <w:sz w:val="21"/>
                <w:szCs w:val="21"/>
              </w:rPr>
              <w:t>达标</w:t>
            </w:r>
          </w:p>
        </w:tc>
      </w:tr>
      <w:tr w14:paraId="66283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1"/>
            <w:tcBorders>
              <w:top w:val="single" w:color="auto" w:sz="4" w:space="0"/>
              <w:left w:val="nil"/>
              <w:bottom w:val="single" w:color="auto" w:sz="4" w:space="0"/>
              <w:right w:val="nil"/>
            </w:tcBorders>
            <w:vAlign w:val="center"/>
          </w:tcPr>
          <w:p w14:paraId="4C409F33">
            <w:pPr>
              <w:widowControl/>
              <w:spacing w:line="240" w:lineRule="auto"/>
              <w:ind w:firstLine="0" w:firstLineChars="0"/>
              <w:jc w:val="center"/>
              <w:rPr>
                <w:rFonts w:cs="Times New Roman"/>
                <w:kern w:val="0"/>
                <w:sz w:val="21"/>
                <w:szCs w:val="21"/>
              </w:rPr>
            </w:pPr>
            <w:r>
              <w:rPr>
                <w:rFonts w:hint="eastAsia" w:cs="Times New Roman"/>
                <w:kern w:val="0"/>
                <w:sz w:val="21"/>
                <w:szCs w:val="21"/>
              </w:rPr>
              <w:t>挥发性有机物（单位：</w:t>
            </w:r>
            <w:r>
              <w:rPr>
                <w:rFonts w:cs="Times New Roman"/>
                <w:kern w:val="0"/>
                <w:sz w:val="21"/>
                <w:szCs w:val="21"/>
              </w:rPr>
              <w:t>mg/kg</w:t>
            </w:r>
            <w:r>
              <w:rPr>
                <w:rFonts w:hint="eastAsia" w:cs="Times New Roman"/>
                <w:kern w:val="0"/>
                <w:sz w:val="21"/>
                <w:szCs w:val="21"/>
              </w:rPr>
              <w:t>）</w:t>
            </w:r>
          </w:p>
        </w:tc>
      </w:tr>
      <w:tr w14:paraId="4BE70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3018D391">
            <w:pPr>
              <w:widowControl/>
              <w:spacing w:line="240" w:lineRule="auto"/>
              <w:ind w:firstLine="0" w:firstLineChars="0"/>
              <w:jc w:val="center"/>
              <w:rPr>
                <w:rFonts w:cs="Times New Roman"/>
                <w:kern w:val="0"/>
                <w:sz w:val="21"/>
                <w:szCs w:val="21"/>
              </w:rPr>
            </w:pPr>
            <w:r>
              <w:rPr>
                <w:rFonts w:cs="Times New Roman"/>
                <w:kern w:val="0"/>
                <w:sz w:val="21"/>
                <w:szCs w:val="21"/>
              </w:rPr>
              <w:t>8</w:t>
            </w:r>
          </w:p>
        </w:tc>
        <w:tc>
          <w:tcPr>
            <w:tcW w:w="721" w:type="pct"/>
            <w:tcBorders>
              <w:top w:val="single" w:color="auto" w:sz="4" w:space="0"/>
              <w:left w:val="single" w:color="auto" w:sz="4" w:space="0"/>
              <w:bottom w:val="single" w:color="auto" w:sz="4" w:space="0"/>
              <w:right w:val="single" w:color="auto" w:sz="4" w:space="0"/>
            </w:tcBorders>
            <w:vAlign w:val="center"/>
          </w:tcPr>
          <w:p w14:paraId="43791E25">
            <w:pPr>
              <w:widowControl/>
              <w:spacing w:line="240" w:lineRule="auto"/>
              <w:ind w:firstLine="0" w:firstLineChars="0"/>
              <w:jc w:val="center"/>
              <w:rPr>
                <w:rFonts w:cs="Times New Roman"/>
                <w:kern w:val="0"/>
                <w:sz w:val="21"/>
                <w:szCs w:val="21"/>
              </w:rPr>
            </w:pPr>
            <w:r>
              <w:rPr>
                <w:rFonts w:hint="eastAsia" w:cs="Times New Roman"/>
                <w:kern w:val="0"/>
                <w:sz w:val="21"/>
                <w:szCs w:val="21"/>
              </w:rPr>
              <w:t>四氯化碳</w:t>
            </w:r>
          </w:p>
        </w:tc>
        <w:tc>
          <w:tcPr>
            <w:tcW w:w="461" w:type="pct"/>
            <w:tcBorders>
              <w:top w:val="single" w:color="auto" w:sz="4" w:space="0"/>
              <w:left w:val="single" w:color="auto" w:sz="4" w:space="0"/>
              <w:bottom w:val="single" w:color="auto" w:sz="4" w:space="0"/>
              <w:right w:val="single" w:color="auto" w:sz="4" w:space="0"/>
            </w:tcBorders>
            <w:vAlign w:val="center"/>
          </w:tcPr>
          <w:p w14:paraId="18863B53">
            <w:pPr>
              <w:widowControl/>
              <w:spacing w:line="240" w:lineRule="auto"/>
              <w:ind w:firstLine="0" w:firstLineChars="0"/>
              <w:jc w:val="center"/>
              <w:rPr>
                <w:rFonts w:cs="Times New Roman"/>
                <w:kern w:val="0"/>
                <w:sz w:val="21"/>
                <w:szCs w:val="21"/>
              </w:rPr>
            </w:pPr>
            <w:r>
              <w:rPr>
                <w:rFonts w:cs="Times New Roman"/>
                <w:kern w:val="0"/>
                <w:sz w:val="21"/>
                <w:szCs w:val="21"/>
              </w:rPr>
              <w:t>56-23-5</w:t>
            </w:r>
          </w:p>
        </w:tc>
        <w:tc>
          <w:tcPr>
            <w:tcW w:w="470" w:type="pct"/>
            <w:tcBorders>
              <w:top w:val="single" w:color="auto" w:sz="4" w:space="0"/>
              <w:left w:val="single" w:color="auto" w:sz="4" w:space="0"/>
              <w:right w:val="single" w:color="auto" w:sz="4" w:space="0"/>
            </w:tcBorders>
            <w:vAlign w:val="center"/>
          </w:tcPr>
          <w:p w14:paraId="709E965F">
            <w:pPr>
              <w:widowControl/>
              <w:spacing w:line="240" w:lineRule="auto"/>
              <w:ind w:firstLine="0" w:firstLineChars="0"/>
              <w:jc w:val="center"/>
              <w:rPr>
                <w:rFonts w:cs="Times New Roman"/>
                <w:kern w:val="0"/>
                <w:sz w:val="21"/>
                <w:szCs w:val="21"/>
              </w:rPr>
            </w:pPr>
            <w:r>
              <w:rPr>
                <w:rFonts w:hint="eastAsia" w:cs="Times New Roman"/>
                <w:kern w:val="0"/>
                <w:sz w:val="21"/>
                <w:szCs w:val="21"/>
              </w:rPr>
              <w:t>6.5</w:t>
            </w:r>
            <w:r>
              <w:rPr>
                <w:rFonts w:cs="Times New Roman"/>
                <w:kern w:val="0"/>
                <w:sz w:val="21"/>
                <w:szCs w:val="21"/>
              </w:rPr>
              <w:t>×10</w:t>
            </w:r>
            <w:r>
              <w:rPr>
                <w:rFonts w:cs="Times New Roman"/>
                <w:kern w:val="0"/>
                <w:sz w:val="21"/>
                <w:szCs w:val="21"/>
                <w:vertAlign w:val="superscript"/>
              </w:rPr>
              <w:t>-3</w:t>
            </w:r>
          </w:p>
        </w:tc>
        <w:tc>
          <w:tcPr>
            <w:tcW w:w="470" w:type="pct"/>
            <w:tcBorders>
              <w:top w:val="single" w:color="auto" w:sz="4" w:space="0"/>
              <w:left w:val="single" w:color="auto" w:sz="4" w:space="0"/>
              <w:right w:val="single" w:color="auto" w:sz="4" w:space="0"/>
            </w:tcBorders>
            <w:vAlign w:val="center"/>
          </w:tcPr>
          <w:p w14:paraId="0EFBB5B2">
            <w:pPr>
              <w:widowControl/>
              <w:spacing w:line="240" w:lineRule="auto"/>
              <w:ind w:firstLine="0" w:firstLineChars="0"/>
              <w:jc w:val="center"/>
              <w:rPr>
                <w:rFonts w:cs="Times New Roman"/>
                <w:kern w:val="0"/>
                <w:sz w:val="21"/>
                <w:szCs w:val="21"/>
              </w:rPr>
            </w:pPr>
            <w:r>
              <w:rPr>
                <w:rFonts w:hint="eastAsia" w:cs="Times New Roman"/>
                <w:kern w:val="0"/>
                <w:sz w:val="21"/>
                <w:szCs w:val="21"/>
              </w:rPr>
              <w:t>7.4</w:t>
            </w:r>
            <w:r>
              <w:rPr>
                <w:rFonts w:cs="Times New Roman"/>
                <w:kern w:val="0"/>
                <w:sz w:val="21"/>
                <w:szCs w:val="21"/>
              </w:rPr>
              <w:t>×10</w:t>
            </w:r>
            <w:r>
              <w:rPr>
                <w:rFonts w:cs="Times New Roman"/>
                <w:kern w:val="0"/>
                <w:sz w:val="21"/>
                <w:szCs w:val="21"/>
                <w:vertAlign w:val="superscript"/>
              </w:rPr>
              <w:t>-3</w:t>
            </w:r>
          </w:p>
        </w:tc>
        <w:tc>
          <w:tcPr>
            <w:tcW w:w="470" w:type="pct"/>
            <w:tcBorders>
              <w:top w:val="single" w:color="auto" w:sz="4" w:space="0"/>
              <w:left w:val="single" w:color="auto" w:sz="4" w:space="0"/>
              <w:right w:val="single" w:color="auto" w:sz="4" w:space="0"/>
            </w:tcBorders>
            <w:vAlign w:val="center"/>
          </w:tcPr>
          <w:p w14:paraId="697638D1">
            <w:pPr>
              <w:widowControl/>
              <w:spacing w:line="240" w:lineRule="auto"/>
              <w:ind w:firstLine="0" w:firstLineChars="0"/>
              <w:jc w:val="center"/>
              <w:rPr>
                <w:rFonts w:cs="Times New Roman"/>
                <w:kern w:val="0"/>
                <w:sz w:val="21"/>
                <w:szCs w:val="21"/>
              </w:rPr>
            </w:pPr>
            <w:r>
              <w:rPr>
                <w:rFonts w:hint="eastAsia" w:cs="Times New Roman"/>
                <w:kern w:val="0"/>
                <w:sz w:val="21"/>
                <w:szCs w:val="21"/>
              </w:rPr>
              <w:t>8.2</w:t>
            </w:r>
            <w:r>
              <w:rPr>
                <w:rFonts w:cs="Times New Roman"/>
                <w:kern w:val="0"/>
                <w:sz w:val="21"/>
                <w:szCs w:val="21"/>
              </w:rPr>
              <w:t>×10</w:t>
            </w:r>
            <w:r>
              <w:rPr>
                <w:rFonts w:cs="Times New Roman"/>
                <w:kern w:val="0"/>
                <w:sz w:val="21"/>
                <w:szCs w:val="21"/>
                <w:vertAlign w:val="superscript"/>
              </w:rPr>
              <w:t>-3</w:t>
            </w:r>
          </w:p>
        </w:tc>
        <w:tc>
          <w:tcPr>
            <w:tcW w:w="470" w:type="pct"/>
            <w:tcBorders>
              <w:top w:val="single" w:color="auto" w:sz="4" w:space="0"/>
              <w:left w:val="single" w:color="auto" w:sz="4" w:space="0"/>
              <w:right w:val="single" w:color="auto" w:sz="4" w:space="0"/>
            </w:tcBorders>
            <w:vAlign w:val="center"/>
          </w:tcPr>
          <w:p w14:paraId="776E8AE1">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top w:val="single" w:color="auto" w:sz="4" w:space="0"/>
              <w:left w:val="single" w:color="auto" w:sz="4" w:space="0"/>
              <w:right w:val="single" w:color="auto" w:sz="4" w:space="0"/>
            </w:tcBorders>
            <w:vAlign w:val="center"/>
          </w:tcPr>
          <w:p w14:paraId="66D2DB96">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top w:val="single" w:color="auto" w:sz="4" w:space="0"/>
              <w:left w:val="single" w:color="auto" w:sz="4" w:space="0"/>
              <w:right w:val="single" w:color="auto" w:sz="4" w:space="0"/>
            </w:tcBorders>
            <w:vAlign w:val="center"/>
          </w:tcPr>
          <w:p w14:paraId="423F0174">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06279191">
            <w:pPr>
              <w:spacing w:line="240" w:lineRule="auto"/>
              <w:ind w:firstLine="0" w:firstLineChars="0"/>
              <w:jc w:val="center"/>
              <w:rPr>
                <w:rFonts w:cs="Times New Roman"/>
                <w:sz w:val="21"/>
                <w:szCs w:val="21"/>
              </w:rPr>
            </w:pPr>
            <w:r>
              <w:rPr>
                <w:rFonts w:cs="Times New Roman"/>
                <w:sz w:val="21"/>
                <w:szCs w:val="21"/>
              </w:rPr>
              <w:t>2.8</w:t>
            </w:r>
          </w:p>
        </w:tc>
        <w:tc>
          <w:tcPr>
            <w:tcW w:w="251" w:type="pct"/>
            <w:tcBorders>
              <w:top w:val="single" w:color="auto" w:sz="4" w:space="0"/>
              <w:left w:val="single" w:color="auto" w:sz="4" w:space="0"/>
              <w:bottom w:val="single" w:color="auto" w:sz="4" w:space="0"/>
              <w:right w:val="nil"/>
            </w:tcBorders>
            <w:vAlign w:val="center"/>
          </w:tcPr>
          <w:p w14:paraId="370813A9">
            <w:pPr>
              <w:spacing w:line="240" w:lineRule="auto"/>
              <w:ind w:firstLine="0" w:firstLineChars="0"/>
              <w:jc w:val="center"/>
              <w:rPr>
                <w:rFonts w:cs="Times New Roman"/>
                <w:szCs w:val="24"/>
              </w:rPr>
            </w:pPr>
            <w:r>
              <w:rPr>
                <w:rFonts w:hint="eastAsia" w:cs="Times New Roman"/>
                <w:sz w:val="21"/>
                <w:szCs w:val="21"/>
              </w:rPr>
              <w:t>达标</w:t>
            </w:r>
          </w:p>
        </w:tc>
      </w:tr>
      <w:tr w14:paraId="39DE5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78D54C6D">
            <w:pPr>
              <w:widowControl/>
              <w:spacing w:line="240" w:lineRule="auto"/>
              <w:ind w:firstLine="0" w:firstLineChars="0"/>
              <w:jc w:val="center"/>
              <w:rPr>
                <w:rFonts w:cs="Times New Roman"/>
                <w:kern w:val="0"/>
                <w:sz w:val="21"/>
                <w:szCs w:val="21"/>
              </w:rPr>
            </w:pPr>
            <w:r>
              <w:rPr>
                <w:rFonts w:cs="Times New Roman"/>
                <w:kern w:val="0"/>
                <w:sz w:val="21"/>
                <w:szCs w:val="21"/>
              </w:rPr>
              <w:t>9</w:t>
            </w:r>
          </w:p>
        </w:tc>
        <w:tc>
          <w:tcPr>
            <w:tcW w:w="721" w:type="pct"/>
            <w:tcBorders>
              <w:top w:val="single" w:color="auto" w:sz="4" w:space="0"/>
              <w:left w:val="single" w:color="auto" w:sz="4" w:space="0"/>
              <w:bottom w:val="single" w:color="auto" w:sz="4" w:space="0"/>
              <w:right w:val="single" w:color="auto" w:sz="4" w:space="0"/>
            </w:tcBorders>
            <w:vAlign w:val="center"/>
          </w:tcPr>
          <w:p w14:paraId="29E1E716">
            <w:pPr>
              <w:widowControl/>
              <w:spacing w:line="240" w:lineRule="auto"/>
              <w:ind w:firstLine="0" w:firstLineChars="0"/>
              <w:jc w:val="center"/>
              <w:rPr>
                <w:rFonts w:cs="Times New Roman"/>
                <w:kern w:val="0"/>
                <w:sz w:val="21"/>
                <w:szCs w:val="21"/>
              </w:rPr>
            </w:pPr>
            <w:r>
              <w:rPr>
                <w:rFonts w:hint="eastAsia" w:cs="Times New Roman"/>
                <w:kern w:val="0"/>
                <w:sz w:val="21"/>
                <w:szCs w:val="21"/>
              </w:rPr>
              <w:t>氯仿</w:t>
            </w:r>
          </w:p>
        </w:tc>
        <w:tc>
          <w:tcPr>
            <w:tcW w:w="461" w:type="pct"/>
            <w:tcBorders>
              <w:top w:val="single" w:color="auto" w:sz="4" w:space="0"/>
              <w:left w:val="single" w:color="auto" w:sz="4" w:space="0"/>
              <w:bottom w:val="single" w:color="auto" w:sz="4" w:space="0"/>
              <w:right w:val="single" w:color="auto" w:sz="4" w:space="0"/>
            </w:tcBorders>
            <w:vAlign w:val="center"/>
          </w:tcPr>
          <w:p w14:paraId="5A6B09A3">
            <w:pPr>
              <w:widowControl/>
              <w:spacing w:line="240" w:lineRule="auto"/>
              <w:ind w:firstLine="0" w:firstLineChars="0"/>
              <w:jc w:val="center"/>
              <w:rPr>
                <w:rFonts w:cs="Times New Roman"/>
                <w:kern w:val="0"/>
                <w:sz w:val="21"/>
                <w:szCs w:val="21"/>
              </w:rPr>
            </w:pPr>
            <w:r>
              <w:rPr>
                <w:rFonts w:cs="Times New Roman"/>
                <w:kern w:val="0"/>
                <w:sz w:val="21"/>
                <w:szCs w:val="21"/>
              </w:rPr>
              <w:t>67-66-3</w:t>
            </w:r>
          </w:p>
        </w:tc>
        <w:tc>
          <w:tcPr>
            <w:tcW w:w="470" w:type="pct"/>
            <w:tcBorders>
              <w:left w:val="single" w:color="auto" w:sz="4" w:space="0"/>
              <w:right w:val="single" w:color="auto" w:sz="4" w:space="0"/>
            </w:tcBorders>
            <w:vAlign w:val="center"/>
          </w:tcPr>
          <w:p w14:paraId="575D9977">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3CD54F9C">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5E5BE44B">
            <w:pPr>
              <w:spacing w:line="240" w:lineRule="auto"/>
              <w:ind w:firstLine="0" w:firstLineChars="0"/>
              <w:jc w:val="center"/>
              <w:rPr>
                <w:rFonts w:cs="Times New Roman"/>
                <w:szCs w:val="24"/>
              </w:rPr>
            </w:pPr>
            <w:r>
              <w:rPr>
                <w:rFonts w:hint="eastAsia" w:cs="Times New Roman"/>
                <w:sz w:val="21"/>
                <w:szCs w:val="21"/>
              </w:rPr>
              <w:t>1.2</w:t>
            </w:r>
            <w:r>
              <w:rPr>
                <w:rFonts w:cs="Times New Roman"/>
                <w:sz w:val="21"/>
                <w:szCs w:val="21"/>
              </w:rPr>
              <w:t>×10</w:t>
            </w:r>
            <w:r>
              <w:rPr>
                <w:rFonts w:cs="Times New Roman"/>
                <w:sz w:val="21"/>
                <w:szCs w:val="21"/>
                <w:vertAlign w:val="superscript"/>
              </w:rPr>
              <w:t>-3</w:t>
            </w:r>
          </w:p>
        </w:tc>
        <w:tc>
          <w:tcPr>
            <w:tcW w:w="470" w:type="pct"/>
            <w:tcBorders>
              <w:left w:val="single" w:color="auto" w:sz="4" w:space="0"/>
              <w:right w:val="single" w:color="auto" w:sz="4" w:space="0"/>
            </w:tcBorders>
            <w:vAlign w:val="center"/>
          </w:tcPr>
          <w:p w14:paraId="0651FC2C">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1243DF2E">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50D5AE38">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30897143">
            <w:pPr>
              <w:spacing w:line="240" w:lineRule="auto"/>
              <w:ind w:firstLine="0" w:firstLineChars="0"/>
              <w:jc w:val="center"/>
              <w:rPr>
                <w:rFonts w:cs="Times New Roman"/>
                <w:sz w:val="21"/>
                <w:szCs w:val="21"/>
              </w:rPr>
            </w:pPr>
            <w:r>
              <w:rPr>
                <w:rFonts w:cs="Times New Roman"/>
                <w:sz w:val="21"/>
                <w:szCs w:val="21"/>
              </w:rPr>
              <w:t>0.9</w:t>
            </w:r>
          </w:p>
        </w:tc>
        <w:tc>
          <w:tcPr>
            <w:tcW w:w="251" w:type="pct"/>
            <w:tcBorders>
              <w:top w:val="single" w:color="auto" w:sz="4" w:space="0"/>
              <w:left w:val="single" w:color="auto" w:sz="4" w:space="0"/>
              <w:bottom w:val="single" w:color="auto" w:sz="4" w:space="0"/>
              <w:right w:val="nil"/>
            </w:tcBorders>
            <w:vAlign w:val="center"/>
          </w:tcPr>
          <w:p w14:paraId="23CAE5CB">
            <w:pPr>
              <w:spacing w:line="240" w:lineRule="auto"/>
              <w:ind w:firstLine="0" w:firstLineChars="0"/>
              <w:jc w:val="center"/>
              <w:rPr>
                <w:rFonts w:cs="Times New Roman"/>
                <w:szCs w:val="24"/>
              </w:rPr>
            </w:pPr>
            <w:r>
              <w:rPr>
                <w:rFonts w:hint="eastAsia" w:cs="Times New Roman"/>
                <w:sz w:val="21"/>
                <w:szCs w:val="21"/>
              </w:rPr>
              <w:t>达标</w:t>
            </w:r>
          </w:p>
        </w:tc>
      </w:tr>
      <w:tr w14:paraId="10248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21BE009D">
            <w:pPr>
              <w:widowControl/>
              <w:spacing w:line="240" w:lineRule="auto"/>
              <w:ind w:firstLine="0" w:firstLineChars="0"/>
              <w:jc w:val="center"/>
              <w:rPr>
                <w:rFonts w:cs="Times New Roman"/>
                <w:kern w:val="0"/>
                <w:sz w:val="21"/>
                <w:szCs w:val="21"/>
              </w:rPr>
            </w:pPr>
            <w:r>
              <w:rPr>
                <w:rFonts w:cs="Times New Roman"/>
                <w:kern w:val="0"/>
                <w:sz w:val="21"/>
                <w:szCs w:val="21"/>
              </w:rPr>
              <w:t>10</w:t>
            </w:r>
          </w:p>
        </w:tc>
        <w:tc>
          <w:tcPr>
            <w:tcW w:w="721" w:type="pct"/>
            <w:tcBorders>
              <w:top w:val="single" w:color="auto" w:sz="4" w:space="0"/>
              <w:left w:val="single" w:color="auto" w:sz="4" w:space="0"/>
              <w:bottom w:val="single" w:color="auto" w:sz="4" w:space="0"/>
              <w:right w:val="single" w:color="auto" w:sz="4" w:space="0"/>
            </w:tcBorders>
            <w:vAlign w:val="center"/>
          </w:tcPr>
          <w:p w14:paraId="112A42AE">
            <w:pPr>
              <w:widowControl/>
              <w:spacing w:line="240" w:lineRule="auto"/>
              <w:ind w:firstLine="0" w:firstLineChars="0"/>
              <w:jc w:val="center"/>
              <w:rPr>
                <w:rFonts w:cs="Times New Roman"/>
                <w:kern w:val="0"/>
                <w:sz w:val="21"/>
                <w:szCs w:val="21"/>
              </w:rPr>
            </w:pPr>
            <w:r>
              <w:rPr>
                <w:rFonts w:hint="eastAsia" w:cs="Times New Roman"/>
                <w:kern w:val="0"/>
                <w:sz w:val="21"/>
                <w:szCs w:val="21"/>
              </w:rPr>
              <w:t>氯甲烷</w:t>
            </w:r>
          </w:p>
        </w:tc>
        <w:tc>
          <w:tcPr>
            <w:tcW w:w="461" w:type="pct"/>
            <w:tcBorders>
              <w:top w:val="single" w:color="auto" w:sz="4" w:space="0"/>
              <w:left w:val="single" w:color="auto" w:sz="4" w:space="0"/>
              <w:bottom w:val="single" w:color="auto" w:sz="4" w:space="0"/>
              <w:right w:val="single" w:color="auto" w:sz="4" w:space="0"/>
            </w:tcBorders>
            <w:vAlign w:val="center"/>
          </w:tcPr>
          <w:p w14:paraId="1D4CD72B">
            <w:pPr>
              <w:widowControl/>
              <w:spacing w:line="240" w:lineRule="auto"/>
              <w:ind w:firstLine="0" w:firstLineChars="0"/>
              <w:jc w:val="center"/>
              <w:rPr>
                <w:rFonts w:cs="Times New Roman"/>
                <w:kern w:val="0"/>
                <w:sz w:val="21"/>
                <w:szCs w:val="21"/>
              </w:rPr>
            </w:pPr>
            <w:r>
              <w:rPr>
                <w:rFonts w:cs="Times New Roman"/>
                <w:kern w:val="0"/>
                <w:sz w:val="21"/>
                <w:szCs w:val="21"/>
              </w:rPr>
              <w:t>74-87-3</w:t>
            </w:r>
          </w:p>
        </w:tc>
        <w:tc>
          <w:tcPr>
            <w:tcW w:w="470" w:type="pct"/>
            <w:tcBorders>
              <w:left w:val="single" w:color="auto" w:sz="4" w:space="0"/>
              <w:right w:val="single" w:color="auto" w:sz="4" w:space="0"/>
            </w:tcBorders>
            <w:vAlign w:val="center"/>
          </w:tcPr>
          <w:p w14:paraId="27E74AD0">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F2DDE42">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DB47BDE">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2000D11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5A61FFE0">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7CA207C4">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6F10F0C6">
            <w:pPr>
              <w:spacing w:line="240" w:lineRule="auto"/>
              <w:ind w:firstLine="0" w:firstLineChars="0"/>
              <w:jc w:val="center"/>
              <w:rPr>
                <w:rFonts w:cs="Times New Roman"/>
                <w:sz w:val="21"/>
                <w:szCs w:val="21"/>
              </w:rPr>
            </w:pPr>
            <w:r>
              <w:rPr>
                <w:rFonts w:cs="Times New Roman"/>
                <w:sz w:val="21"/>
                <w:szCs w:val="21"/>
              </w:rPr>
              <w:t>37</w:t>
            </w:r>
          </w:p>
        </w:tc>
        <w:tc>
          <w:tcPr>
            <w:tcW w:w="251" w:type="pct"/>
            <w:tcBorders>
              <w:top w:val="single" w:color="auto" w:sz="4" w:space="0"/>
              <w:left w:val="single" w:color="auto" w:sz="4" w:space="0"/>
              <w:bottom w:val="single" w:color="auto" w:sz="4" w:space="0"/>
              <w:right w:val="nil"/>
            </w:tcBorders>
            <w:vAlign w:val="center"/>
          </w:tcPr>
          <w:p w14:paraId="77F1BE75">
            <w:pPr>
              <w:spacing w:line="240" w:lineRule="auto"/>
              <w:ind w:firstLine="0" w:firstLineChars="0"/>
              <w:jc w:val="center"/>
              <w:rPr>
                <w:rFonts w:cs="Times New Roman"/>
                <w:szCs w:val="24"/>
              </w:rPr>
            </w:pPr>
            <w:r>
              <w:rPr>
                <w:rFonts w:hint="eastAsia" w:cs="Times New Roman"/>
                <w:sz w:val="21"/>
                <w:szCs w:val="21"/>
              </w:rPr>
              <w:t>达标</w:t>
            </w:r>
          </w:p>
        </w:tc>
      </w:tr>
      <w:tr w14:paraId="6E1A7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64B490CF">
            <w:pPr>
              <w:widowControl/>
              <w:spacing w:line="240" w:lineRule="auto"/>
              <w:ind w:firstLine="0" w:firstLineChars="0"/>
              <w:jc w:val="center"/>
              <w:rPr>
                <w:rFonts w:cs="Times New Roman"/>
                <w:kern w:val="0"/>
                <w:sz w:val="21"/>
                <w:szCs w:val="21"/>
              </w:rPr>
            </w:pPr>
            <w:r>
              <w:rPr>
                <w:rFonts w:cs="Times New Roman"/>
                <w:kern w:val="0"/>
                <w:sz w:val="21"/>
                <w:szCs w:val="21"/>
              </w:rPr>
              <w:t>11</w:t>
            </w:r>
          </w:p>
        </w:tc>
        <w:tc>
          <w:tcPr>
            <w:tcW w:w="721" w:type="pct"/>
            <w:tcBorders>
              <w:top w:val="single" w:color="auto" w:sz="4" w:space="0"/>
              <w:left w:val="single" w:color="auto" w:sz="4" w:space="0"/>
              <w:bottom w:val="single" w:color="auto" w:sz="4" w:space="0"/>
              <w:right w:val="single" w:color="auto" w:sz="4" w:space="0"/>
            </w:tcBorders>
            <w:vAlign w:val="center"/>
          </w:tcPr>
          <w:p w14:paraId="7E2451BA">
            <w:pPr>
              <w:widowControl/>
              <w:spacing w:line="240" w:lineRule="auto"/>
              <w:ind w:firstLine="0" w:firstLineChars="0"/>
              <w:jc w:val="center"/>
              <w:rPr>
                <w:rFonts w:cs="Times New Roman"/>
                <w:kern w:val="0"/>
                <w:sz w:val="21"/>
                <w:szCs w:val="21"/>
              </w:rPr>
            </w:pPr>
            <w:r>
              <w:rPr>
                <w:rFonts w:cs="Times New Roman"/>
                <w:kern w:val="0"/>
                <w:sz w:val="21"/>
                <w:szCs w:val="21"/>
              </w:rPr>
              <w:t>1,1-</w:t>
            </w:r>
            <w:r>
              <w:rPr>
                <w:rFonts w:hint="eastAsia" w:cs="Times New Roman"/>
                <w:kern w:val="0"/>
                <w:sz w:val="21"/>
                <w:szCs w:val="21"/>
              </w:rPr>
              <w:t>二氯乙烷</w:t>
            </w:r>
          </w:p>
        </w:tc>
        <w:tc>
          <w:tcPr>
            <w:tcW w:w="461" w:type="pct"/>
            <w:tcBorders>
              <w:top w:val="single" w:color="auto" w:sz="4" w:space="0"/>
              <w:left w:val="single" w:color="auto" w:sz="4" w:space="0"/>
              <w:bottom w:val="single" w:color="auto" w:sz="4" w:space="0"/>
              <w:right w:val="single" w:color="auto" w:sz="4" w:space="0"/>
            </w:tcBorders>
            <w:vAlign w:val="center"/>
          </w:tcPr>
          <w:p w14:paraId="5260486D">
            <w:pPr>
              <w:widowControl/>
              <w:spacing w:line="240" w:lineRule="auto"/>
              <w:ind w:firstLine="0" w:firstLineChars="0"/>
              <w:jc w:val="center"/>
              <w:rPr>
                <w:rFonts w:cs="Times New Roman"/>
                <w:kern w:val="0"/>
                <w:sz w:val="21"/>
                <w:szCs w:val="21"/>
              </w:rPr>
            </w:pPr>
            <w:r>
              <w:rPr>
                <w:rFonts w:cs="Times New Roman"/>
                <w:kern w:val="0"/>
                <w:sz w:val="21"/>
                <w:szCs w:val="21"/>
              </w:rPr>
              <w:t>75-34-3</w:t>
            </w:r>
          </w:p>
        </w:tc>
        <w:tc>
          <w:tcPr>
            <w:tcW w:w="470" w:type="pct"/>
            <w:tcBorders>
              <w:left w:val="single" w:color="auto" w:sz="4" w:space="0"/>
              <w:right w:val="single" w:color="auto" w:sz="4" w:space="0"/>
            </w:tcBorders>
            <w:vAlign w:val="center"/>
          </w:tcPr>
          <w:p w14:paraId="52C7612D">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45E7E48C">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6C37A998">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2E722B2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6CEE1F41">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0631E146">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429BFA32">
            <w:pPr>
              <w:spacing w:line="240" w:lineRule="auto"/>
              <w:ind w:firstLine="0" w:firstLineChars="0"/>
              <w:jc w:val="center"/>
              <w:rPr>
                <w:rFonts w:cs="Times New Roman"/>
                <w:sz w:val="21"/>
                <w:szCs w:val="21"/>
              </w:rPr>
            </w:pPr>
            <w:r>
              <w:rPr>
                <w:rFonts w:cs="Times New Roman"/>
                <w:sz w:val="21"/>
                <w:szCs w:val="21"/>
              </w:rPr>
              <w:t>9</w:t>
            </w:r>
          </w:p>
        </w:tc>
        <w:tc>
          <w:tcPr>
            <w:tcW w:w="251" w:type="pct"/>
            <w:tcBorders>
              <w:top w:val="single" w:color="auto" w:sz="4" w:space="0"/>
              <w:left w:val="single" w:color="auto" w:sz="4" w:space="0"/>
              <w:bottom w:val="single" w:color="auto" w:sz="4" w:space="0"/>
              <w:right w:val="nil"/>
            </w:tcBorders>
            <w:vAlign w:val="center"/>
          </w:tcPr>
          <w:p w14:paraId="74DA19BE">
            <w:pPr>
              <w:spacing w:line="240" w:lineRule="auto"/>
              <w:ind w:firstLine="0" w:firstLineChars="0"/>
              <w:jc w:val="center"/>
              <w:rPr>
                <w:rFonts w:cs="Times New Roman"/>
                <w:szCs w:val="24"/>
              </w:rPr>
            </w:pPr>
            <w:r>
              <w:rPr>
                <w:rFonts w:hint="eastAsia" w:cs="Times New Roman"/>
                <w:sz w:val="21"/>
                <w:szCs w:val="21"/>
              </w:rPr>
              <w:t>达标</w:t>
            </w:r>
          </w:p>
        </w:tc>
      </w:tr>
      <w:tr w14:paraId="4AAA3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08318277">
            <w:pPr>
              <w:widowControl/>
              <w:spacing w:line="240" w:lineRule="auto"/>
              <w:ind w:firstLine="0" w:firstLineChars="0"/>
              <w:jc w:val="center"/>
              <w:rPr>
                <w:rFonts w:cs="Times New Roman"/>
                <w:kern w:val="0"/>
                <w:sz w:val="21"/>
                <w:szCs w:val="21"/>
              </w:rPr>
            </w:pPr>
            <w:r>
              <w:rPr>
                <w:rFonts w:cs="Times New Roman"/>
                <w:kern w:val="0"/>
                <w:sz w:val="21"/>
                <w:szCs w:val="21"/>
              </w:rPr>
              <w:t>12</w:t>
            </w:r>
          </w:p>
        </w:tc>
        <w:tc>
          <w:tcPr>
            <w:tcW w:w="721" w:type="pct"/>
            <w:tcBorders>
              <w:top w:val="single" w:color="auto" w:sz="4" w:space="0"/>
              <w:left w:val="single" w:color="auto" w:sz="4" w:space="0"/>
              <w:bottom w:val="single" w:color="auto" w:sz="4" w:space="0"/>
              <w:right w:val="single" w:color="auto" w:sz="4" w:space="0"/>
            </w:tcBorders>
            <w:vAlign w:val="center"/>
          </w:tcPr>
          <w:p w14:paraId="6E66B990">
            <w:pPr>
              <w:widowControl/>
              <w:spacing w:line="240" w:lineRule="auto"/>
              <w:ind w:firstLine="0" w:firstLineChars="0"/>
              <w:jc w:val="center"/>
              <w:rPr>
                <w:rFonts w:cs="Times New Roman"/>
                <w:kern w:val="0"/>
                <w:sz w:val="21"/>
                <w:szCs w:val="21"/>
              </w:rPr>
            </w:pPr>
            <w:r>
              <w:rPr>
                <w:rFonts w:cs="Times New Roman"/>
                <w:kern w:val="0"/>
                <w:sz w:val="21"/>
                <w:szCs w:val="21"/>
              </w:rPr>
              <w:t>1,2-</w:t>
            </w:r>
            <w:r>
              <w:rPr>
                <w:rFonts w:hint="eastAsia" w:cs="Times New Roman"/>
                <w:kern w:val="0"/>
                <w:sz w:val="21"/>
                <w:szCs w:val="21"/>
              </w:rPr>
              <w:t>二氯乙烷</w:t>
            </w:r>
          </w:p>
        </w:tc>
        <w:tc>
          <w:tcPr>
            <w:tcW w:w="461" w:type="pct"/>
            <w:tcBorders>
              <w:top w:val="single" w:color="auto" w:sz="4" w:space="0"/>
              <w:left w:val="single" w:color="auto" w:sz="4" w:space="0"/>
              <w:bottom w:val="single" w:color="auto" w:sz="4" w:space="0"/>
              <w:right w:val="single" w:color="auto" w:sz="4" w:space="0"/>
            </w:tcBorders>
            <w:vAlign w:val="center"/>
          </w:tcPr>
          <w:p w14:paraId="75E9BB33">
            <w:pPr>
              <w:widowControl/>
              <w:spacing w:line="240" w:lineRule="auto"/>
              <w:ind w:firstLine="0" w:firstLineChars="0"/>
              <w:jc w:val="center"/>
              <w:rPr>
                <w:rFonts w:cs="Times New Roman"/>
                <w:kern w:val="0"/>
                <w:sz w:val="21"/>
                <w:szCs w:val="21"/>
              </w:rPr>
            </w:pPr>
            <w:r>
              <w:rPr>
                <w:rFonts w:cs="Times New Roman"/>
                <w:kern w:val="0"/>
                <w:sz w:val="21"/>
                <w:szCs w:val="21"/>
              </w:rPr>
              <w:t>107-06--2</w:t>
            </w:r>
          </w:p>
        </w:tc>
        <w:tc>
          <w:tcPr>
            <w:tcW w:w="470" w:type="pct"/>
            <w:tcBorders>
              <w:left w:val="single" w:color="auto" w:sz="4" w:space="0"/>
              <w:right w:val="single" w:color="auto" w:sz="4" w:space="0"/>
            </w:tcBorders>
            <w:vAlign w:val="center"/>
          </w:tcPr>
          <w:p w14:paraId="22BF9754">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2B1D3879">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1B0C5453">
            <w:pPr>
              <w:spacing w:line="240" w:lineRule="auto"/>
              <w:ind w:firstLine="0" w:firstLineChars="0"/>
              <w:jc w:val="center"/>
              <w:rPr>
                <w:rFonts w:cs="Times New Roman"/>
                <w:szCs w:val="24"/>
              </w:rPr>
            </w:pPr>
            <w:r>
              <w:rPr>
                <w:rFonts w:hint="eastAsia" w:cs="Times New Roman"/>
                <w:sz w:val="21"/>
                <w:szCs w:val="21"/>
              </w:rPr>
              <w:t>1.3</w:t>
            </w:r>
            <w:r>
              <w:rPr>
                <w:rFonts w:cs="Times New Roman"/>
                <w:sz w:val="21"/>
                <w:szCs w:val="21"/>
              </w:rPr>
              <w:t>×10</w:t>
            </w:r>
            <w:r>
              <w:rPr>
                <w:rFonts w:cs="Times New Roman"/>
                <w:sz w:val="21"/>
                <w:szCs w:val="21"/>
                <w:vertAlign w:val="superscript"/>
              </w:rPr>
              <w:t>-3</w:t>
            </w:r>
          </w:p>
        </w:tc>
        <w:tc>
          <w:tcPr>
            <w:tcW w:w="470" w:type="pct"/>
            <w:tcBorders>
              <w:left w:val="single" w:color="auto" w:sz="4" w:space="0"/>
              <w:right w:val="single" w:color="auto" w:sz="4" w:space="0"/>
            </w:tcBorders>
            <w:vAlign w:val="center"/>
          </w:tcPr>
          <w:p w14:paraId="430BA9E0">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3180D948">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371C7001">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5901AFD4">
            <w:pPr>
              <w:spacing w:line="240" w:lineRule="auto"/>
              <w:ind w:firstLine="0" w:firstLineChars="0"/>
              <w:jc w:val="center"/>
              <w:rPr>
                <w:rFonts w:cs="Times New Roman"/>
                <w:sz w:val="21"/>
                <w:szCs w:val="21"/>
              </w:rPr>
            </w:pPr>
            <w:r>
              <w:rPr>
                <w:rFonts w:cs="Times New Roman"/>
                <w:sz w:val="21"/>
                <w:szCs w:val="21"/>
              </w:rPr>
              <w:t>5</w:t>
            </w:r>
          </w:p>
        </w:tc>
        <w:tc>
          <w:tcPr>
            <w:tcW w:w="251" w:type="pct"/>
            <w:tcBorders>
              <w:top w:val="single" w:color="auto" w:sz="4" w:space="0"/>
              <w:left w:val="single" w:color="auto" w:sz="4" w:space="0"/>
              <w:bottom w:val="single" w:color="auto" w:sz="4" w:space="0"/>
              <w:right w:val="nil"/>
            </w:tcBorders>
            <w:vAlign w:val="center"/>
          </w:tcPr>
          <w:p w14:paraId="30C32D36">
            <w:pPr>
              <w:spacing w:line="240" w:lineRule="auto"/>
              <w:ind w:firstLine="0" w:firstLineChars="0"/>
              <w:jc w:val="center"/>
              <w:rPr>
                <w:rFonts w:cs="Times New Roman"/>
                <w:szCs w:val="24"/>
              </w:rPr>
            </w:pPr>
            <w:r>
              <w:rPr>
                <w:rFonts w:hint="eastAsia" w:cs="Times New Roman"/>
                <w:sz w:val="21"/>
                <w:szCs w:val="21"/>
              </w:rPr>
              <w:t>达标</w:t>
            </w:r>
          </w:p>
        </w:tc>
      </w:tr>
      <w:tr w14:paraId="182B6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7F3CBB99">
            <w:pPr>
              <w:widowControl/>
              <w:spacing w:line="240" w:lineRule="auto"/>
              <w:ind w:firstLine="0" w:firstLineChars="0"/>
              <w:jc w:val="center"/>
              <w:rPr>
                <w:rFonts w:cs="Times New Roman"/>
                <w:kern w:val="0"/>
                <w:sz w:val="21"/>
                <w:szCs w:val="21"/>
              </w:rPr>
            </w:pPr>
            <w:r>
              <w:rPr>
                <w:rFonts w:cs="Times New Roman"/>
                <w:kern w:val="0"/>
                <w:sz w:val="21"/>
                <w:szCs w:val="21"/>
              </w:rPr>
              <w:t>13</w:t>
            </w:r>
          </w:p>
        </w:tc>
        <w:tc>
          <w:tcPr>
            <w:tcW w:w="721" w:type="pct"/>
            <w:tcBorders>
              <w:top w:val="single" w:color="auto" w:sz="4" w:space="0"/>
              <w:left w:val="single" w:color="auto" w:sz="4" w:space="0"/>
              <w:bottom w:val="single" w:color="auto" w:sz="4" w:space="0"/>
              <w:right w:val="single" w:color="auto" w:sz="4" w:space="0"/>
            </w:tcBorders>
            <w:vAlign w:val="center"/>
          </w:tcPr>
          <w:p w14:paraId="57F5E04E">
            <w:pPr>
              <w:widowControl/>
              <w:spacing w:line="240" w:lineRule="auto"/>
              <w:ind w:firstLine="0" w:firstLineChars="0"/>
              <w:jc w:val="center"/>
              <w:rPr>
                <w:rFonts w:cs="Times New Roman"/>
                <w:kern w:val="0"/>
                <w:sz w:val="21"/>
                <w:szCs w:val="21"/>
              </w:rPr>
            </w:pPr>
            <w:r>
              <w:rPr>
                <w:rFonts w:cs="Times New Roman"/>
                <w:kern w:val="0"/>
                <w:sz w:val="21"/>
                <w:szCs w:val="21"/>
              </w:rPr>
              <w:t>1,1-</w:t>
            </w:r>
            <w:r>
              <w:rPr>
                <w:rFonts w:hint="eastAsia" w:cs="Times New Roman"/>
                <w:kern w:val="0"/>
                <w:sz w:val="21"/>
                <w:szCs w:val="21"/>
              </w:rPr>
              <w:t>二氯乙烯</w:t>
            </w:r>
          </w:p>
        </w:tc>
        <w:tc>
          <w:tcPr>
            <w:tcW w:w="461" w:type="pct"/>
            <w:tcBorders>
              <w:top w:val="single" w:color="auto" w:sz="4" w:space="0"/>
              <w:left w:val="single" w:color="auto" w:sz="4" w:space="0"/>
              <w:bottom w:val="single" w:color="auto" w:sz="4" w:space="0"/>
              <w:right w:val="single" w:color="auto" w:sz="4" w:space="0"/>
            </w:tcBorders>
            <w:vAlign w:val="center"/>
          </w:tcPr>
          <w:p w14:paraId="0EAAF6C4">
            <w:pPr>
              <w:widowControl/>
              <w:spacing w:line="240" w:lineRule="auto"/>
              <w:ind w:firstLine="0" w:firstLineChars="0"/>
              <w:jc w:val="center"/>
              <w:rPr>
                <w:rFonts w:cs="Times New Roman"/>
                <w:kern w:val="0"/>
                <w:sz w:val="21"/>
                <w:szCs w:val="21"/>
              </w:rPr>
            </w:pPr>
            <w:r>
              <w:rPr>
                <w:rFonts w:cs="Times New Roman"/>
                <w:kern w:val="0"/>
                <w:sz w:val="21"/>
                <w:szCs w:val="21"/>
              </w:rPr>
              <w:t>75-35-4</w:t>
            </w:r>
          </w:p>
        </w:tc>
        <w:tc>
          <w:tcPr>
            <w:tcW w:w="470" w:type="pct"/>
            <w:tcBorders>
              <w:left w:val="single" w:color="auto" w:sz="4" w:space="0"/>
              <w:right w:val="single" w:color="auto" w:sz="4" w:space="0"/>
            </w:tcBorders>
            <w:vAlign w:val="center"/>
          </w:tcPr>
          <w:p w14:paraId="4FC97C4B">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7FB220D5">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FA2988B">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BC2EE6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1041B506">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43CA7076">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48492B12">
            <w:pPr>
              <w:spacing w:line="240" w:lineRule="auto"/>
              <w:ind w:firstLine="0" w:firstLineChars="0"/>
              <w:jc w:val="center"/>
              <w:rPr>
                <w:rFonts w:cs="Times New Roman"/>
                <w:sz w:val="21"/>
                <w:szCs w:val="21"/>
              </w:rPr>
            </w:pPr>
            <w:r>
              <w:rPr>
                <w:rFonts w:cs="Times New Roman"/>
                <w:sz w:val="21"/>
                <w:szCs w:val="21"/>
              </w:rPr>
              <w:t>66</w:t>
            </w:r>
          </w:p>
        </w:tc>
        <w:tc>
          <w:tcPr>
            <w:tcW w:w="251" w:type="pct"/>
            <w:tcBorders>
              <w:top w:val="single" w:color="auto" w:sz="4" w:space="0"/>
              <w:left w:val="single" w:color="auto" w:sz="4" w:space="0"/>
              <w:bottom w:val="single" w:color="auto" w:sz="4" w:space="0"/>
              <w:right w:val="nil"/>
            </w:tcBorders>
            <w:vAlign w:val="center"/>
          </w:tcPr>
          <w:p w14:paraId="3A0620F7">
            <w:pPr>
              <w:spacing w:line="240" w:lineRule="auto"/>
              <w:ind w:firstLine="0" w:firstLineChars="0"/>
              <w:jc w:val="center"/>
              <w:rPr>
                <w:rFonts w:cs="Times New Roman"/>
                <w:szCs w:val="24"/>
              </w:rPr>
            </w:pPr>
            <w:r>
              <w:rPr>
                <w:rFonts w:hint="eastAsia" w:cs="Times New Roman"/>
                <w:sz w:val="21"/>
                <w:szCs w:val="21"/>
              </w:rPr>
              <w:t>达标</w:t>
            </w:r>
          </w:p>
        </w:tc>
      </w:tr>
      <w:tr w14:paraId="1B7BD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54D6BA3B">
            <w:pPr>
              <w:widowControl/>
              <w:spacing w:line="240" w:lineRule="auto"/>
              <w:ind w:firstLine="0" w:firstLineChars="0"/>
              <w:jc w:val="center"/>
              <w:rPr>
                <w:rFonts w:cs="Times New Roman"/>
                <w:kern w:val="0"/>
                <w:sz w:val="21"/>
                <w:szCs w:val="21"/>
              </w:rPr>
            </w:pPr>
            <w:r>
              <w:rPr>
                <w:rFonts w:cs="Times New Roman"/>
                <w:kern w:val="0"/>
                <w:sz w:val="21"/>
                <w:szCs w:val="21"/>
              </w:rPr>
              <w:t>14</w:t>
            </w:r>
          </w:p>
        </w:tc>
        <w:tc>
          <w:tcPr>
            <w:tcW w:w="721" w:type="pct"/>
            <w:tcBorders>
              <w:top w:val="single" w:color="auto" w:sz="4" w:space="0"/>
              <w:left w:val="single" w:color="auto" w:sz="4" w:space="0"/>
              <w:bottom w:val="single" w:color="auto" w:sz="4" w:space="0"/>
              <w:right w:val="single" w:color="auto" w:sz="4" w:space="0"/>
            </w:tcBorders>
            <w:vAlign w:val="center"/>
          </w:tcPr>
          <w:p w14:paraId="4CB3504F">
            <w:pPr>
              <w:widowControl/>
              <w:spacing w:line="240" w:lineRule="auto"/>
              <w:ind w:firstLine="0" w:firstLineChars="0"/>
              <w:jc w:val="center"/>
              <w:rPr>
                <w:rFonts w:cs="Times New Roman"/>
                <w:kern w:val="0"/>
                <w:sz w:val="21"/>
                <w:szCs w:val="21"/>
              </w:rPr>
            </w:pPr>
            <w:r>
              <w:rPr>
                <w:rFonts w:hint="eastAsia" w:cs="Times New Roman"/>
                <w:kern w:val="0"/>
                <w:sz w:val="21"/>
                <w:szCs w:val="21"/>
              </w:rPr>
              <w:t>顺</w:t>
            </w:r>
            <w:r>
              <w:rPr>
                <w:rFonts w:cs="Times New Roman"/>
                <w:kern w:val="0"/>
                <w:sz w:val="21"/>
                <w:szCs w:val="21"/>
              </w:rPr>
              <w:t>-1,2-</w:t>
            </w:r>
            <w:r>
              <w:rPr>
                <w:rFonts w:hint="eastAsia" w:cs="Times New Roman"/>
                <w:kern w:val="0"/>
                <w:sz w:val="21"/>
                <w:szCs w:val="21"/>
              </w:rPr>
              <w:t>二氯乙烯</w:t>
            </w:r>
          </w:p>
        </w:tc>
        <w:tc>
          <w:tcPr>
            <w:tcW w:w="461" w:type="pct"/>
            <w:tcBorders>
              <w:top w:val="single" w:color="auto" w:sz="4" w:space="0"/>
              <w:left w:val="single" w:color="auto" w:sz="4" w:space="0"/>
              <w:bottom w:val="single" w:color="auto" w:sz="4" w:space="0"/>
              <w:right w:val="single" w:color="auto" w:sz="4" w:space="0"/>
            </w:tcBorders>
            <w:vAlign w:val="center"/>
          </w:tcPr>
          <w:p w14:paraId="161CCF9A">
            <w:pPr>
              <w:widowControl/>
              <w:spacing w:line="240" w:lineRule="auto"/>
              <w:ind w:firstLine="0" w:firstLineChars="0"/>
              <w:jc w:val="center"/>
              <w:rPr>
                <w:rFonts w:cs="Times New Roman"/>
                <w:kern w:val="0"/>
                <w:sz w:val="21"/>
                <w:szCs w:val="21"/>
              </w:rPr>
            </w:pPr>
            <w:r>
              <w:rPr>
                <w:rFonts w:cs="Times New Roman"/>
                <w:kern w:val="0"/>
                <w:sz w:val="21"/>
                <w:szCs w:val="21"/>
              </w:rPr>
              <w:t>156-59-2</w:t>
            </w:r>
          </w:p>
        </w:tc>
        <w:tc>
          <w:tcPr>
            <w:tcW w:w="470" w:type="pct"/>
            <w:tcBorders>
              <w:left w:val="single" w:color="auto" w:sz="4" w:space="0"/>
              <w:right w:val="single" w:color="auto" w:sz="4" w:space="0"/>
            </w:tcBorders>
            <w:vAlign w:val="center"/>
          </w:tcPr>
          <w:p w14:paraId="6A5505CF">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5ACCBF3F">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7BD1C70C">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39CE1E8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337614F5">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540ED4C4">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58055445">
            <w:pPr>
              <w:spacing w:line="240" w:lineRule="auto"/>
              <w:ind w:firstLine="0" w:firstLineChars="0"/>
              <w:jc w:val="center"/>
              <w:rPr>
                <w:rFonts w:cs="Times New Roman"/>
                <w:sz w:val="21"/>
                <w:szCs w:val="21"/>
              </w:rPr>
            </w:pPr>
            <w:r>
              <w:rPr>
                <w:rFonts w:cs="Times New Roman"/>
                <w:sz w:val="21"/>
                <w:szCs w:val="21"/>
              </w:rPr>
              <w:t>596</w:t>
            </w:r>
          </w:p>
        </w:tc>
        <w:tc>
          <w:tcPr>
            <w:tcW w:w="251" w:type="pct"/>
            <w:tcBorders>
              <w:top w:val="single" w:color="auto" w:sz="4" w:space="0"/>
              <w:left w:val="single" w:color="auto" w:sz="4" w:space="0"/>
              <w:bottom w:val="single" w:color="auto" w:sz="4" w:space="0"/>
              <w:right w:val="nil"/>
            </w:tcBorders>
            <w:vAlign w:val="center"/>
          </w:tcPr>
          <w:p w14:paraId="5F7EB893">
            <w:pPr>
              <w:spacing w:line="240" w:lineRule="auto"/>
              <w:ind w:firstLine="0" w:firstLineChars="0"/>
              <w:jc w:val="center"/>
              <w:rPr>
                <w:rFonts w:cs="Times New Roman"/>
                <w:szCs w:val="24"/>
              </w:rPr>
            </w:pPr>
            <w:r>
              <w:rPr>
                <w:rFonts w:hint="eastAsia" w:cs="Times New Roman"/>
                <w:sz w:val="21"/>
                <w:szCs w:val="21"/>
              </w:rPr>
              <w:t>达标</w:t>
            </w:r>
          </w:p>
        </w:tc>
      </w:tr>
      <w:tr w14:paraId="30C2F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787223AB">
            <w:pPr>
              <w:widowControl/>
              <w:spacing w:line="240" w:lineRule="auto"/>
              <w:ind w:firstLine="0" w:firstLineChars="0"/>
              <w:jc w:val="center"/>
              <w:rPr>
                <w:rFonts w:cs="Times New Roman"/>
                <w:kern w:val="0"/>
                <w:sz w:val="21"/>
                <w:szCs w:val="21"/>
              </w:rPr>
            </w:pPr>
            <w:r>
              <w:rPr>
                <w:rFonts w:cs="Times New Roman"/>
                <w:kern w:val="0"/>
                <w:sz w:val="21"/>
                <w:szCs w:val="21"/>
              </w:rPr>
              <w:t>15</w:t>
            </w:r>
          </w:p>
        </w:tc>
        <w:tc>
          <w:tcPr>
            <w:tcW w:w="721" w:type="pct"/>
            <w:tcBorders>
              <w:top w:val="single" w:color="auto" w:sz="4" w:space="0"/>
              <w:left w:val="single" w:color="auto" w:sz="4" w:space="0"/>
              <w:bottom w:val="single" w:color="auto" w:sz="4" w:space="0"/>
              <w:right w:val="single" w:color="auto" w:sz="4" w:space="0"/>
            </w:tcBorders>
            <w:vAlign w:val="center"/>
          </w:tcPr>
          <w:p w14:paraId="4DCF5E11">
            <w:pPr>
              <w:widowControl/>
              <w:spacing w:line="240" w:lineRule="auto"/>
              <w:ind w:firstLine="0" w:firstLineChars="0"/>
              <w:jc w:val="center"/>
              <w:rPr>
                <w:rFonts w:cs="Times New Roman"/>
                <w:kern w:val="0"/>
                <w:sz w:val="21"/>
                <w:szCs w:val="21"/>
              </w:rPr>
            </w:pPr>
            <w:r>
              <w:rPr>
                <w:rFonts w:hint="eastAsia" w:cs="Times New Roman"/>
                <w:kern w:val="0"/>
                <w:sz w:val="21"/>
                <w:szCs w:val="21"/>
              </w:rPr>
              <w:t>反</w:t>
            </w:r>
            <w:r>
              <w:rPr>
                <w:rFonts w:cs="Times New Roman"/>
                <w:kern w:val="0"/>
                <w:sz w:val="21"/>
                <w:szCs w:val="21"/>
              </w:rPr>
              <w:t>-1,2-</w:t>
            </w:r>
            <w:r>
              <w:rPr>
                <w:rFonts w:hint="eastAsia" w:cs="Times New Roman"/>
                <w:kern w:val="0"/>
                <w:sz w:val="21"/>
                <w:szCs w:val="21"/>
              </w:rPr>
              <w:t>二氯乙烯</w:t>
            </w:r>
          </w:p>
        </w:tc>
        <w:tc>
          <w:tcPr>
            <w:tcW w:w="461" w:type="pct"/>
            <w:tcBorders>
              <w:top w:val="single" w:color="auto" w:sz="4" w:space="0"/>
              <w:left w:val="single" w:color="auto" w:sz="4" w:space="0"/>
              <w:bottom w:val="single" w:color="auto" w:sz="4" w:space="0"/>
              <w:right w:val="single" w:color="auto" w:sz="4" w:space="0"/>
            </w:tcBorders>
            <w:vAlign w:val="center"/>
          </w:tcPr>
          <w:p w14:paraId="27589143">
            <w:pPr>
              <w:widowControl/>
              <w:spacing w:line="240" w:lineRule="auto"/>
              <w:ind w:firstLine="0" w:firstLineChars="0"/>
              <w:jc w:val="center"/>
              <w:rPr>
                <w:rFonts w:cs="Times New Roman"/>
                <w:kern w:val="0"/>
                <w:sz w:val="21"/>
                <w:szCs w:val="21"/>
              </w:rPr>
            </w:pPr>
            <w:r>
              <w:rPr>
                <w:rFonts w:cs="Times New Roman"/>
                <w:kern w:val="0"/>
                <w:sz w:val="21"/>
                <w:szCs w:val="21"/>
              </w:rPr>
              <w:t>156-60-5</w:t>
            </w:r>
          </w:p>
        </w:tc>
        <w:tc>
          <w:tcPr>
            <w:tcW w:w="470" w:type="pct"/>
            <w:tcBorders>
              <w:left w:val="single" w:color="auto" w:sz="4" w:space="0"/>
              <w:right w:val="single" w:color="auto" w:sz="4" w:space="0"/>
            </w:tcBorders>
            <w:vAlign w:val="center"/>
          </w:tcPr>
          <w:p w14:paraId="0BC97E13">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BF6645C">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67505DF">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126F1DCC">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4BD6D029">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0AFC7F74">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13B22E5B">
            <w:pPr>
              <w:spacing w:line="240" w:lineRule="auto"/>
              <w:ind w:firstLine="0" w:firstLineChars="0"/>
              <w:jc w:val="center"/>
              <w:rPr>
                <w:rFonts w:cs="Times New Roman"/>
                <w:sz w:val="21"/>
                <w:szCs w:val="21"/>
              </w:rPr>
            </w:pPr>
            <w:r>
              <w:rPr>
                <w:rFonts w:cs="Times New Roman"/>
                <w:sz w:val="21"/>
                <w:szCs w:val="21"/>
              </w:rPr>
              <w:t>54</w:t>
            </w:r>
          </w:p>
        </w:tc>
        <w:tc>
          <w:tcPr>
            <w:tcW w:w="251" w:type="pct"/>
            <w:tcBorders>
              <w:top w:val="single" w:color="auto" w:sz="4" w:space="0"/>
              <w:left w:val="single" w:color="auto" w:sz="4" w:space="0"/>
              <w:bottom w:val="single" w:color="auto" w:sz="4" w:space="0"/>
              <w:right w:val="nil"/>
            </w:tcBorders>
            <w:vAlign w:val="center"/>
          </w:tcPr>
          <w:p w14:paraId="35A908CA">
            <w:pPr>
              <w:spacing w:line="240" w:lineRule="auto"/>
              <w:ind w:firstLine="0" w:firstLineChars="0"/>
              <w:jc w:val="center"/>
              <w:rPr>
                <w:rFonts w:cs="Times New Roman"/>
                <w:szCs w:val="24"/>
              </w:rPr>
            </w:pPr>
            <w:r>
              <w:rPr>
                <w:rFonts w:hint="eastAsia" w:cs="Times New Roman"/>
                <w:sz w:val="21"/>
                <w:szCs w:val="21"/>
              </w:rPr>
              <w:t>达标</w:t>
            </w:r>
          </w:p>
        </w:tc>
      </w:tr>
      <w:tr w14:paraId="6BC59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4346DAE8">
            <w:pPr>
              <w:widowControl/>
              <w:spacing w:line="240" w:lineRule="auto"/>
              <w:ind w:firstLine="0" w:firstLineChars="0"/>
              <w:jc w:val="center"/>
              <w:rPr>
                <w:rFonts w:cs="Times New Roman"/>
                <w:kern w:val="0"/>
                <w:sz w:val="21"/>
                <w:szCs w:val="21"/>
              </w:rPr>
            </w:pPr>
            <w:r>
              <w:rPr>
                <w:rFonts w:cs="Times New Roman"/>
                <w:kern w:val="0"/>
                <w:sz w:val="21"/>
                <w:szCs w:val="21"/>
              </w:rPr>
              <w:t>16</w:t>
            </w:r>
          </w:p>
        </w:tc>
        <w:tc>
          <w:tcPr>
            <w:tcW w:w="721" w:type="pct"/>
            <w:tcBorders>
              <w:top w:val="single" w:color="auto" w:sz="4" w:space="0"/>
              <w:left w:val="single" w:color="auto" w:sz="4" w:space="0"/>
              <w:bottom w:val="single" w:color="auto" w:sz="4" w:space="0"/>
              <w:right w:val="single" w:color="auto" w:sz="4" w:space="0"/>
            </w:tcBorders>
            <w:vAlign w:val="center"/>
          </w:tcPr>
          <w:p w14:paraId="1048D824">
            <w:pPr>
              <w:widowControl/>
              <w:spacing w:line="240" w:lineRule="auto"/>
              <w:ind w:firstLine="0" w:firstLineChars="0"/>
              <w:jc w:val="center"/>
              <w:rPr>
                <w:rFonts w:cs="Times New Roman"/>
                <w:kern w:val="0"/>
                <w:sz w:val="21"/>
                <w:szCs w:val="21"/>
              </w:rPr>
            </w:pPr>
            <w:r>
              <w:rPr>
                <w:rFonts w:hint="eastAsia" w:cs="Times New Roman"/>
                <w:kern w:val="0"/>
                <w:sz w:val="21"/>
                <w:szCs w:val="21"/>
              </w:rPr>
              <w:t>二氯甲烷</w:t>
            </w:r>
          </w:p>
        </w:tc>
        <w:tc>
          <w:tcPr>
            <w:tcW w:w="461" w:type="pct"/>
            <w:tcBorders>
              <w:top w:val="single" w:color="auto" w:sz="4" w:space="0"/>
              <w:left w:val="single" w:color="auto" w:sz="4" w:space="0"/>
              <w:bottom w:val="single" w:color="auto" w:sz="4" w:space="0"/>
              <w:right w:val="single" w:color="auto" w:sz="4" w:space="0"/>
            </w:tcBorders>
            <w:vAlign w:val="center"/>
          </w:tcPr>
          <w:p w14:paraId="55989918">
            <w:pPr>
              <w:widowControl/>
              <w:spacing w:line="240" w:lineRule="auto"/>
              <w:ind w:firstLine="0" w:firstLineChars="0"/>
              <w:jc w:val="center"/>
              <w:rPr>
                <w:rFonts w:cs="Times New Roman"/>
                <w:kern w:val="0"/>
                <w:sz w:val="21"/>
                <w:szCs w:val="21"/>
              </w:rPr>
            </w:pPr>
            <w:r>
              <w:rPr>
                <w:rFonts w:cs="Times New Roman"/>
                <w:kern w:val="0"/>
                <w:sz w:val="21"/>
                <w:szCs w:val="21"/>
              </w:rPr>
              <w:t>75-09-2</w:t>
            </w:r>
          </w:p>
        </w:tc>
        <w:tc>
          <w:tcPr>
            <w:tcW w:w="470" w:type="pct"/>
            <w:tcBorders>
              <w:left w:val="single" w:color="auto" w:sz="4" w:space="0"/>
              <w:right w:val="single" w:color="auto" w:sz="4" w:space="0"/>
            </w:tcBorders>
            <w:vAlign w:val="center"/>
          </w:tcPr>
          <w:p w14:paraId="5A361A83">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8A409E6">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781CB57C">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006B5CB2">
            <w:pPr>
              <w:spacing w:line="240" w:lineRule="auto"/>
              <w:ind w:firstLine="0" w:firstLineChars="0"/>
              <w:jc w:val="center"/>
              <w:rPr>
                <w:rFonts w:cs="Times New Roman"/>
                <w:sz w:val="21"/>
                <w:szCs w:val="21"/>
              </w:rPr>
            </w:pPr>
            <w:r>
              <w:rPr>
                <w:rFonts w:hint="eastAsia" w:cs="Times New Roman"/>
                <w:sz w:val="21"/>
                <w:szCs w:val="21"/>
              </w:rPr>
              <w:t>0.0113</w:t>
            </w:r>
          </w:p>
        </w:tc>
        <w:tc>
          <w:tcPr>
            <w:tcW w:w="470" w:type="pct"/>
            <w:tcBorders>
              <w:left w:val="single" w:color="auto" w:sz="4" w:space="0"/>
              <w:right w:val="single" w:color="auto" w:sz="4" w:space="0"/>
            </w:tcBorders>
            <w:vAlign w:val="center"/>
          </w:tcPr>
          <w:p w14:paraId="31CFDBE0">
            <w:pPr>
              <w:spacing w:line="240" w:lineRule="auto"/>
              <w:ind w:firstLine="0" w:firstLineChars="0"/>
              <w:jc w:val="center"/>
              <w:rPr>
                <w:rFonts w:cs="Times New Roman"/>
                <w:sz w:val="21"/>
                <w:szCs w:val="21"/>
              </w:rPr>
            </w:pPr>
            <w:r>
              <w:rPr>
                <w:rFonts w:hint="eastAsia" w:cs="Times New Roman"/>
                <w:sz w:val="21"/>
                <w:szCs w:val="21"/>
              </w:rPr>
              <w:t>7.1</w:t>
            </w:r>
            <w:r>
              <w:rPr>
                <w:rFonts w:cs="Times New Roman"/>
                <w:sz w:val="21"/>
                <w:szCs w:val="21"/>
              </w:rPr>
              <w:t>×10</w:t>
            </w:r>
            <w:r>
              <w:rPr>
                <w:rFonts w:cs="Times New Roman"/>
                <w:sz w:val="21"/>
                <w:szCs w:val="21"/>
                <w:vertAlign w:val="superscript"/>
              </w:rPr>
              <w:t>-3</w:t>
            </w:r>
          </w:p>
        </w:tc>
        <w:tc>
          <w:tcPr>
            <w:tcW w:w="471" w:type="pct"/>
            <w:tcBorders>
              <w:left w:val="single" w:color="auto" w:sz="4" w:space="0"/>
              <w:right w:val="single" w:color="auto" w:sz="4" w:space="0"/>
            </w:tcBorders>
            <w:vAlign w:val="center"/>
          </w:tcPr>
          <w:p w14:paraId="0E32F799">
            <w:pPr>
              <w:spacing w:line="240" w:lineRule="auto"/>
              <w:ind w:firstLine="0" w:firstLineChars="0"/>
              <w:jc w:val="center"/>
              <w:rPr>
                <w:rFonts w:cs="Times New Roman"/>
                <w:sz w:val="21"/>
                <w:szCs w:val="21"/>
              </w:rPr>
            </w:pPr>
            <w:r>
              <w:rPr>
                <w:rFonts w:hint="eastAsia" w:cs="Times New Roman"/>
                <w:sz w:val="21"/>
                <w:szCs w:val="21"/>
              </w:rPr>
              <w:t>5.2</w:t>
            </w:r>
            <w:r>
              <w:rPr>
                <w:rFonts w:cs="Times New Roman"/>
                <w:sz w:val="21"/>
                <w:szCs w:val="21"/>
              </w:rPr>
              <w:t>×10</w:t>
            </w:r>
            <w:r>
              <w:rPr>
                <w:rFonts w:cs="Times New Roman"/>
                <w:sz w:val="21"/>
                <w:szCs w:val="21"/>
                <w:vertAlign w:val="superscript"/>
              </w:rPr>
              <w:t>-3</w:t>
            </w:r>
          </w:p>
        </w:tc>
        <w:tc>
          <w:tcPr>
            <w:tcW w:w="495" w:type="pct"/>
            <w:tcBorders>
              <w:top w:val="single" w:color="auto" w:sz="4" w:space="0"/>
              <w:left w:val="single" w:color="auto" w:sz="4" w:space="0"/>
              <w:bottom w:val="single" w:color="auto" w:sz="4" w:space="0"/>
              <w:right w:val="single" w:color="auto" w:sz="4" w:space="0"/>
            </w:tcBorders>
            <w:vAlign w:val="center"/>
          </w:tcPr>
          <w:p w14:paraId="545151AE">
            <w:pPr>
              <w:spacing w:line="240" w:lineRule="auto"/>
              <w:ind w:firstLine="0" w:firstLineChars="0"/>
              <w:jc w:val="center"/>
              <w:rPr>
                <w:rFonts w:cs="Times New Roman"/>
                <w:sz w:val="21"/>
                <w:szCs w:val="21"/>
              </w:rPr>
            </w:pPr>
            <w:r>
              <w:rPr>
                <w:rFonts w:cs="Times New Roman"/>
                <w:sz w:val="21"/>
                <w:szCs w:val="21"/>
              </w:rPr>
              <w:t>616</w:t>
            </w:r>
          </w:p>
        </w:tc>
        <w:tc>
          <w:tcPr>
            <w:tcW w:w="251" w:type="pct"/>
            <w:tcBorders>
              <w:top w:val="single" w:color="auto" w:sz="4" w:space="0"/>
              <w:left w:val="single" w:color="auto" w:sz="4" w:space="0"/>
              <w:bottom w:val="single" w:color="auto" w:sz="4" w:space="0"/>
              <w:right w:val="nil"/>
            </w:tcBorders>
            <w:vAlign w:val="center"/>
          </w:tcPr>
          <w:p w14:paraId="4EB75F08">
            <w:pPr>
              <w:spacing w:line="240" w:lineRule="auto"/>
              <w:ind w:firstLine="0" w:firstLineChars="0"/>
              <w:jc w:val="center"/>
              <w:rPr>
                <w:rFonts w:cs="Times New Roman"/>
                <w:szCs w:val="24"/>
              </w:rPr>
            </w:pPr>
            <w:r>
              <w:rPr>
                <w:rFonts w:hint="eastAsia" w:cs="Times New Roman"/>
                <w:sz w:val="21"/>
                <w:szCs w:val="21"/>
              </w:rPr>
              <w:t>达标</w:t>
            </w:r>
          </w:p>
        </w:tc>
      </w:tr>
      <w:tr w14:paraId="6C5B0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1741EBE1">
            <w:pPr>
              <w:widowControl/>
              <w:spacing w:line="240" w:lineRule="auto"/>
              <w:ind w:firstLine="0" w:firstLineChars="0"/>
              <w:jc w:val="center"/>
              <w:rPr>
                <w:rFonts w:cs="Times New Roman"/>
                <w:kern w:val="0"/>
                <w:sz w:val="21"/>
                <w:szCs w:val="21"/>
              </w:rPr>
            </w:pPr>
            <w:r>
              <w:rPr>
                <w:rFonts w:cs="Times New Roman"/>
                <w:kern w:val="0"/>
                <w:sz w:val="21"/>
                <w:szCs w:val="21"/>
              </w:rPr>
              <w:t>17</w:t>
            </w:r>
          </w:p>
        </w:tc>
        <w:tc>
          <w:tcPr>
            <w:tcW w:w="721" w:type="pct"/>
            <w:tcBorders>
              <w:top w:val="single" w:color="auto" w:sz="4" w:space="0"/>
              <w:left w:val="single" w:color="auto" w:sz="4" w:space="0"/>
              <w:bottom w:val="single" w:color="auto" w:sz="4" w:space="0"/>
              <w:right w:val="single" w:color="auto" w:sz="4" w:space="0"/>
            </w:tcBorders>
            <w:vAlign w:val="center"/>
          </w:tcPr>
          <w:p w14:paraId="5702C677">
            <w:pPr>
              <w:widowControl/>
              <w:spacing w:line="240" w:lineRule="auto"/>
              <w:ind w:firstLine="0" w:firstLineChars="0"/>
              <w:jc w:val="center"/>
              <w:rPr>
                <w:rFonts w:cs="Times New Roman"/>
                <w:kern w:val="0"/>
                <w:sz w:val="21"/>
                <w:szCs w:val="21"/>
              </w:rPr>
            </w:pPr>
            <w:r>
              <w:rPr>
                <w:rFonts w:cs="Times New Roman"/>
                <w:kern w:val="0"/>
                <w:sz w:val="21"/>
                <w:szCs w:val="21"/>
              </w:rPr>
              <w:t>1,2-</w:t>
            </w:r>
            <w:r>
              <w:rPr>
                <w:rFonts w:hint="eastAsia" w:cs="Times New Roman"/>
                <w:kern w:val="0"/>
                <w:sz w:val="21"/>
                <w:szCs w:val="21"/>
              </w:rPr>
              <w:t>二氯丙烷</w:t>
            </w:r>
          </w:p>
        </w:tc>
        <w:tc>
          <w:tcPr>
            <w:tcW w:w="461" w:type="pct"/>
            <w:tcBorders>
              <w:top w:val="single" w:color="auto" w:sz="4" w:space="0"/>
              <w:left w:val="single" w:color="auto" w:sz="4" w:space="0"/>
              <w:bottom w:val="single" w:color="auto" w:sz="4" w:space="0"/>
              <w:right w:val="single" w:color="auto" w:sz="4" w:space="0"/>
            </w:tcBorders>
            <w:vAlign w:val="center"/>
          </w:tcPr>
          <w:p w14:paraId="2084B81F">
            <w:pPr>
              <w:widowControl/>
              <w:spacing w:line="240" w:lineRule="auto"/>
              <w:ind w:firstLine="0" w:firstLineChars="0"/>
              <w:jc w:val="center"/>
              <w:rPr>
                <w:rFonts w:cs="Times New Roman"/>
                <w:kern w:val="0"/>
                <w:sz w:val="21"/>
                <w:szCs w:val="21"/>
              </w:rPr>
            </w:pPr>
            <w:r>
              <w:rPr>
                <w:rFonts w:cs="Times New Roman"/>
                <w:kern w:val="0"/>
                <w:sz w:val="21"/>
                <w:szCs w:val="21"/>
              </w:rPr>
              <w:t>78-87-5</w:t>
            </w:r>
          </w:p>
        </w:tc>
        <w:tc>
          <w:tcPr>
            <w:tcW w:w="470" w:type="pct"/>
            <w:tcBorders>
              <w:left w:val="single" w:color="auto" w:sz="4" w:space="0"/>
              <w:right w:val="single" w:color="auto" w:sz="4" w:space="0"/>
            </w:tcBorders>
            <w:vAlign w:val="center"/>
          </w:tcPr>
          <w:p w14:paraId="1E983E87">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51A37C89">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07ED7627">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3BDA7C9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47EAEFE5">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1B01F6C4">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35647720">
            <w:pPr>
              <w:spacing w:line="240" w:lineRule="auto"/>
              <w:ind w:firstLine="0" w:firstLineChars="0"/>
              <w:jc w:val="center"/>
              <w:rPr>
                <w:rFonts w:cs="Times New Roman"/>
                <w:sz w:val="21"/>
                <w:szCs w:val="21"/>
              </w:rPr>
            </w:pPr>
            <w:r>
              <w:rPr>
                <w:rFonts w:cs="Times New Roman"/>
                <w:sz w:val="21"/>
                <w:szCs w:val="21"/>
              </w:rPr>
              <w:t>5</w:t>
            </w:r>
          </w:p>
        </w:tc>
        <w:tc>
          <w:tcPr>
            <w:tcW w:w="251" w:type="pct"/>
            <w:tcBorders>
              <w:top w:val="single" w:color="auto" w:sz="4" w:space="0"/>
              <w:left w:val="single" w:color="auto" w:sz="4" w:space="0"/>
              <w:bottom w:val="single" w:color="auto" w:sz="4" w:space="0"/>
              <w:right w:val="nil"/>
            </w:tcBorders>
            <w:vAlign w:val="center"/>
          </w:tcPr>
          <w:p w14:paraId="6A3AC9C2">
            <w:pPr>
              <w:spacing w:line="240" w:lineRule="auto"/>
              <w:ind w:firstLine="0" w:firstLineChars="0"/>
              <w:jc w:val="center"/>
              <w:rPr>
                <w:rFonts w:cs="Times New Roman"/>
                <w:szCs w:val="24"/>
              </w:rPr>
            </w:pPr>
            <w:r>
              <w:rPr>
                <w:rFonts w:hint="eastAsia" w:cs="Times New Roman"/>
                <w:sz w:val="21"/>
                <w:szCs w:val="21"/>
              </w:rPr>
              <w:t>达标</w:t>
            </w:r>
          </w:p>
        </w:tc>
      </w:tr>
      <w:tr w14:paraId="48AE9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7C38506F">
            <w:pPr>
              <w:widowControl/>
              <w:spacing w:line="240" w:lineRule="auto"/>
              <w:ind w:firstLine="0" w:firstLineChars="0"/>
              <w:jc w:val="center"/>
              <w:rPr>
                <w:rFonts w:cs="Times New Roman"/>
                <w:kern w:val="0"/>
                <w:sz w:val="21"/>
                <w:szCs w:val="21"/>
              </w:rPr>
            </w:pPr>
            <w:r>
              <w:rPr>
                <w:rFonts w:cs="Times New Roman"/>
                <w:kern w:val="0"/>
                <w:sz w:val="21"/>
                <w:szCs w:val="21"/>
              </w:rPr>
              <w:t>18</w:t>
            </w:r>
          </w:p>
        </w:tc>
        <w:tc>
          <w:tcPr>
            <w:tcW w:w="721" w:type="pct"/>
            <w:tcBorders>
              <w:top w:val="single" w:color="auto" w:sz="4" w:space="0"/>
              <w:left w:val="single" w:color="auto" w:sz="4" w:space="0"/>
              <w:bottom w:val="single" w:color="auto" w:sz="4" w:space="0"/>
              <w:right w:val="single" w:color="auto" w:sz="4" w:space="0"/>
            </w:tcBorders>
            <w:vAlign w:val="center"/>
          </w:tcPr>
          <w:p w14:paraId="1772A8A4">
            <w:pPr>
              <w:widowControl/>
              <w:spacing w:line="240" w:lineRule="auto"/>
              <w:ind w:firstLine="0" w:firstLineChars="0"/>
              <w:jc w:val="center"/>
              <w:rPr>
                <w:rFonts w:cs="Times New Roman"/>
                <w:kern w:val="0"/>
                <w:sz w:val="21"/>
                <w:szCs w:val="21"/>
              </w:rPr>
            </w:pPr>
            <w:r>
              <w:rPr>
                <w:rFonts w:cs="Times New Roman"/>
                <w:kern w:val="0"/>
                <w:sz w:val="21"/>
                <w:szCs w:val="21"/>
              </w:rPr>
              <w:t>1,1,1,2-</w:t>
            </w:r>
            <w:r>
              <w:rPr>
                <w:rFonts w:hint="eastAsia" w:cs="Times New Roman"/>
                <w:kern w:val="0"/>
                <w:sz w:val="21"/>
                <w:szCs w:val="21"/>
              </w:rPr>
              <w:t>四氯乙烷</w:t>
            </w:r>
          </w:p>
        </w:tc>
        <w:tc>
          <w:tcPr>
            <w:tcW w:w="461" w:type="pct"/>
            <w:tcBorders>
              <w:top w:val="single" w:color="auto" w:sz="4" w:space="0"/>
              <w:left w:val="single" w:color="auto" w:sz="4" w:space="0"/>
              <w:bottom w:val="single" w:color="auto" w:sz="4" w:space="0"/>
              <w:right w:val="single" w:color="auto" w:sz="4" w:space="0"/>
            </w:tcBorders>
            <w:vAlign w:val="center"/>
          </w:tcPr>
          <w:p w14:paraId="24BC47DD">
            <w:pPr>
              <w:widowControl/>
              <w:spacing w:line="240" w:lineRule="auto"/>
              <w:ind w:firstLine="0" w:firstLineChars="0"/>
              <w:jc w:val="center"/>
              <w:rPr>
                <w:rFonts w:cs="Times New Roman"/>
                <w:kern w:val="0"/>
                <w:sz w:val="21"/>
                <w:szCs w:val="21"/>
              </w:rPr>
            </w:pPr>
            <w:r>
              <w:rPr>
                <w:rFonts w:cs="Times New Roman"/>
                <w:kern w:val="0"/>
                <w:sz w:val="21"/>
                <w:szCs w:val="21"/>
              </w:rPr>
              <w:t>630-20--6</w:t>
            </w:r>
          </w:p>
        </w:tc>
        <w:tc>
          <w:tcPr>
            <w:tcW w:w="470" w:type="pct"/>
            <w:tcBorders>
              <w:left w:val="single" w:color="auto" w:sz="4" w:space="0"/>
              <w:right w:val="single" w:color="auto" w:sz="4" w:space="0"/>
            </w:tcBorders>
            <w:vAlign w:val="center"/>
          </w:tcPr>
          <w:p w14:paraId="661DAA2C">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1B163F5D">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3F89A369">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1E4EB7B5">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4CEA55F2">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54F011C9">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18E722F0">
            <w:pPr>
              <w:spacing w:line="240" w:lineRule="auto"/>
              <w:ind w:firstLine="0" w:firstLineChars="0"/>
              <w:jc w:val="center"/>
              <w:rPr>
                <w:rFonts w:cs="Times New Roman"/>
                <w:sz w:val="21"/>
                <w:szCs w:val="21"/>
              </w:rPr>
            </w:pPr>
            <w:r>
              <w:rPr>
                <w:rFonts w:cs="Times New Roman"/>
                <w:sz w:val="21"/>
                <w:szCs w:val="21"/>
              </w:rPr>
              <w:t>10</w:t>
            </w:r>
          </w:p>
        </w:tc>
        <w:tc>
          <w:tcPr>
            <w:tcW w:w="251" w:type="pct"/>
            <w:tcBorders>
              <w:top w:val="single" w:color="auto" w:sz="4" w:space="0"/>
              <w:left w:val="single" w:color="auto" w:sz="4" w:space="0"/>
              <w:bottom w:val="single" w:color="auto" w:sz="4" w:space="0"/>
              <w:right w:val="nil"/>
            </w:tcBorders>
            <w:vAlign w:val="center"/>
          </w:tcPr>
          <w:p w14:paraId="76341FA2">
            <w:pPr>
              <w:spacing w:line="240" w:lineRule="auto"/>
              <w:ind w:firstLine="0" w:firstLineChars="0"/>
              <w:jc w:val="center"/>
              <w:rPr>
                <w:rFonts w:cs="Times New Roman"/>
                <w:szCs w:val="24"/>
              </w:rPr>
            </w:pPr>
            <w:r>
              <w:rPr>
                <w:rFonts w:hint="eastAsia" w:cs="Times New Roman"/>
                <w:sz w:val="21"/>
                <w:szCs w:val="21"/>
              </w:rPr>
              <w:t>达标</w:t>
            </w:r>
          </w:p>
        </w:tc>
      </w:tr>
      <w:tr w14:paraId="25639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6BF8A123">
            <w:pPr>
              <w:widowControl/>
              <w:spacing w:line="240" w:lineRule="auto"/>
              <w:ind w:firstLine="0" w:firstLineChars="0"/>
              <w:jc w:val="center"/>
              <w:rPr>
                <w:rFonts w:cs="Times New Roman"/>
                <w:kern w:val="0"/>
                <w:sz w:val="21"/>
                <w:szCs w:val="21"/>
              </w:rPr>
            </w:pPr>
            <w:r>
              <w:rPr>
                <w:rFonts w:cs="Times New Roman"/>
                <w:kern w:val="0"/>
                <w:sz w:val="21"/>
                <w:szCs w:val="21"/>
              </w:rPr>
              <w:t>19</w:t>
            </w:r>
          </w:p>
        </w:tc>
        <w:tc>
          <w:tcPr>
            <w:tcW w:w="721" w:type="pct"/>
            <w:tcBorders>
              <w:top w:val="single" w:color="auto" w:sz="4" w:space="0"/>
              <w:left w:val="single" w:color="auto" w:sz="4" w:space="0"/>
              <w:bottom w:val="single" w:color="auto" w:sz="4" w:space="0"/>
              <w:right w:val="single" w:color="auto" w:sz="4" w:space="0"/>
            </w:tcBorders>
            <w:vAlign w:val="center"/>
          </w:tcPr>
          <w:p w14:paraId="3C4AABA9">
            <w:pPr>
              <w:widowControl/>
              <w:spacing w:line="240" w:lineRule="auto"/>
              <w:ind w:firstLine="0" w:firstLineChars="0"/>
              <w:jc w:val="center"/>
              <w:rPr>
                <w:rFonts w:cs="Times New Roman"/>
                <w:kern w:val="0"/>
                <w:sz w:val="21"/>
                <w:szCs w:val="21"/>
              </w:rPr>
            </w:pPr>
            <w:r>
              <w:rPr>
                <w:rFonts w:cs="Times New Roman"/>
                <w:kern w:val="0"/>
                <w:sz w:val="21"/>
                <w:szCs w:val="21"/>
              </w:rPr>
              <w:t>1,1,2,2-</w:t>
            </w:r>
            <w:r>
              <w:rPr>
                <w:rFonts w:hint="eastAsia" w:cs="Times New Roman"/>
                <w:kern w:val="0"/>
                <w:sz w:val="21"/>
                <w:szCs w:val="21"/>
              </w:rPr>
              <w:t>四氯乙烷</w:t>
            </w:r>
          </w:p>
        </w:tc>
        <w:tc>
          <w:tcPr>
            <w:tcW w:w="461" w:type="pct"/>
            <w:tcBorders>
              <w:top w:val="single" w:color="auto" w:sz="4" w:space="0"/>
              <w:left w:val="single" w:color="auto" w:sz="4" w:space="0"/>
              <w:bottom w:val="single" w:color="auto" w:sz="4" w:space="0"/>
              <w:right w:val="single" w:color="auto" w:sz="4" w:space="0"/>
            </w:tcBorders>
            <w:vAlign w:val="center"/>
          </w:tcPr>
          <w:p w14:paraId="17A83442">
            <w:pPr>
              <w:widowControl/>
              <w:spacing w:line="240" w:lineRule="auto"/>
              <w:ind w:firstLine="0" w:firstLineChars="0"/>
              <w:jc w:val="center"/>
              <w:rPr>
                <w:rFonts w:cs="Times New Roman"/>
                <w:kern w:val="0"/>
                <w:sz w:val="21"/>
                <w:szCs w:val="21"/>
              </w:rPr>
            </w:pPr>
            <w:r>
              <w:rPr>
                <w:rFonts w:cs="Times New Roman"/>
                <w:kern w:val="0"/>
                <w:sz w:val="21"/>
                <w:szCs w:val="21"/>
              </w:rPr>
              <w:t>79-34-5</w:t>
            </w:r>
          </w:p>
        </w:tc>
        <w:tc>
          <w:tcPr>
            <w:tcW w:w="470" w:type="pct"/>
            <w:tcBorders>
              <w:left w:val="single" w:color="auto" w:sz="4" w:space="0"/>
              <w:right w:val="single" w:color="auto" w:sz="4" w:space="0"/>
            </w:tcBorders>
            <w:vAlign w:val="center"/>
          </w:tcPr>
          <w:p w14:paraId="2AE994DB">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5E0056F8">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E1557E3">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23D9799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691AF67D">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4A6F08AE">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20ACCAF0">
            <w:pPr>
              <w:spacing w:line="240" w:lineRule="auto"/>
              <w:ind w:firstLine="0" w:firstLineChars="0"/>
              <w:jc w:val="center"/>
              <w:rPr>
                <w:rFonts w:cs="Times New Roman"/>
                <w:sz w:val="21"/>
                <w:szCs w:val="21"/>
              </w:rPr>
            </w:pPr>
            <w:r>
              <w:rPr>
                <w:rFonts w:cs="Times New Roman"/>
                <w:sz w:val="21"/>
                <w:szCs w:val="21"/>
              </w:rPr>
              <w:t>6.8</w:t>
            </w:r>
          </w:p>
        </w:tc>
        <w:tc>
          <w:tcPr>
            <w:tcW w:w="251" w:type="pct"/>
            <w:tcBorders>
              <w:top w:val="single" w:color="auto" w:sz="4" w:space="0"/>
              <w:left w:val="single" w:color="auto" w:sz="4" w:space="0"/>
              <w:bottom w:val="single" w:color="auto" w:sz="4" w:space="0"/>
              <w:right w:val="nil"/>
            </w:tcBorders>
            <w:vAlign w:val="center"/>
          </w:tcPr>
          <w:p w14:paraId="1FF216DB">
            <w:pPr>
              <w:spacing w:line="240" w:lineRule="auto"/>
              <w:ind w:firstLine="0" w:firstLineChars="0"/>
              <w:jc w:val="center"/>
              <w:rPr>
                <w:rFonts w:cs="Times New Roman"/>
                <w:szCs w:val="24"/>
              </w:rPr>
            </w:pPr>
            <w:r>
              <w:rPr>
                <w:rFonts w:hint="eastAsia" w:cs="Times New Roman"/>
                <w:sz w:val="21"/>
                <w:szCs w:val="21"/>
              </w:rPr>
              <w:t>达标</w:t>
            </w:r>
          </w:p>
        </w:tc>
      </w:tr>
      <w:tr w14:paraId="1AD34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7878417A">
            <w:pPr>
              <w:widowControl/>
              <w:spacing w:line="240" w:lineRule="auto"/>
              <w:ind w:firstLine="0" w:firstLineChars="0"/>
              <w:jc w:val="center"/>
              <w:rPr>
                <w:rFonts w:cs="Times New Roman"/>
                <w:kern w:val="0"/>
                <w:sz w:val="21"/>
                <w:szCs w:val="21"/>
              </w:rPr>
            </w:pPr>
            <w:r>
              <w:rPr>
                <w:rFonts w:cs="Times New Roman"/>
                <w:kern w:val="0"/>
                <w:sz w:val="21"/>
                <w:szCs w:val="21"/>
              </w:rPr>
              <w:t>20</w:t>
            </w:r>
          </w:p>
        </w:tc>
        <w:tc>
          <w:tcPr>
            <w:tcW w:w="721" w:type="pct"/>
            <w:tcBorders>
              <w:top w:val="single" w:color="auto" w:sz="4" w:space="0"/>
              <w:left w:val="single" w:color="auto" w:sz="4" w:space="0"/>
              <w:bottom w:val="single" w:color="auto" w:sz="4" w:space="0"/>
              <w:right w:val="single" w:color="auto" w:sz="4" w:space="0"/>
            </w:tcBorders>
            <w:vAlign w:val="center"/>
          </w:tcPr>
          <w:p w14:paraId="3874E67F">
            <w:pPr>
              <w:widowControl/>
              <w:spacing w:line="240" w:lineRule="auto"/>
              <w:ind w:firstLine="0" w:firstLineChars="0"/>
              <w:jc w:val="center"/>
              <w:rPr>
                <w:rFonts w:cs="Times New Roman"/>
                <w:kern w:val="0"/>
                <w:sz w:val="21"/>
                <w:szCs w:val="21"/>
              </w:rPr>
            </w:pPr>
            <w:r>
              <w:rPr>
                <w:rFonts w:hint="eastAsia" w:cs="Times New Roman"/>
                <w:kern w:val="0"/>
                <w:sz w:val="21"/>
                <w:szCs w:val="21"/>
              </w:rPr>
              <w:t>四氯乙烯</w:t>
            </w:r>
          </w:p>
        </w:tc>
        <w:tc>
          <w:tcPr>
            <w:tcW w:w="461" w:type="pct"/>
            <w:tcBorders>
              <w:top w:val="single" w:color="auto" w:sz="4" w:space="0"/>
              <w:left w:val="single" w:color="auto" w:sz="4" w:space="0"/>
              <w:bottom w:val="single" w:color="auto" w:sz="4" w:space="0"/>
              <w:right w:val="single" w:color="auto" w:sz="4" w:space="0"/>
            </w:tcBorders>
            <w:vAlign w:val="center"/>
          </w:tcPr>
          <w:p w14:paraId="77BB75AB">
            <w:pPr>
              <w:widowControl/>
              <w:spacing w:line="240" w:lineRule="auto"/>
              <w:ind w:firstLine="0" w:firstLineChars="0"/>
              <w:jc w:val="center"/>
              <w:rPr>
                <w:rFonts w:cs="Times New Roman"/>
                <w:kern w:val="0"/>
                <w:sz w:val="21"/>
                <w:szCs w:val="21"/>
              </w:rPr>
            </w:pPr>
            <w:r>
              <w:rPr>
                <w:rFonts w:cs="Times New Roman"/>
                <w:kern w:val="0"/>
                <w:sz w:val="21"/>
                <w:szCs w:val="21"/>
              </w:rPr>
              <w:t>127-18-4</w:t>
            </w:r>
          </w:p>
        </w:tc>
        <w:tc>
          <w:tcPr>
            <w:tcW w:w="470" w:type="pct"/>
            <w:tcBorders>
              <w:left w:val="single" w:color="auto" w:sz="4" w:space="0"/>
              <w:right w:val="single" w:color="auto" w:sz="4" w:space="0"/>
            </w:tcBorders>
            <w:vAlign w:val="center"/>
          </w:tcPr>
          <w:p w14:paraId="6D9E11A9">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64187A00">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1A0D4AB6">
            <w:pPr>
              <w:widowControl/>
              <w:spacing w:line="240" w:lineRule="auto"/>
              <w:ind w:firstLine="0" w:firstLineChars="0"/>
              <w:jc w:val="center"/>
              <w:rPr>
                <w:rFonts w:cs="Times New Roman"/>
                <w:kern w:val="0"/>
                <w:sz w:val="21"/>
                <w:szCs w:val="21"/>
              </w:rPr>
            </w:pPr>
            <w:r>
              <w:rPr>
                <w:rFonts w:hint="eastAsia" w:cs="Times New Roman"/>
                <w:kern w:val="0"/>
                <w:sz w:val="21"/>
                <w:szCs w:val="21"/>
              </w:rPr>
              <w:t>4.6</w:t>
            </w:r>
            <w:r>
              <w:rPr>
                <w:rFonts w:cs="Times New Roman"/>
                <w:kern w:val="0"/>
                <w:sz w:val="21"/>
                <w:szCs w:val="21"/>
              </w:rPr>
              <w:t>×10</w:t>
            </w:r>
            <w:r>
              <w:rPr>
                <w:rFonts w:cs="Times New Roman"/>
                <w:kern w:val="0"/>
                <w:sz w:val="21"/>
                <w:szCs w:val="21"/>
                <w:vertAlign w:val="superscript"/>
              </w:rPr>
              <w:t>-3</w:t>
            </w:r>
          </w:p>
        </w:tc>
        <w:tc>
          <w:tcPr>
            <w:tcW w:w="470" w:type="pct"/>
            <w:tcBorders>
              <w:left w:val="single" w:color="auto" w:sz="4" w:space="0"/>
              <w:right w:val="single" w:color="auto" w:sz="4" w:space="0"/>
            </w:tcBorders>
            <w:vAlign w:val="center"/>
          </w:tcPr>
          <w:p w14:paraId="0AF7F380">
            <w:pPr>
              <w:spacing w:line="240" w:lineRule="auto"/>
              <w:ind w:firstLine="0" w:firstLineChars="0"/>
              <w:jc w:val="center"/>
              <w:rPr>
                <w:rFonts w:cs="Times New Roman"/>
                <w:sz w:val="21"/>
                <w:szCs w:val="21"/>
              </w:rPr>
            </w:pPr>
            <w:r>
              <w:rPr>
                <w:rFonts w:hint="eastAsia" w:cs="Times New Roman"/>
                <w:sz w:val="21"/>
                <w:szCs w:val="21"/>
              </w:rPr>
              <w:t>3.6</w:t>
            </w:r>
            <w:r>
              <w:rPr>
                <w:rFonts w:cs="Times New Roman"/>
                <w:sz w:val="21"/>
                <w:szCs w:val="21"/>
              </w:rPr>
              <w:t>×10</w:t>
            </w:r>
            <w:r>
              <w:rPr>
                <w:rFonts w:cs="Times New Roman"/>
                <w:sz w:val="21"/>
                <w:szCs w:val="21"/>
                <w:vertAlign w:val="superscript"/>
              </w:rPr>
              <w:t>-3</w:t>
            </w:r>
          </w:p>
        </w:tc>
        <w:tc>
          <w:tcPr>
            <w:tcW w:w="470" w:type="pct"/>
            <w:tcBorders>
              <w:left w:val="single" w:color="auto" w:sz="4" w:space="0"/>
              <w:right w:val="single" w:color="auto" w:sz="4" w:space="0"/>
            </w:tcBorders>
            <w:vAlign w:val="center"/>
          </w:tcPr>
          <w:p w14:paraId="65451EA2">
            <w:pPr>
              <w:spacing w:line="240" w:lineRule="auto"/>
              <w:ind w:firstLine="0" w:firstLineChars="0"/>
              <w:jc w:val="center"/>
              <w:rPr>
                <w:rFonts w:cs="Times New Roman"/>
                <w:sz w:val="21"/>
                <w:szCs w:val="21"/>
              </w:rPr>
            </w:pPr>
            <w:r>
              <w:rPr>
                <w:rFonts w:hint="eastAsia" w:cs="Times New Roman"/>
                <w:sz w:val="21"/>
                <w:szCs w:val="21"/>
              </w:rPr>
              <w:t>4.5</w:t>
            </w:r>
            <w:r>
              <w:rPr>
                <w:rFonts w:cs="Times New Roman"/>
                <w:sz w:val="21"/>
                <w:szCs w:val="21"/>
              </w:rPr>
              <w:t>×10</w:t>
            </w:r>
            <w:r>
              <w:rPr>
                <w:rFonts w:cs="Times New Roman"/>
                <w:sz w:val="21"/>
                <w:szCs w:val="21"/>
                <w:vertAlign w:val="superscript"/>
              </w:rPr>
              <w:t>-3</w:t>
            </w:r>
          </w:p>
        </w:tc>
        <w:tc>
          <w:tcPr>
            <w:tcW w:w="471" w:type="pct"/>
            <w:tcBorders>
              <w:left w:val="single" w:color="auto" w:sz="4" w:space="0"/>
              <w:right w:val="single" w:color="auto" w:sz="4" w:space="0"/>
            </w:tcBorders>
            <w:vAlign w:val="center"/>
          </w:tcPr>
          <w:p w14:paraId="27B52257">
            <w:pPr>
              <w:spacing w:line="240" w:lineRule="auto"/>
              <w:ind w:firstLine="0" w:firstLineChars="0"/>
              <w:jc w:val="center"/>
              <w:rPr>
                <w:rFonts w:cs="Times New Roman"/>
                <w:sz w:val="21"/>
                <w:szCs w:val="21"/>
              </w:rPr>
            </w:pPr>
            <w:r>
              <w:rPr>
                <w:rFonts w:hint="eastAsia" w:cs="Times New Roman"/>
                <w:sz w:val="21"/>
                <w:szCs w:val="21"/>
              </w:rPr>
              <w:t>3.3</w:t>
            </w:r>
            <w:r>
              <w:rPr>
                <w:rFonts w:cs="Times New Roman"/>
                <w:sz w:val="21"/>
                <w:szCs w:val="21"/>
              </w:rPr>
              <w:t>×10</w:t>
            </w:r>
            <w:r>
              <w:rPr>
                <w:rFonts w:cs="Times New Roman"/>
                <w:sz w:val="21"/>
                <w:szCs w:val="21"/>
                <w:vertAlign w:val="superscript"/>
              </w:rPr>
              <w:t>-3</w:t>
            </w:r>
          </w:p>
        </w:tc>
        <w:tc>
          <w:tcPr>
            <w:tcW w:w="495" w:type="pct"/>
            <w:tcBorders>
              <w:top w:val="single" w:color="auto" w:sz="4" w:space="0"/>
              <w:left w:val="single" w:color="auto" w:sz="4" w:space="0"/>
              <w:bottom w:val="single" w:color="auto" w:sz="4" w:space="0"/>
              <w:right w:val="single" w:color="auto" w:sz="4" w:space="0"/>
            </w:tcBorders>
            <w:vAlign w:val="center"/>
          </w:tcPr>
          <w:p w14:paraId="6AF33640">
            <w:pPr>
              <w:spacing w:line="240" w:lineRule="auto"/>
              <w:ind w:firstLine="0" w:firstLineChars="0"/>
              <w:jc w:val="center"/>
              <w:rPr>
                <w:rFonts w:cs="Times New Roman"/>
                <w:sz w:val="21"/>
                <w:szCs w:val="21"/>
              </w:rPr>
            </w:pPr>
            <w:r>
              <w:rPr>
                <w:rFonts w:cs="Times New Roman"/>
                <w:sz w:val="21"/>
                <w:szCs w:val="21"/>
              </w:rPr>
              <w:t>53</w:t>
            </w:r>
          </w:p>
        </w:tc>
        <w:tc>
          <w:tcPr>
            <w:tcW w:w="251" w:type="pct"/>
            <w:tcBorders>
              <w:top w:val="single" w:color="auto" w:sz="4" w:space="0"/>
              <w:left w:val="single" w:color="auto" w:sz="4" w:space="0"/>
              <w:bottom w:val="single" w:color="auto" w:sz="4" w:space="0"/>
              <w:right w:val="nil"/>
            </w:tcBorders>
            <w:vAlign w:val="center"/>
          </w:tcPr>
          <w:p w14:paraId="0F751C81">
            <w:pPr>
              <w:spacing w:line="240" w:lineRule="auto"/>
              <w:ind w:firstLine="0" w:firstLineChars="0"/>
              <w:jc w:val="center"/>
              <w:rPr>
                <w:rFonts w:cs="Times New Roman"/>
                <w:szCs w:val="24"/>
              </w:rPr>
            </w:pPr>
            <w:r>
              <w:rPr>
                <w:rFonts w:hint="eastAsia" w:cs="Times New Roman"/>
                <w:sz w:val="21"/>
                <w:szCs w:val="21"/>
              </w:rPr>
              <w:t>达标</w:t>
            </w:r>
          </w:p>
        </w:tc>
      </w:tr>
      <w:tr w14:paraId="2E9A4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354C2B1A">
            <w:pPr>
              <w:widowControl/>
              <w:spacing w:line="240" w:lineRule="auto"/>
              <w:ind w:firstLine="0" w:firstLineChars="0"/>
              <w:jc w:val="center"/>
              <w:rPr>
                <w:rFonts w:cs="Times New Roman"/>
                <w:kern w:val="0"/>
                <w:sz w:val="21"/>
                <w:szCs w:val="21"/>
              </w:rPr>
            </w:pPr>
            <w:r>
              <w:rPr>
                <w:rFonts w:cs="Times New Roman"/>
                <w:kern w:val="0"/>
                <w:sz w:val="21"/>
                <w:szCs w:val="21"/>
              </w:rPr>
              <w:t>21</w:t>
            </w:r>
          </w:p>
        </w:tc>
        <w:tc>
          <w:tcPr>
            <w:tcW w:w="721" w:type="pct"/>
            <w:tcBorders>
              <w:top w:val="single" w:color="auto" w:sz="4" w:space="0"/>
              <w:left w:val="single" w:color="auto" w:sz="4" w:space="0"/>
              <w:bottom w:val="single" w:color="auto" w:sz="4" w:space="0"/>
              <w:right w:val="single" w:color="auto" w:sz="4" w:space="0"/>
            </w:tcBorders>
            <w:vAlign w:val="center"/>
          </w:tcPr>
          <w:p w14:paraId="461E6720">
            <w:pPr>
              <w:widowControl/>
              <w:spacing w:line="240" w:lineRule="auto"/>
              <w:ind w:firstLine="0" w:firstLineChars="0"/>
              <w:jc w:val="center"/>
              <w:rPr>
                <w:rFonts w:cs="Times New Roman"/>
                <w:kern w:val="0"/>
                <w:sz w:val="21"/>
                <w:szCs w:val="21"/>
              </w:rPr>
            </w:pPr>
            <w:r>
              <w:rPr>
                <w:rFonts w:cs="Times New Roman"/>
                <w:kern w:val="0"/>
                <w:sz w:val="21"/>
                <w:szCs w:val="21"/>
              </w:rPr>
              <w:t>1,1,1-</w:t>
            </w:r>
            <w:r>
              <w:rPr>
                <w:rFonts w:hint="eastAsia" w:cs="Times New Roman"/>
                <w:kern w:val="0"/>
                <w:sz w:val="21"/>
                <w:szCs w:val="21"/>
              </w:rPr>
              <w:t>三氯乙烷</w:t>
            </w:r>
          </w:p>
        </w:tc>
        <w:tc>
          <w:tcPr>
            <w:tcW w:w="461" w:type="pct"/>
            <w:tcBorders>
              <w:top w:val="single" w:color="auto" w:sz="4" w:space="0"/>
              <w:left w:val="single" w:color="auto" w:sz="4" w:space="0"/>
              <w:bottom w:val="single" w:color="auto" w:sz="4" w:space="0"/>
              <w:right w:val="single" w:color="auto" w:sz="4" w:space="0"/>
            </w:tcBorders>
            <w:vAlign w:val="center"/>
          </w:tcPr>
          <w:p w14:paraId="176718EF">
            <w:pPr>
              <w:widowControl/>
              <w:spacing w:line="240" w:lineRule="auto"/>
              <w:ind w:firstLine="0" w:firstLineChars="0"/>
              <w:jc w:val="center"/>
              <w:rPr>
                <w:rFonts w:cs="Times New Roman"/>
                <w:kern w:val="0"/>
                <w:sz w:val="21"/>
                <w:szCs w:val="21"/>
              </w:rPr>
            </w:pPr>
            <w:r>
              <w:rPr>
                <w:rFonts w:cs="Times New Roman"/>
                <w:kern w:val="0"/>
                <w:sz w:val="21"/>
                <w:szCs w:val="21"/>
              </w:rPr>
              <w:t>71-55-6</w:t>
            </w:r>
          </w:p>
        </w:tc>
        <w:tc>
          <w:tcPr>
            <w:tcW w:w="470" w:type="pct"/>
            <w:tcBorders>
              <w:left w:val="single" w:color="auto" w:sz="4" w:space="0"/>
              <w:right w:val="single" w:color="auto" w:sz="4" w:space="0"/>
            </w:tcBorders>
            <w:vAlign w:val="center"/>
          </w:tcPr>
          <w:p w14:paraId="69344849">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15C612F5">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6AD1ECD6">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1277B18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14E31F9A">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68402551">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7FE4947A">
            <w:pPr>
              <w:spacing w:line="240" w:lineRule="auto"/>
              <w:ind w:firstLine="0" w:firstLineChars="0"/>
              <w:jc w:val="center"/>
              <w:rPr>
                <w:rFonts w:cs="Times New Roman"/>
                <w:sz w:val="21"/>
                <w:szCs w:val="21"/>
              </w:rPr>
            </w:pPr>
            <w:r>
              <w:rPr>
                <w:rFonts w:cs="Times New Roman"/>
                <w:sz w:val="21"/>
                <w:szCs w:val="21"/>
              </w:rPr>
              <w:t>840</w:t>
            </w:r>
          </w:p>
        </w:tc>
        <w:tc>
          <w:tcPr>
            <w:tcW w:w="251" w:type="pct"/>
            <w:tcBorders>
              <w:top w:val="single" w:color="auto" w:sz="4" w:space="0"/>
              <w:left w:val="single" w:color="auto" w:sz="4" w:space="0"/>
              <w:bottom w:val="single" w:color="auto" w:sz="4" w:space="0"/>
              <w:right w:val="nil"/>
            </w:tcBorders>
            <w:vAlign w:val="center"/>
          </w:tcPr>
          <w:p w14:paraId="7F20F66A">
            <w:pPr>
              <w:spacing w:line="240" w:lineRule="auto"/>
              <w:ind w:firstLine="0" w:firstLineChars="0"/>
              <w:jc w:val="center"/>
              <w:rPr>
                <w:rFonts w:cs="Times New Roman"/>
                <w:szCs w:val="24"/>
              </w:rPr>
            </w:pPr>
            <w:r>
              <w:rPr>
                <w:rFonts w:hint="eastAsia" w:cs="Times New Roman"/>
                <w:sz w:val="21"/>
                <w:szCs w:val="21"/>
              </w:rPr>
              <w:t>达标</w:t>
            </w:r>
          </w:p>
        </w:tc>
      </w:tr>
      <w:tr w14:paraId="260E0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6FDC4A69">
            <w:pPr>
              <w:widowControl/>
              <w:spacing w:line="240" w:lineRule="auto"/>
              <w:ind w:firstLine="0" w:firstLineChars="0"/>
              <w:jc w:val="center"/>
              <w:rPr>
                <w:rFonts w:cs="Times New Roman"/>
                <w:kern w:val="0"/>
                <w:sz w:val="21"/>
                <w:szCs w:val="21"/>
              </w:rPr>
            </w:pPr>
            <w:r>
              <w:rPr>
                <w:rFonts w:cs="Times New Roman"/>
                <w:kern w:val="0"/>
                <w:sz w:val="21"/>
                <w:szCs w:val="21"/>
              </w:rPr>
              <w:t>22</w:t>
            </w:r>
          </w:p>
        </w:tc>
        <w:tc>
          <w:tcPr>
            <w:tcW w:w="721" w:type="pct"/>
            <w:tcBorders>
              <w:top w:val="single" w:color="auto" w:sz="4" w:space="0"/>
              <w:left w:val="single" w:color="auto" w:sz="4" w:space="0"/>
              <w:bottom w:val="single" w:color="auto" w:sz="4" w:space="0"/>
              <w:right w:val="single" w:color="auto" w:sz="4" w:space="0"/>
            </w:tcBorders>
            <w:vAlign w:val="center"/>
          </w:tcPr>
          <w:p w14:paraId="711F9E45">
            <w:pPr>
              <w:widowControl/>
              <w:spacing w:line="240" w:lineRule="auto"/>
              <w:ind w:firstLine="0" w:firstLineChars="0"/>
              <w:jc w:val="center"/>
              <w:rPr>
                <w:rFonts w:cs="Times New Roman"/>
                <w:kern w:val="0"/>
                <w:sz w:val="21"/>
                <w:szCs w:val="21"/>
              </w:rPr>
            </w:pPr>
            <w:r>
              <w:rPr>
                <w:rFonts w:cs="Times New Roman"/>
                <w:kern w:val="0"/>
                <w:sz w:val="21"/>
                <w:szCs w:val="21"/>
              </w:rPr>
              <w:t>1,1,2-</w:t>
            </w:r>
            <w:r>
              <w:rPr>
                <w:rFonts w:hint="eastAsia" w:cs="Times New Roman"/>
                <w:kern w:val="0"/>
                <w:sz w:val="21"/>
                <w:szCs w:val="21"/>
              </w:rPr>
              <w:t>三氯乙烷</w:t>
            </w:r>
          </w:p>
        </w:tc>
        <w:tc>
          <w:tcPr>
            <w:tcW w:w="461" w:type="pct"/>
            <w:tcBorders>
              <w:top w:val="single" w:color="auto" w:sz="4" w:space="0"/>
              <w:left w:val="single" w:color="auto" w:sz="4" w:space="0"/>
              <w:bottom w:val="single" w:color="auto" w:sz="4" w:space="0"/>
              <w:right w:val="single" w:color="auto" w:sz="4" w:space="0"/>
            </w:tcBorders>
            <w:vAlign w:val="center"/>
          </w:tcPr>
          <w:p w14:paraId="6507AE48">
            <w:pPr>
              <w:widowControl/>
              <w:spacing w:line="240" w:lineRule="auto"/>
              <w:ind w:firstLine="0" w:firstLineChars="0"/>
              <w:jc w:val="center"/>
              <w:rPr>
                <w:rFonts w:cs="Times New Roman"/>
                <w:kern w:val="0"/>
                <w:sz w:val="21"/>
                <w:szCs w:val="21"/>
              </w:rPr>
            </w:pPr>
            <w:r>
              <w:rPr>
                <w:rFonts w:cs="Times New Roman"/>
                <w:kern w:val="0"/>
                <w:sz w:val="21"/>
                <w:szCs w:val="21"/>
              </w:rPr>
              <w:t>79-00-5</w:t>
            </w:r>
          </w:p>
        </w:tc>
        <w:tc>
          <w:tcPr>
            <w:tcW w:w="470" w:type="pct"/>
            <w:tcBorders>
              <w:left w:val="single" w:color="auto" w:sz="4" w:space="0"/>
              <w:right w:val="single" w:color="auto" w:sz="4" w:space="0"/>
            </w:tcBorders>
            <w:vAlign w:val="center"/>
          </w:tcPr>
          <w:p w14:paraId="72B5EBAD">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81F3ECA">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71B8976F">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5196652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11B43FE6">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4B041825">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771F291E">
            <w:pPr>
              <w:spacing w:line="240" w:lineRule="auto"/>
              <w:ind w:firstLine="0" w:firstLineChars="0"/>
              <w:jc w:val="center"/>
              <w:rPr>
                <w:rFonts w:cs="Times New Roman"/>
                <w:sz w:val="21"/>
                <w:szCs w:val="21"/>
              </w:rPr>
            </w:pPr>
            <w:r>
              <w:rPr>
                <w:rFonts w:cs="Times New Roman"/>
                <w:sz w:val="21"/>
                <w:szCs w:val="21"/>
              </w:rPr>
              <w:t>2.8</w:t>
            </w:r>
          </w:p>
        </w:tc>
        <w:tc>
          <w:tcPr>
            <w:tcW w:w="251" w:type="pct"/>
            <w:tcBorders>
              <w:top w:val="single" w:color="auto" w:sz="4" w:space="0"/>
              <w:left w:val="single" w:color="auto" w:sz="4" w:space="0"/>
              <w:bottom w:val="single" w:color="auto" w:sz="4" w:space="0"/>
              <w:right w:val="nil"/>
            </w:tcBorders>
            <w:vAlign w:val="center"/>
          </w:tcPr>
          <w:p w14:paraId="01795066">
            <w:pPr>
              <w:spacing w:line="240" w:lineRule="auto"/>
              <w:ind w:firstLine="0" w:firstLineChars="0"/>
              <w:jc w:val="center"/>
              <w:rPr>
                <w:rFonts w:cs="Times New Roman"/>
                <w:szCs w:val="24"/>
              </w:rPr>
            </w:pPr>
            <w:r>
              <w:rPr>
                <w:rFonts w:hint="eastAsia" w:cs="Times New Roman"/>
                <w:sz w:val="21"/>
                <w:szCs w:val="21"/>
              </w:rPr>
              <w:t>达标</w:t>
            </w:r>
          </w:p>
        </w:tc>
      </w:tr>
      <w:tr w14:paraId="7C777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1" w:type="pct"/>
            <w:tcBorders>
              <w:top w:val="single" w:color="auto" w:sz="4" w:space="0"/>
              <w:left w:val="nil"/>
              <w:bottom w:val="single" w:color="auto" w:sz="4" w:space="0"/>
              <w:right w:val="single" w:color="auto" w:sz="4" w:space="0"/>
            </w:tcBorders>
            <w:vAlign w:val="center"/>
          </w:tcPr>
          <w:p w14:paraId="041A8E0C">
            <w:pPr>
              <w:widowControl/>
              <w:spacing w:line="240" w:lineRule="auto"/>
              <w:ind w:firstLine="0" w:firstLineChars="0"/>
              <w:jc w:val="center"/>
              <w:rPr>
                <w:rFonts w:cs="Times New Roman"/>
                <w:kern w:val="0"/>
                <w:sz w:val="21"/>
                <w:szCs w:val="21"/>
              </w:rPr>
            </w:pPr>
            <w:r>
              <w:rPr>
                <w:rFonts w:cs="Times New Roman"/>
                <w:kern w:val="0"/>
                <w:sz w:val="21"/>
                <w:szCs w:val="21"/>
              </w:rPr>
              <w:t>23</w:t>
            </w:r>
          </w:p>
        </w:tc>
        <w:tc>
          <w:tcPr>
            <w:tcW w:w="721" w:type="pct"/>
            <w:tcBorders>
              <w:top w:val="single" w:color="auto" w:sz="4" w:space="0"/>
              <w:left w:val="single" w:color="auto" w:sz="4" w:space="0"/>
              <w:bottom w:val="single" w:color="auto" w:sz="4" w:space="0"/>
              <w:right w:val="single" w:color="auto" w:sz="4" w:space="0"/>
            </w:tcBorders>
            <w:vAlign w:val="center"/>
          </w:tcPr>
          <w:p w14:paraId="09C82649">
            <w:pPr>
              <w:widowControl/>
              <w:spacing w:line="240" w:lineRule="auto"/>
              <w:ind w:firstLine="0" w:firstLineChars="0"/>
              <w:jc w:val="center"/>
              <w:rPr>
                <w:rFonts w:cs="Times New Roman"/>
                <w:kern w:val="0"/>
                <w:sz w:val="21"/>
                <w:szCs w:val="21"/>
              </w:rPr>
            </w:pPr>
            <w:r>
              <w:rPr>
                <w:rFonts w:hint="eastAsia" w:cs="Times New Roman"/>
                <w:kern w:val="0"/>
                <w:sz w:val="21"/>
                <w:szCs w:val="21"/>
              </w:rPr>
              <w:t>三氯乙烯</w:t>
            </w:r>
          </w:p>
        </w:tc>
        <w:tc>
          <w:tcPr>
            <w:tcW w:w="461" w:type="pct"/>
            <w:tcBorders>
              <w:top w:val="single" w:color="auto" w:sz="4" w:space="0"/>
              <w:left w:val="single" w:color="auto" w:sz="4" w:space="0"/>
              <w:bottom w:val="single" w:color="auto" w:sz="4" w:space="0"/>
              <w:right w:val="single" w:color="auto" w:sz="4" w:space="0"/>
            </w:tcBorders>
            <w:vAlign w:val="center"/>
          </w:tcPr>
          <w:p w14:paraId="5E717807">
            <w:pPr>
              <w:widowControl/>
              <w:spacing w:line="240" w:lineRule="auto"/>
              <w:ind w:firstLine="0" w:firstLineChars="0"/>
              <w:jc w:val="center"/>
              <w:rPr>
                <w:rFonts w:cs="Times New Roman"/>
                <w:kern w:val="0"/>
                <w:sz w:val="21"/>
                <w:szCs w:val="21"/>
              </w:rPr>
            </w:pPr>
            <w:r>
              <w:rPr>
                <w:rFonts w:cs="Times New Roman"/>
                <w:kern w:val="0"/>
                <w:sz w:val="21"/>
                <w:szCs w:val="21"/>
              </w:rPr>
              <w:t>79-01-6</w:t>
            </w:r>
          </w:p>
        </w:tc>
        <w:tc>
          <w:tcPr>
            <w:tcW w:w="470" w:type="pct"/>
            <w:tcBorders>
              <w:left w:val="single" w:color="auto" w:sz="4" w:space="0"/>
              <w:right w:val="single" w:color="auto" w:sz="4" w:space="0"/>
            </w:tcBorders>
            <w:vAlign w:val="center"/>
          </w:tcPr>
          <w:p w14:paraId="42167AE6">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73759D52">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022155D8">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53E6E71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5C3CD405">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249EB329">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774C0295">
            <w:pPr>
              <w:spacing w:line="240" w:lineRule="auto"/>
              <w:ind w:firstLine="0" w:firstLineChars="0"/>
              <w:jc w:val="center"/>
              <w:rPr>
                <w:rFonts w:cs="Times New Roman"/>
                <w:sz w:val="21"/>
                <w:szCs w:val="21"/>
              </w:rPr>
            </w:pPr>
            <w:r>
              <w:rPr>
                <w:rFonts w:cs="Times New Roman"/>
                <w:sz w:val="21"/>
                <w:szCs w:val="21"/>
              </w:rPr>
              <w:t>2.8</w:t>
            </w:r>
          </w:p>
        </w:tc>
        <w:tc>
          <w:tcPr>
            <w:tcW w:w="251" w:type="pct"/>
            <w:tcBorders>
              <w:top w:val="single" w:color="auto" w:sz="4" w:space="0"/>
              <w:left w:val="single" w:color="auto" w:sz="4" w:space="0"/>
              <w:bottom w:val="single" w:color="auto" w:sz="4" w:space="0"/>
              <w:right w:val="nil"/>
            </w:tcBorders>
            <w:vAlign w:val="center"/>
          </w:tcPr>
          <w:p w14:paraId="3A0C1467">
            <w:pPr>
              <w:spacing w:line="240" w:lineRule="auto"/>
              <w:ind w:firstLine="0" w:firstLineChars="0"/>
              <w:jc w:val="center"/>
              <w:rPr>
                <w:rFonts w:cs="Times New Roman"/>
                <w:szCs w:val="24"/>
              </w:rPr>
            </w:pPr>
            <w:r>
              <w:rPr>
                <w:rFonts w:hint="eastAsia" w:cs="Times New Roman"/>
                <w:sz w:val="21"/>
                <w:szCs w:val="21"/>
              </w:rPr>
              <w:t>达标</w:t>
            </w:r>
          </w:p>
        </w:tc>
      </w:tr>
      <w:tr w14:paraId="7585E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0E930FC2">
            <w:pPr>
              <w:widowControl/>
              <w:spacing w:line="240" w:lineRule="auto"/>
              <w:ind w:firstLine="0" w:firstLineChars="0"/>
              <w:jc w:val="center"/>
              <w:rPr>
                <w:rFonts w:cs="Times New Roman"/>
                <w:kern w:val="0"/>
                <w:sz w:val="21"/>
                <w:szCs w:val="21"/>
              </w:rPr>
            </w:pPr>
            <w:r>
              <w:rPr>
                <w:rFonts w:cs="Times New Roman"/>
                <w:kern w:val="0"/>
                <w:sz w:val="21"/>
                <w:szCs w:val="21"/>
              </w:rPr>
              <w:t>24</w:t>
            </w:r>
          </w:p>
        </w:tc>
        <w:tc>
          <w:tcPr>
            <w:tcW w:w="721" w:type="pct"/>
            <w:tcBorders>
              <w:top w:val="single" w:color="auto" w:sz="4" w:space="0"/>
              <w:left w:val="single" w:color="auto" w:sz="4" w:space="0"/>
              <w:bottom w:val="single" w:color="auto" w:sz="4" w:space="0"/>
              <w:right w:val="single" w:color="auto" w:sz="4" w:space="0"/>
            </w:tcBorders>
            <w:vAlign w:val="center"/>
          </w:tcPr>
          <w:p w14:paraId="3AD04BD6">
            <w:pPr>
              <w:widowControl/>
              <w:spacing w:line="240" w:lineRule="auto"/>
              <w:ind w:firstLine="0" w:firstLineChars="0"/>
              <w:jc w:val="center"/>
              <w:rPr>
                <w:rFonts w:cs="Times New Roman"/>
                <w:kern w:val="0"/>
                <w:sz w:val="21"/>
                <w:szCs w:val="21"/>
              </w:rPr>
            </w:pPr>
            <w:r>
              <w:rPr>
                <w:rFonts w:cs="Times New Roman"/>
                <w:kern w:val="0"/>
                <w:sz w:val="21"/>
                <w:szCs w:val="21"/>
              </w:rPr>
              <w:t>1,2,3-</w:t>
            </w:r>
            <w:r>
              <w:rPr>
                <w:rFonts w:hint="eastAsia" w:cs="Times New Roman"/>
                <w:kern w:val="0"/>
                <w:sz w:val="21"/>
                <w:szCs w:val="21"/>
              </w:rPr>
              <w:t>三氯丙烷</w:t>
            </w:r>
          </w:p>
        </w:tc>
        <w:tc>
          <w:tcPr>
            <w:tcW w:w="461" w:type="pct"/>
            <w:tcBorders>
              <w:top w:val="single" w:color="auto" w:sz="4" w:space="0"/>
              <w:left w:val="single" w:color="auto" w:sz="4" w:space="0"/>
              <w:bottom w:val="single" w:color="auto" w:sz="4" w:space="0"/>
              <w:right w:val="single" w:color="auto" w:sz="4" w:space="0"/>
            </w:tcBorders>
            <w:vAlign w:val="center"/>
          </w:tcPr>
          <w:p w14:paraId="63FA19B8">
            <w:pPr>
              <w:widowControl/>
              <w:spacing w:line="240" w:lineRule="auto"/>
              <w:ind w:firstLine="0" w:firstLineChars="0"/>
              <w:jc w:val="center"/>
              <w:rPr>
                <w:rFonts w:cs="Times New Roman"/>
                <w:kern w:val="0"/>
                <w:sz w:val="21"/>
                <w:szCs w:val="21"/>
              </w:rPr>
            </w:pPr>
            <w:r>
              <w:rPr>
                <w:rFonts w:cs="Times New Roman"/>
                <w:kern w:val="0"/>
                <w:sz w:val="21"/>
                <w:szCs w:val="21"/>
              </w:rPr>
              <w:t>96-18-4</w:t>
            </w:r>
          </w:p>
        </w:tc>
        <w:tc>
          <w:tcPr>
            <w:tcW w:w="470" w:type="pct"/>
            <w:tcBorders>
              <w:left w:val="single" w:color="auto" w:sz="4" w:space="0"/>
              <w:right w:val="single" w:color="auto" w:sz="4" w:space="0"/>
            </w:tcBorders>
            <w:vAlign w:val="center"/>
          </w:tcPr>
          <w:p w14:paraId="0CB9A4E7">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48F7EB76">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6A10FAE3">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2875BB52">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479FFEFF">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60065E0B">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6F52AAED">
            <w:pPr>
              <w:spacing w:line="240" w:lineRule="auto"/>
              <w:ind w:firstLine="0" w:firstLineChars="0"/>
              <w:jc w:val="center"/>
              <w:rPr>
                <w:rFonts w:cs="Times New Roman"/>
                <w:sz w:val="21"/>
                <w:szCs w:val="21"/>
              </w:rPr>
            </w:pPr>
            <w:r>
              <w:rPr>
                <w:rFonts w:cs="Times New Roman"/>
                <w:sz w:val="21"/>
                <w:szCs w:val="21"/>
              </w:rPr>
              <w:t>0.5</w:t>
            </w:r>
          </w:p>
        </w:tc>
        <w:tc>
          <w:tcPr>
            <w:tcW w:w="251" w:type="pct"/>
            <w:tcBorders>
              <w:top w:val="single" w:color="auto" w:sz="4" w:space="0"/>
              <w:left w:val="single" w:color="auto" w:sz="4" w:space="0"/>
              <w:bottom w:val="single" w:color="auto" w:sz="4" w:space="0"/>
              <w:right w:val="nil"/>
            </w:tcBorders>
            <w:vAlign w:val="center"/>
          </w:tcPr>
          <w:p w14:paraId="51744B9F">
            <w:pPr>
              <w:spacing w:line="240" w:lineRule="auto"/>
              <w:ind w:firstLine="0" w:firstLineChars="0"/>
              <w:jc w:val="center"/>
              <w:rPr>
                <w:rFonts w:cs="Times New Roman"/>
                <w:szCs w:val="24"/>
              </w:rPr>
            </w:pPr>
            <w:r>
              <w:rPr>
                <w:rFonts w:hint="eastAsia" w:cs="Times New Roman"/>
                <w:sz w:val="21"/>
                <w:szCs w:val="21"/>
              </w:rPr>
              <w:t>达标</w:t>
            </w:r>
          </w:p>
        </w:tc>
      </w:tr>
      <w:tr w14:paraId="17863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2C06B650">
            <w:pPr>
              <w:widowControl/>
              <w:spacing w:line="240" w:lineRule="auto"/>
              <w:ind w:firstLine="0" w:firstLineChars="0"/>
              <w:jc w:val="center"/>
              <w:rPr>
                <w:rFonts w:cs="Times New Roman"/>
                <w:kern w:val="0"/>
                <w:sz w:val="21"/>
                <w:szCs w:val="21"/>
              </w:rPr>
            </w:pPr>
            <w:r>
              <w:rPr>
                <w:rFonts w:cs="Times New Roman"/>
                <w:kern w:val="0"/>
                <w:sz w:val="21"/>
                <w:szCs w:val="21"/>
              </w:rPr>
              <w:t>25</w:t>
            </w:r>
          </w:p>
        </w:tc>
        <w:tc>
          <w:tcPr>
            <w:tcW w:w="721" w:type="pct"/>
            <w:tcBorders>
              <w:top w:val="single" w:color="auto" w:sz="4" w:space="0"/>
              <w:left w:val="single" w:color="auto" w:sz="4" w:space="0"/>
              <w:bottom w:val="single" w:color="auto" w:sz="4" w:space="0"/>
              <w:right w:val="single" w:color="auto" w:sz="4" w:space="0"/>
            </w:tcBorders>
            <w:vAlign w:val="center"/>
          </w:tcPr>
          <w:p w14:paraId="188CD56F">
            <w:pPr>
              <w:widowControl/>
              <w:spacing w:line="240" w:lineRule="auto"/>
              <w:ind w:firstLine="0" w:firstLineChars="0"/>
              <w:jc w:val="center"/>
              <w:rPr>
                <w:rFonts w:cs="Times New Roman"/>
                <w:kern w:val="0"/>
                <w:sz w:val="21"/>
                <w:szCs w:val="21"/>
              </w:rPr>
            </w:pPr>
            <w:r>
              <w:rPr>
                <w:rFonts w:hint="eastAsia" w:cs="Times New Roman"/>
                <w:kern w:val="0"/>
                <w:sz w:val="21"/>
                <w:szCs w:val="21"/>
              </w:rPr>
              <w:t>氯乙烯</w:t>
            </w:r>
          </w:p>
        </w:tc>
        <w:tc>
          <w:tcPr>
            <w:tcW w:w="461" w:type="pct"/>
            <w:tcBorders>
              <w:top w:val="single" w:color="auto" w:sz="4" w:space="0"/>
              <w:left w:val="single" w:color="auto" w:sz="4" w:space="0"/>
              <w:bottom w:val="single" w:color="auto" w:sz="4" w:space="0"/>
              <w:right w:val="single" w:color="auto" w:sz="4" w:space="0"/>
            </w:tcBorders>
            <w:vAlign w:val="center"/>
          </w:tcPr>
          <w:p w14:paraId="6DE4C9E7">
            <w:pPr>
              <w:widowControl/>
              <w:spacing w:line="240" w:lineRule="auto"/>
              <w:ind w:firstLine="0" w:firstLineChars="0"/>
              <w:jc w:val="center"/>
              <w:rPr>
                <w:rFonts w:cs="Times New Roman"/>
                <w:kern w:val="0"/>
                <w:sz w:val="21"/>
                <w:szCs w:val="21"/>
              </w:rPr>
            </w:pPr>
            <w:r>
              <w:rPr>
                <w:rFonts w:cs="Times New Roman"/>
                <w:kern w:val="0"/>
                <w:sz w:val="21"/>
                <w:szCs w:val="21"/>
              </w:rPr>
              <w:t>75-01-4</w:t>
            </w:r>
          </w:p>
        </w:tc>
        <w:tc>
          <w:tcPr>
            <w:tcW w:w="470" w:type="pct"/>
            <w:tcBorders>
              <w:left w:val="single" w:color="auto" w:sz="4" w:space="0"/>
              <w:right w:val="single" w:color="auto" w:sz="4" w:space="0"/>
            </w:tcBorders>
            <w:vAlign w:val="center"/>
          </w:tcPr>
          <w:p w14:paraId="7D22A72A">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3573E707">
            <w:pPr>
              <w:spacing w:line="240" w:lineRule="auto"/>
              <w:ind w:firstLine="0" w:firstLineChars="0"/>
              <w:jc w:val="center"/>
              <w:rPr>
                <w:rFonts w:cs="Times New Roman"/>
                <w:szCs w:val="24"/>
              </w:rPr>
            </w:pPr>
            <w:r>
              <w:rPr>
                <w:rFonts w:hint="eastAsia" w:cs="Times New Roman"/>
                <w:sz w:val="21"/>
                <w:szCs w:val="21"/>
              </w:rPr>
              <w:t>1.2</w:t>
            </w:r>
            <w:r>
              <w:rPr>
                <w:rFonts w:cs="Times New Roman"/>
                <w:sz w:val="21"/>
                <w:szCs w:val="21"/>
              </w:rPr>
              <w:t>×10</w:t>
            </w:r>
            <w:r>
              <w:rPr>
                <w:rFonts w:cs="Times New Roman"/>
                <w:sz w:val="21"/>
                <w:szCs w:val="21"/>
                <w:vertAlign w:val="superscript"/>
              </w:rPr>
              <w:t>-3</w:t>
            </w:r>
          </w:p>
        </w:tc>
        <w:tc>
          <w:tcPr>
            <w:tcW w:w="470" w:type="pct"/>
            <w:tcBorders>
              <w:left w:val="single" w:color="auto" w:sz="4" w:space="0"/>
              <w:right w:val="single" w:color="auto" w:sz="4" w:space="0"/>
            </w:tcBorders>
            <w:vAlign w:val="center"/>
          </w:tcPr>
          <w:p w14:paraId="3A72B941">
            <w:pPr>
              <w:spacing w:line="240" w:lineRule="auto"/>
              <w:ind w:firstLine="0" w:firstLineChars="0"/>
              <w:jc w:val="center"/>
              <w:rPr>
                <w:rFonts w:cs="Times New Roman"/>
                <w:szCs w:val="24"/>
              </w:rPr>
            </w:pPr>
            <w:r>
              <w:rPr>
                <w:rFonts w:hint="eastAsia" w:cs="Times New Roman"/>
                <w:sz w:val="21"/>
                <w:szCs w:val="21"/>
              </w:rPr>
              <w:t>1.1</w:t>
            </w:r>
            <w:r>
              <w:rPr>
                <w:rFonts w:cs="Times New Roman"/>
                <w:sz w:val="21"/>
                <w:szCs w:val="21"/>
              </w:rPr>
              <w:t>×10</w:t>
            </w:r>
            <w:r>
              <w:rPr>
                <w:rFonts w:cs="Times New Roman"/>
                <w:sz w:val="21"/>
                <w:szCs w:val="21"/>
                <w:vertAlign w:val="superscript"/>
              </w:rPr>
              <w:t>-3</w:t>
            </w:r>
          </w:p>
        </w:tc>
        <w:tc>
          <w:tcPr>
            <w:tcW w:w="470" w:type="pct"/>
            <w:tcBorders>
              <w:left w:val="single" w:color="auto" w:sz="4" w:space="0"/>
              <w:right w:val="single" w:color="auto" w:sz="4" w:space="0"/>
            </w:tcBorders>
            <w:vAlign w:val="center"/>
          </w:tcPr>
          <w:p w14:paraId="5E39D7EA">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6C1D1C06">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33C90139">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4140C90A">
            <w:pPr>
              <w:spacing w:line="240" w:lineRule="auto"/>
              <w:ind w:firstLine="0" w:firstLineChars="0"/>
              <w:jc w:val="center"/>
              <w:rPr>
                <w:rFonts w:cs="Times New Roman"/>
                <w:sz w:val="21"/>
                <w:szCs w:val="21"/>
              </w:rPr>
            </w:pPr>
            <w:r>
              <w:rPr>
                <w:rFonts w:cs="Times New Roman"/>
                <w:sz w:val="21"/>
                <w:szCs w:val="21"/>
              </w:rPr>
              <w:t>0.43</w:t>
            </w:r>
          </w:p>
        </w:tc>
        <w:tc>
          <w:tcPr>
            <w:tcW w:w="251" w:type="pct"/>
            <w:tcBorders>
              <w:top w:val="single" w:color="auto" w:sz="4" w:space="0"/>
              <w:left w:val="single" w:color="auto" w:sz="4" w:space="0"/>
              <w:bottom w:val="single" w:color="auto" w:sz="4" w:space="0"/>
              <w:right w:val="nil"/>
            </w:tcBorders>
            <w:vAlign w:val="center"/>
          </w:tcPr>
          <w:p w14:paraId="6D6D5C99">
            <w:pPr>
              <w:spacing w:line="240" w:lineRule="auto"/>
              <w:ind w:firstLine="0" w:firstLineChars="0"/>
              <w:jc w:val="center"/>
              <w:rPr>
                <w:rFonts w:cs="Times New Roman"/>
                <w:szCs w:val="24"/>
              </w:rPr>
            </w:pPr>
            <w:r>
              <w:rPr>
                <w:rFonts w:hint="eastAsia" w:cs="Times New Roman"/>
                <w:sz w:val="21"/>
                <w:szCs w:val="21"/>
              </w:rPr>
              <w:t>达标</w:t>
            </w:r>
          </w:p>
        </w:tc>
      </w:tr>
      <w:tr w14:paraId="51D45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13D9B7B0">
            <w:pPr>
              <w:widowControl/>
              <w:spacing w:line="240" w:lineRule="auto"/>
              <w:ind w:firstLine="0" w:firstLineChars="0"/>
              <w:jc w:val="center"/>
              <w:rPr>
                <w:rFonts w:cs="Times New Roman"/>
                <w:kern w:val="0"/>
                <w:sz w:val="21"/>
                <w:szCs w:val="21"/>
              </w:rPr>
            </w:pPr>
            <w:r>
              <w:rPr>
                <w:rFonts w:cs="Times New Roman"/>
                <w:kern w:val="0"/>
                <w:sz w:val="21"/>
                <w:szCs w:val="21"/>
              </w:rPr>
              <w:t>26</w:t>
            </w:r>
          </w:p>
        </w:tc>
        <w:tc>
          <w:tcPr>
            <w:tcW w:w="721" w:type="pct"/>
            <w:tcBorders>
              <w:top w:val="single" w:color="auto" w:sz="4" w:space="0"/>
              <w:left w:val="single" w:color="auto" w:sz="4" w:space="0"/>
              <w:bottom w:val="single" w:color="auto" w:sz="4" w:space="0"/>
              <w:right w:val="single" w:color="auto" w:sz="4" w:space="0"/>
            </w:tcBorders>
            <w:vAlign w:val="center"/>
          </w:tcPr>
          <w:p w14:paraId="2268A6C4">
            <w:pPr>
              <w:widowControl/>
              <w:spacing w:line="240" w:lineRule="auto"/>
              <w:ind w:firstLine="0" w:firstLineChars="0"/>
              <w:jc w:val="center"/>
              <w:rPr>
                <w:rFonts w:cs="Times New Roman"/>
                <w:kern w:val="0"/>
                <w:sz w:val="21"/>
                <w:szCs w:val="21"/>
              </w:rPr>
            </w:pPr>
            <w:r>
              <w:rPr>
                <w:rFonts w:hint="eastAsia" w:cs="Times New Roman"/>
                <w:kern w:val="0"/>
                <w:sz w:val="21"/>
                <w:szCs w:val="21"/>
              </w:rPr>
              <w:t>苯</w:t>
            </w:r>
          </w:p>
        </w:tc>
        <w:tc>
          <w:tcPr>
            <w:tcW w:w="461" w:type="pct"/>
            <w:tcBorders>
              <w:top w:val="single" w:color="auto" w:sz="4" w:space="0"/>
              <w:left w:val="single" w:color="auto" w:sz="4" w:space="0"/>
              <w:bottom w:val="single" w:color="auto" w:sz="4" w:space="0"/>
              <w:right w:val="single" w:color="auto" w:sz="4" w:space="0"/>
            </w:tcBorders>
            <w:vAlign w:val="center"/>
          </w:tcPr>
          <w:p w14:paraId="23D28027">
            <w:pPr>
              <w:widowControl/>
              <w:spacing w:line="240" w:lineRule="auto"/>
              <w:ind w:firstLine="0" w:firstLineChars="0"/>
              <w:jc w:val="center"/>
              <w:rPr>
                <w:rFonts w:cs="Times New Roman"/>
                <w:kern w:val="0"/>
                <w:sz w:val="21"/>
                <w:szCs w:val="21"/>
              </w:rPr>
            </w:pPr>
            <w:r>
              <w:rPr>
                <w:rFonts w:cs="Times New Roman"/>
                <w:kern w:val="0"/>
                <w:sz w:val="21"/>
                <w:szCs w:val="21"/>
              </w:rPr>
              <w:t>71-43-2</w:t>
            </w:r>
          </w:p>
        </w:tc>
        <w:tc>
          <w:tcPr>
            <w:tcW w:w="470" w:type="pct"/>
            <w:tcBorders>
              <w:left w:val="single" w:color="auto" w:sz="4" w:space="0"/>
              <w:right w:val="single" w:color="auto" w:sz="4" w:space="0"/>
            </w:tcBorders>
            <w:vAlign w:val="center"/>
          </w:tcPr>
          <w:p w14:paraId="5D8B0E90">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3ABAA592">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256EA42A">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209C95BC">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322902CC">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6A5D1A1C">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10BF8163">
            <w:pPr>
              <w:spacing w:line="240" w:lineRule="auto"/>
              <w:ind w:firstLine="0" w:firstLineChars="0"/>
              <w:jc w:val="center"/>
              <w:rPr>
                <w:rFonts w:cs="Times New Roman"/>
                <w:sz w:val="21"/>
                <w:szCs w:val="21"/>
              </w:rPr>
            </w:pPr>
            <w:r>
              <w:rPr>
                <w:rFonts w:cs="Times New Roman"/>
                <w:sz w:val="21"/>
                <w:szCs w:val="21"/>
              </w:rPr>
              <w:t>4</w:t>
            </w:r>
          </w:p>
        </w:tc>
        <w:tc>
          <w:tcPr>
            <w:tcW w:w="251" w:type="pct"/>
            <w:tcBorders>
              <w:top w:val="single" w:color="auto" w:sz="4" w:space="0"/>
              <w:left w:val="single" w:color="auto" w:sz="4" w:space="0"/>
              <w:bottom w:val="single" w:color="auto" w:sz="4" w:space="0"/>
              <w:right w:val="nil"/>
            </w:tcBorders>
            <w:vAlign w:val="center"/>
          </w:tcPr>
          <w:p w14:paraId="1DD364F2">
            <w:pPr>
              <w:spacing w:line="240" w:lineRule="auto"/>
              <w:ind w:firstLine="0" w:firstLineChars="0"/>
              <w:jc w:val="center"/>
              <w:rPr>
                <w:rFonts w:cs="Times New Roman"/>
                <w:szCs w:val="24"/>
              </w:rPr>
            </w:pPr>
            <w:r>
              <w:rPr>
                <w:rFonts w:hint="eastAsia" w:cs="Times New Roman"/>
                <w:sz w:val="21"/>
                <w:szCs w:val="21"/>
              </w:rPr>
              <w:t>达标</w:t>
            </w:r>
          </w:p>
        </w:tc>
      </w:tr>
      <w:tr w14:paraId="1A8E9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594022C8">
            <w:pPr>
              <w:widowControl/>
              <w:spacing w:line="240" w:lineRule="auto"/>
              <w:ind w:firstLine="0" w:firstLineChars="0"/>
              <w:jc w:val="center"/>
              <w:rPr>
                <w:rFonts w:cs="Times New Roman"/>
                <w:kern w:val="0"/>
                <w:sz w:val="21"/>
                <w:szCs w:val="21"/>
              </w:rPr>
            </w:pPr>
            <w:r>
              <w:rPr>
                <w:rFonts w:cs="Times New Roman"/>
                <w:kern w:val="0"/>
                <w:sz w:val="21"/>
                <w:szCs w:val="21"/>
              </w:rPr>
              <w:t>27</w:t>
            </w:r>
          </w:p>
        </w:tc>
        <w:tc>
          <w:tcPr>
            <w:tcW w:w="721" w:type="pct"/>
            <w:tcBorders>
              <w:top w:val="single" w:color="auto" w:sz="4" w:space="0"/>
              <w:left w:val="single" w:color="auto" w:sz="4" w:space="0"/>
              <w:bottom w:val="single" w:color="auto" w:sz="4" w:space="0"/>
              <w:right w:val="single" w:color="auto" w:sz="4" w:space="0"/>
            </w:tcBorders>
            <w:vAlign w:val="center"/>
          </w:tcPr>
          <w:p w14:paraId="0C833FC1">
            <w:pPr>
              <w:widowControl/>
              <w:spacing w:line="240" w:lineRule="auto"/>
              <w:ind w:firstLine="0" w:firstLineChars="0"/>
              <w:jc w:val="center"/>
              <w:rPr>
                <w:rFonts w:cs="Times New Roman"/>
                <w:kern w:val="0"/>
                <w:sz w:val="21"/>
                <w:szCs w:val="21"/>
              </w:rPr>
            </w:pPr>
            <w:r>
              <w:rPr>
                <w:rFonts w:hint="eastAsia" w:cs="Times New Roman"/>
                <w:kern w:val="0"/>
                <w:sz w:val="21"/>
                <w:szCs w:val="21"/>
              </w:rPr>
              <w:t>氯苯</w:t>
            </w:r>
          </w:p>
        </w:tc>
        <w:tc>
          <w:tcPr>
            <w:tcW w:w="461" w:type="pct"/>
            <w:tcBorders>
              <w:top w:val="single" w:color="auto" w:sz="4" w:space="0"/>
              <w:left w:val="single" w:color="auto" w:sz="4" w:space="0"/>
              <w:bottom w:val="single" w:color="auto" w:sz="4" w:space="0"/>
              <w:right w:val="single" w:color="auto" w:sz="4" w:space="0"/>
            </w:tcBorders>
            <w:vAlign w:val="center"/>
          </w:tcPr>
          <w:p w14:paraId="22319493">
            <w:pPr>
              <w:widowControl/>
              <w:spacing w:line="240" w:lineRule="auto"/>
              <w:ind w:firstLine="0" w:firstLineChars="0"/>
              <w:jc w:val="center"/>
              <w:rPr>
                <w:rFonts w:cs="Times New Roman"/>
                <w:kern w:val="0"/>
                <w:sz w:val="21"/>
                <w:szCs w:val="21"/>
              </w:rPr>
            </w:pPr>
            <w:r>
              <w:rPr>
                <w:rFonts w:cs="Times New Roman"/>
                <w:kern w:val="0"/>
                <w:sz w:val="21"/>
                <w:szCs w:val="21"/>
              </w:rPr>
              <w:t>108-90-7</w:t>
            </w:r>
          </w:p>
        </w:tc>
        <w:tc>
          <w:tcPr>
            <w:tcW w:w="470" w:type="pct"/>
            <w:tcBorders>
              <w:left w:val="single" w:color="auto" w:sz="4" w:space="0"/>
              <w:right w:val="single" w:color="auto" w:sz="4" w:space="0"/>
            </w:tcBorders>
            <w:vAlign w:val="center"/>
          </w:tcPr>
          <w:p w14:paraId="631D8D7D">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7FC9D630">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7D2AF136">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7374958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5A99786B">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4CAD7E02">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36C7E419">
            <w:pPr>
              <w:spacing w:line="240" w:lineRule="auto"/>
              <w:ind w:firstLine="0" w:firstLineChars="0"/>
              <w:jc w:val="center"/>
              <w:rPr>
                <w:rFonts w:cs="Times New Roman"/>
                <w:sz w:val="21"/>
                <w:szCs w:val="21"/>
              </w:rPr>
            </w:pPr>
            <w:r>
              <w:rPr>
                <w:rFonts w:cs="Times New Roman"/>
                <w:sz w:val="21"/>
                <w:szCs w:val="21"/>
              </w:rPr>
              <w:t>270</w:t>
            </w:r>
          </w:p>
        </w:tc>
        <w:tc>
          <w:tcPr>
            <w:tcW w:w="251" w:type="pct"/>
            <w:tcBorders>
              <w:top w:val="single" w:color="auto" w:sz="4" w:space="0"/>
              <w:left w:val="single" w:color="auto" w:sz="4" w:space="0"/>
              <w:bottom w:val="single" w:color="auto" w:sz="4" w:space="0"/>
              <w:right w:val="nil"/>
            </w:tcBorders>
            <w:vAlign w:val="center"/>
          </w:tcPr>
          <w:p w14:paraId="2D8676F7">
            <w:pPr>
              <w:spacing w:line="240" w:lineRule="auto"/>
              <w:ind w:firstLine="0" w:firstLineChars="0"/>
              <w:jc w:val="center"/>
              <w:rPr>
                <w:rFonts w:cs="Times New Roman"/>
                <w:szCs w:val="24"/>
              </w:rPr>
            </w:pPr>
            <w:r>
              <w:rPr>
                <w:rFonts w:hint="eastAsia" w:cs="Times New Roman"/>
                <w:sz w:val="21"/>
                <w:szCs w:val="21"/>
              </w:rPr>
              <w:t>达标</w:t>
            </w:r>
          </w:p>
        </w:tc>
      </w:tr>
      <w:tr w14:paraId="7B774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6BB9BB84">
            <w:pPr>
              <w:widowControl/>
              <w:spacing w:line="240" w:lineRule="auto"/>
              <w:ind w:firstLine="0" w:firstLineChars="0"/>
              <w:jc w:val="center"/>
              <w:rPr>
                <w:rFonts w:cs="Times New Roman"/>
                <w:kern w:val="0"/>
                <w:sz w:val="21"/>
                <w:szCs w:val="21"/>
              </w:rPr>
            </w:pPr>
            <w:r>
              <w:rPr>
                <w:rFonts w:cs="Times New Roman"/>
                <w:kern w:val="0"/>
                <w:sz w:val="21"/>
                <w:szCs w:val="21"/>
              </w:rPr>
              <w:t>28</w:t>
            </w:r>
          </w:p>
        </w:tc>
        <w:tc>
          <w:tcPr>
            <w:tcW w:w="721" w:type="pct"/>
            <w:tcBorders>
              <w:top w:val="single" w:color="auto" w:sz="4" w:space="0"/>
              <w:left w:val="single" w:color="auto" w:sz="4" w:space="0"/>
              <w:bottom w:val="single" w:color="auto" w:sz="4" w:space="0"/>
              <w:right w:val="single" w:color="auto" w:sz="4" w:space="0"/>
            </w:tcBorders>
            <w:vAlign w:val="center"/>
          </w:tcPr>
          <w:p w14:paraId="4F5BB761">
            <w:pPr>
              <w:widowControl/>
              <w:spacing w:line="240" w:lineRule="auto"/>
              <w:ind w:firstLine="0" w:firstLineChars="0"/>
              <w:jc w:val="center"/>
              <w:rPr>
                <w:rFonts w:cs="Times New Roman"/>
                <w:kern w:val="0"/>
                <w:sz w:val="21"/>
                <w:szCs w:val="21"/>
              </w:rPr>
            </w:pPr>
            <w:r>
              <w:rPr>
                <w:rFonts w:cs="Times New Roman"/>
                <w:kern w:val="0"/>
                <w:sz w:val="21"/>
                <w:szCs w:val="21"/>
              </w:rPr>
              <w:t>1,2-</w:t>
            </w:r>
            <w:r>
              <w:rPr>
                <w:rFonts w:hint="eastAsia" w:cs="Times New Roman"/>
                <w:kern w:val="0"/>
                <w:sz w:val="21"/>
                <w:szCs w:val="21"/>
              </w:rPr>
              <w:t>二氯苯</w:t>
            </w:r>
          </w:p>
        </w:tc>
        <w:tc>
          <w:tcPr>
            <w:tcW w:w="461" w:type="pct"/>
            <w:tcBorders>
              <w:top w:val="single" w:color="auto" w:sz="4" w:space="0"/>
              <w:left w:val="single" w:color="auto" w:sz="4" w:space="0"/>
              <w:bottom w:val="single" w:color="auto" w:sz="4" w:space="0"/>
              <w:right w:val="single" w:color="auto" w:sz="4" w:space="0"/>
            </w:tcBorders>
            <w:vAlign w:val="center"/>
          </w:tcPr>
          <w:p w14:paraId="0C96EAF8">
            <w:pPr>
              <w:widowControl/>
              <w:spacing w:line="240" w:lineRule="auto"/>
              <w:ind w:firstLine="0" w:firstLineChars="0"/>
              <w:jc w:val="center"/>
              <w:rPr>
                <w:rFonts w:cs="Times New Roman"/>
                <w:kern w:val="0"/>
                <w:sz w:val="21"/>
                <w:szCs w:val="21"/>
              </w:rPr>
            </w:pPr>
            <w:r>
              <w:rPr>
                <w:rFonts w:cs="Times New Roman"/>
                <w:kern w:val="0"/>
                <w:sz w:val="21"/>
                <w:szCs w:val="21"/>
              </w:rPr>
              <w:t>95-50-1</w:t>
            </w:r>
          </w:p>
        </w:tc>
        <w:tc>
          <w:tcPr>
            <w:tcW w:w="470" w:type="pct"/>
            <w:tcBorders>
              <w:left w:val="single" w:color="auto" w:sz="4" w:space="0"/>
              <w:right w:val="single" w:color="auto" w:sz="4" w:space="0"/>
            </w:tcBorders>
            <w:vAlign w:val="center"/>
          </w:tcPr>
          <w:p w14:paraId="14C0E0B2">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678D3C5">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246114DE">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3B6A5C7E">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7A6B316D">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7D5412C3">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1D60BFE6">
            <w:pPr>
              <w:spacing w:line="240" w:lineRule="auto"/>
              <w:ind w:firstLine="0" w:firstLineChars="0"/>
              <w:jc w:val="center"/>
              <w:rPr>
                <w:rFonts w:cs="Times New Roman"/>
                <w:sz w:val="21"/>
                <w:szCs w:val="21"/>
              </w:rPr>
            </w:pPr>
            <w:r>
              <w:rPr>
                <w:rFonts w:cs="Times New Roman"/>
                <w:sz w:val="21"/>
                <w:szCs w:val="21"/>
              </w:rPr>
              <w:t>560</w:t>
            </w:r>
          </w:p>
        </w:tc>
        <w:tc>
          <w:tcPr>
            <w:tcW w:w="251" w:type="pct"/>
            <w:tcBorders>
              <w:top w:val="single" w:color="auto" w:sz="4" w:space="0"/>
              <w:left w:val="single" w:color="auto" w:sz="4" w:space="0"/>
              <w:bottom w:val="single" w:color="auto" w:sz="4" w:space="0"/>
              <w:right w:val="nil"/>
            </w:tcBorders>
            <w:vAlign w:val="center"/>
          </w:tcPr>
          <w:p w14:paraId="23AE942D">
            <w:pPr>
              <w:spacing w:line="240" w:lineRule="auto"/>
              <w:ind w:firstLine="0" w:firstLineChars="0"/>
              <w:jc w:val="center"/>
              <w:rPr>
                <w:rFonts w:cs="Times New Roman"/>
                <w:szCs w:val="24"/>
              </w:rPr>
            </w:pPr>
            <w:r>
              <w:rPr>
                <w:rFonts w:hint="eastAsia" w:cs="Times New Roman"/>
                <w:sz w:val="21"/>
                <w:szCs w:val="21"/>
              </w:rPr>
              <w:t>达标</w:t>
            </w:r>
          </w:p>
        </w:tc>
      </w:tr>
      <w:tr w14:paraId="2E117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2B43E431">
            <w:pPr>
              <w:widowControl/>
              <w:spacing w:line="240" w:lineRule="auto"/>
              <w:ind w:firstLine="0" w:firstLineChars="0"/>
              <w:jc w:val="center"/>
              <w:rPr>
                <w:rFonts w:cs="Times New Roman"/>
                <w:kern w:val="0"/>
                <w:sz w:val="21"/>
                <w:szCs w:val="21"/>
              </w:rPr>
            </w:pPr>
            <w:r>
              <w:rPr>
                <w:rFonts w:cs="Times New Roman"/>
                <w:kern w:val="0"/>
                <w:sz w:val="21"/>
                <w:szCs w:val="21"/>
              </w:rPr>
              <w:t>29</w:t>
            </w:r>
          </w:p>
        </w:tc>
        <w:tc>
          <w:tcPr>
            <w:tcW w:w="721" w:type="pct"/>
            <w:tcBorders>
              <w:top w:val="single" w:color="auto" w:sz="4" w:space="0"/>
              <w:left w:val="single" w:color="auto" w:sz="4" w:space="0"/>
              <w:bottom w:val="single" w:color="auto" w:sz="4" w:space="0"/>
              <w:right w:val="single" w:color="auto" w:sz="4" w:space="0"/>
            </w:tcBorders>
            <w:vAlign w:val="center"/>
          </w:tcPr>
          <w:p w14:paraId="6695F275">
            <w:pPr>
              <w:widowControl/>
              <w:spacing w:line="240" w:lineRule="auto"/>
              <w:ind w:firstLine="0" w:firstLineChars="0"/>
              <w:jc w:val="center"/>
              <w:rPr>
                <w:rFonts w:cs="Times New Roman"/>
                <w:kern w:val="0"/>
                <w:sz w:val="21"/>
                <w:szCs w:val="21"/>
              </w:rPr>
            </w:pPr>
            <w:r>
              <w:rPr>
                <w:rFonts w:cs="Times New Roman"/>
                <w:kern w:val="0"/>
                <w:sz w:val="21"/>
                <w:szCs w:val="21"/>
              </w:rPr>
              <w:t>1,4-</w:t>
            </w:r>
            <w:r>
              <w:rPr>
                <w:rFonts w:hint="eastAsia" w:cs="Times New Roman"/>
                <w:kern w:val="0"/>
                <w:sz w:val="21"/>
                <w:szCs w:val="21"/>
              </w:rPr>
              <w:t>二氯苯</w:t>
            </w:r>
          </w:p>
        </w:tc>
        <w:tc>
          <w:tcPr>
            <w:tcW w:w="461" w:type="pct"/>
            <w:tcBorders>
              <w:top w:val="single" w:color="auto" w:sz="4" w:space="0"/>
              <w:left w:val="single" w:color="auto" w:sz="4" w:space="0"/>
              <w:bottom w:val="single" w:color="auto" w:sz="4" w:space="0"/>
              <w:right w:val="single" w:color="auto" w:sz="4" w:space="0"/>
            </w:tcBorders>
            <w:vAlign w:val="center"/>
          </w:tcPr>
          <w:p w14:paraId="2183575C">
            <w:pPr>
              <w:widowControl/>
              <w:spacing w:line="240" w:lineRule="auto"/>
              <w:ind w:firstLine="0" w:firstLineChars="0"/>
              <w:jc w:val="center"/>
              <w:rPr>
                <w:rFonts w:cs="Times New Roman"/>
                <w:kern w:val="0"/>
                <w:sz w:val="21"/>
                <w:szCs w:val="21"/>
              </w:rPr>
            </w:pPr>
            <w:r>
              <w:rPr>
                <w:rFonts w:cs="Times New Roman"/>
                <w:kern w:val="0"/>
                <w:sz w:val="21"/>
                <w:szCs w:val="21"/>
              </w:rPr>
              <w:t>106-46-7</w:t>
            </w:r>
          </w:p>
        </w:tc>
        <w:tc>
          <w:tcPr>
            <w:tcW w:w="470" w:type="pct"/>
            <w:tcBorders>
              <w:left w:val="single" w:color="auto" w:sz="4" w:space="0"/>
              <w:right w:val="single" w:color="auto" w:sz="4" w:space="0"/>
            </w:tcBorders>
            <w:vAlign w:val="center"/>
          </w:tcPr>
          <w:p w14:paraId="46BB2AA1">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155F43E6">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02BC8721">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1598B5C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1E82ADBA">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164F6A8D">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7FB75C9D">
            <w:pPr>
              <w:spacing w:line="240" w:lineRule="auto"/>
              <w:ind w:firstLine="0" w:firstLineChars="0"/>
              <w:jc w:val="center"/>
              <w:rPr>
                <w:rFonts w:cs="Times New Roman"/>
                <w:sz w:val="21"/>
                <w:szCs w:val="21"/>
              </w:rPr>
            </w:pPr>
            <w:r>
              <w:rPr>
                <w:rFonts w:cs="Times New Roman"/>
                <w:sz w:val="21"/>
                <w:szCs w:val="21"/>
              </w:rPr>
              <w:t>20</w:t>
            </w:r>
          </w:p>
        </w:tc>
        <w:tc>
          <w:tcPr>
            <w:tcW w:w="251" w:type="pct"/>
            <w:tcBorders>
              <w:top w:val="single" w:color="auto" w:sz="4" w:space="0"/>
              <w:left w:val="single" w:color="auto" w:sz="4" w:space="0"/>
              <w:bottom w:val="single" w:color="auto" w:sz="4" w:space="0"/>
              <w:right w:val="nil"/>
            </w:tcBorders>
            <w:vAlign w:val="center"/>
          </w:tcPr>
          <w:p w14:paraId="3868F87C">
            <w:pPr>
              <w:spacing w:line="240" w:lineRule="auto"/>
              <w:ind w:firstLine="0" w:firstLineChars="0"/>
              <w:jc w:val="center"/>
              <w:rPr>
                <w:rFonts w:cs="Times New Roman"/>
                <w:szCs w:val="24"/>
              </w:rPr>
            </w:pPr>
            <w:r>
              <w:rPr>
                <w:rFonts w:hint="eastAsia" w:cs="Times New Roman"/>
                <w:sz w:val="21"/>
                <w:szCs w:val="21"/>
              </w:rPr>
              <w:t>达标</w:t>
            </w:r>
          </w:p>
        </w:tc>
      </w:tr>
      <w:tr w14:paraId="388B1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6E9664FC">
            <w:pPr>
              <w:widowControl/>
              <w:spacing w:line="240" w:lineRule="auto"/>
              <w:ind w:firstLine="0" w:firstLineChars="0"/>
              <w:jc w:val="center"/>
              <w:rPr>
                <w:rFonts w:cs="Times New Roman"/>
                <w:kern w:val="0"/>
                <w:sz w:val="21"/>
                <w:szCs w:val="21"/>
              </w:rPr>
            </w:pPr>
            <w:r>
              <w:rPr>
                <w:rFonts w:cs="Times New Roman"/>
                <w:kern w:val="0"/>
                <w:sz w:val="21"/>
                <w:szCs w:val="21"/>
              </w:rPr>
              <w:t>30</w:t>
            </w:r>
          </w:p>
        </w:tc>
        <w:tc>
          <w:tcPr>
            <w:tcW w:w="721" w:type="pct"/>
            <w:tcBorders>
              <w:top w:val="single" w:color="auto" w:sz="4" w:space="0"/>
              <w:left w:val="single" w:color="auto" w:sz="4" w:space="0"/>
              <w:bottom w:val="single" w:color="auto" w:sz="4" w:space="0"/>
              <w:right w:val="single" w:color="auto" w:sz="4" w:space="0"/>
            </w:tcBorders>
            <w:vAlign w:val="center"/>
          </w:tcPr>
          <w:p w14:paraId="1AACFBE1">
            <w:pPr>
              <w:widowControl/>
              <w:spacing w:line="240" w:lineRule="auto"/>
              <w:ind w:firstLine="0" w:firstLineChars="0"/>
              <w:jc w:val="center"/>
              <w:rPr>
                <w:rFonts w:cs="Times New Roman"/>
                <w:kern w:val="0"/>
                <w:sz w:val="21"/>
                <w:szCs w:val="21"/>
              </w:rPr>
            </w:pPr>
            <w:r>
              <w:rPr>
                <w:rFonts w:hint="eastAsia" w:cs="Times New Roman"/>
                <w:kern w:val="0"/>
                <w:sz w:val="21"/>
                <w:szCs w:val="21"/>
              </w:rPr>
              <w:t>乙苯</w:t>
            </w:r>
          </w:p>
        </w:tc>
        <w:tc>
          <w:tcPr>
            <w:tcW w:w="461" w:type="pct"/>
            <w:tcBorders>
              <w:top w:val="single" w:color="auto" w:sz="4" w:space="0"/>
              <w:left w:val="single" w:color="auto" w:sz="4" w:space="0"/>
              <w:bottom w:val="single" w:color="auto" w:sz="4" w:space="0"/>
              <w:right w:val="single" w:color="auto" w:sz="4" w:space="0"/>
            </w:tcBorders>
            <w:vAlign w:val="center"/>
          </w:tcPr>
          <w:p w14:paraId="7947A29A">
            <w:pPr>
              <w:widowControl/>
              <w:spacing w:line="240" w:lineRule="auto"/>
              <w:ind w:firstLine="0" w:firstLineChars="0"/>
              <w:jc w:val="center"/>
              <w:rPr>
                <w:rFonts w:cs="Times New Roman"/>
                <w:kern w:val="0"/>
                <w:sz w:val="21"/>
                <w:szCs w:val="21"/>
              </w:rPr>
            </w:pPr>
            <w:r>
              <w:rPr>
                <w:rFonts w:cs="Times New Roman"/>
                <w:kern w:val="0"/>
                <w:sz w:val="21"/>
                <w:szCs w:val="21"/>
              </w:rPr>
              <w:t>100-41-4</w:t>
            </w:r>
          </w:p>
        </w:tc>
        <w:tc>
          <w:tcPr>
            <w:tcW w:w="470" w:type="pct"/>
            <w:tcBorders>
              <w:left w:val="single" w:color="auto" w:sz="4" w:space="0"/>
              <w:right w:val="single" w:color="auto" w:sz="4" w:space="0"/>
            </w:tcBorders>
            <w:vAlign w:val="center"/>
          </w:tcPr>
          <w:p w14:paraId="4C35F32B">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4CBE90F6">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45CC0D20">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402063B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359E03DA">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0A0687A8">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378EFA1E">
            <w:pPr>
              <w:spacing w:line="240" w:lineRule="auto"/>
              <w:ind w:firstLine="0" w:firstLineChars="0"/>
              <w:jc w:val="center"/>
              <w:rPr>
                <w:rFonts w:cs="Times New Roman"/>
                <w:sz w:val="21"/>
                <w:szCs w:val="21"/>
              </w:rPr>
            </w:pPr>
            <w:r>
              <w:rPr>
                <w:rFonts w:cs="Times New Roman"/>
                <w:sz w:val="21"/>
                <w:szCs w:val="21"/>
              </w:rPr>
              <w:t>28</w:t>
            </w:r>
          </w:p>
        </w:tc>
        <w:tc>
          <w:tcPr>
            <w:tcW w:w="251" w:type="pct"/>
            <w:tcBorders>
              <w:top w:val="single" w:color="auto" w:sz="4" w:space="0"/>
              <w:left w:val="single" w:color="auto" w:sz="4" w:space="0"/>
              <w:bottom w:val="single" w:color="auto" w:sz="4" w:space="0"/>
              <w:right w:val="nil"/>
            </w:tcBorders>
            <w:vAlign w:val="center"/>
          </w:tcPr>
          <w:p w14:paraId="031E32AF">
            <w:pPr>
              <w:spacing w:line="240" w:lineRule="auto"/>
              <w:ind w:firstLine="0" w:firstLineChars="0"/>
              <w:jc w:val="center"/>
              <w:rPr>
                <w:rFonts w:cs="Times New Roman"/>
                <w:szCs w:val="24"/>
              </w:rPr>
            </w:pPr>
            <w:r>
              <w:rPr>
                <w:rFonts w:hint="eastAsia" w:cs="Times New Roman"/>
                <w:sz w:val="21"/>
                <w:szCs w:val="21"/>
              </w:rPr>
              <w:t>达标</w:t>
            </w:r>
          </w:p>
        </w:tc>
      </w:tr>
      <w:tr w14:paraId="1DB09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4B3C7CAE">
            <w:pPr>
              <w:widowControl/>
              <w:spacing w:line="240" w:lineRule="auto"/>
              <w:ind w:firstLine="0" w:firstLineChars="0"/>
              <w:jc w:val="center"/>
              <w:rPr>
                <w:rFonts w:cs="Times New Roman"/>
                <w:kern w:val="0"/>
                <w:sz w:val="21"/>
                <w:szCs w:val="21"/>
              </w:rPr>
            </w:pPr>
            <w:r>
              <w:rPr>
                <w:rFonts w:cs="Times New Roman"/>
                <w:kern w:val="0"/>
                <w:sz w:val="21"/>
                <w:szCs w:val="21"/>
              </w:rPr>
              <w:t>31</w:t>
            </w:r>
          </w:p>
        </w:tc>
        <w:tc>
          <w:tcPr>
            <w:tcW w:w="721" w:type="pct"/>
            <w:tcBorders>
              <w:top w:val="single" w:color="auto" w:sz="4" w:space="0"/>
              <w:left w:val="single" w:color="auto" w:sz="4" w:space="0"/>
              <w:bottom w:val="single" w:color="auto" w:sz="4" w:space="0"/>
              <w:right w:val="single" w:color="auto" w:sz="4" w:space="0"/>
            </w:tcBorders>
            <w:vAlign w:val="center"/>
          </w:tcPr>
          <w:p w14:paraId="6A8805C9">
            <w:pPr>
              <w:widowControl/>
              <w:spacing w:line="240" w:lineRule="auto"/>
              <w:ind w:firstLine="0" w:firstLineChars="0"/>
              <w:jc w:val="center"/>
              <w:rPr>
                <w:rFonts w:cs="Times New Roman"/>
                <w:kern w:val="0"/>
                <w:sz w:val="21"/>
                <w:szCs w:val="21"/>
              </w:rPr>
            </w:pPr>
            <w:r>
              <w:rPr>
                <w:rFonts w:hint="eastAsia" w:cs="Times New Roman"/>
                <w:kern w:val="0"/>
                <w:sz w:val="21"/>
                <w:szCs w:val="21"/>
              </w:rPr>
              <w:t>苯乙烯</w:t>
            </w:r>
          </w:p>
        </w:tc>
        <w:tc>
          <w:tcPr>
            <w:tcW w:w="461" w:type="pct"/>
            <w:tcBorders>
              <w:top w:val="single" w:color="auto" w:sz="4" w:space="0"/>
              <w:left w:val="single" w:color="auto" w:sz="4" w:space="0"/>
              <w:bottom w:val="single" w:color="auto" w:sz="4" w:space="0"/>
              <w:right w:val="single" w:color="auto" w:sz="4" w:space="0"/>
            </w:tcBorders>
            <w:vAlign w:val="center"/>
          </w:tcPr>
          <w:p w14:paraId="7F52E368">
            <w:pPr>
              <w:widowControl/>
              <w:spacing w:line="240" w:lineRule="auto"/>
              <w:ind w:firstLine="0" w:firstLineChars="0"/>
              <w:jc w:val="center"/>
              <w:rPr>
                <w:rFonts w:cs="Times New Roman"/>
                <w:kern w:val="0"/>
                <w:sz w:val="21"/>
                <w:szCs w:val="21"/>
              </w:rPr>
            </w:pPr>
            <w:r>
              <w:rPr>
                <w:rFonts w:cs="Times New Roman"/>
                <w:kern w:val="0"/>
                <w:sz w:val="21"/>
                <w:szCs w:val="21"/>
              </w:rPr>
              <w:t>100-42-5</w:t>
            </w:r>
          </w:p>
        </w:tc>
        <w:tc>
          <w:tcPr>
            <w:tcW w:w="470" w:type="pct"/>
            <w:tcBorders>
              <w:left w:val="single" w:color="auto" w:sz="4" w:space="0"/>
              <w:right w:val="single" w:color="auto" w:sz="4" w:space="0"/>
            </w:tcBorders>
            <w:vAlign w:val="center"/>
          </w:tcPr>
          <w:p w14:paraId="29EB027F">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37CB8366">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157CC1EA">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E27EA06">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0C49D4FB">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077C4AC6">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464D3A23">
            <w:pPr>
              <w:spacing w:line="240" w:lineRule="auto"/>
              <w:ind w:firstLine="0" w:firstLineChars="0"/>
              <w:jc w:val="center"/>
              <w:rPr>
                <w:rFonts w:cs="Times New Roman"/>
                <w:sz w:val="21"/>
                <w:szCs w:val="21"/>
              </w:rPr>
            </w:pPr>
            <w:r>
              <w:rPr>
                <w:rFonts w:cs="Times New Roman"/>
                <w:sz w:val="21"/>
                <w:szCs w:val="21"/>
              </w:rPr>
              <w:t>1290</w:t>
            </w:r>
          </w:p>
        </w:tc>
        <w:tc>
          <w:tcPr>
            <w:tcW w:w="251" w:type="pct"/>
            <w:tcBorders>
              <w:top w:val="single" w:color="auto" w:sz="4" w:space="0"/>
              <w:left w:val="single" w:color="auto" w:sz="4" w:space="0"/>
              <w:bottom w:val="single" w:color="auto" w:sz="4" w:space="0"/>
              <w:right w:val="nil"/>
            </w:tcBorders>
            <w:vAlign w:val="center"/>
          </w:tcPr>
          <w:p w14:paraId="1BBC3100">
            <w:pPr>
              <w:spacing w:line="240" w:lineRule="auto"/>
              <w:ind w:firstLine="0" w:firstLineChars="0"/>
              <w:jc w:val="center"/>
              <w:rPr>
                <w:rFonts w:cs="Times New Roman"/>
                <w:szCs w:val="24"/>
              </w:rPr>
            </w:pPr>
            <w:r>
              <w:rPr>
                <w:rFonts w:hint="eastAsia" w:cs="Times New Roman"/>
                <w:sz w:val="21"/>
                <w:szCs w:val="21"/>
              </w:rPr>
              <w:t>达标</w:t>
            </w:r>
          </w:p>
        </w:tc>
      </w:tr>
      <w:tr w14:paraId="5405C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19965EF7">
            <w:pPr>
              <w:widowControl/>
              <w:spacing w:line="240" w:lineRule="auto"/>
              <w:ind w:firstLine="0" w:firstLineChars="0"/>
              <w:jc w:val="center"/>
              <w:rPr>
                <w:rFonts w:cs="Times New Roman"/>
                <w:kern w:val="0"/>
                <w:sz w:val="21"/>
                <w:szCs w:val="21"/>
              </w:rPr>
            </w:pPr>
            <w:r>
              <w:rPr>
                <w:rFonts w:cs="Times New Roman"/>
                <w:kern w:val="0"/>
                <w:sz w:val="21"/>
                <w:szCs w:val="21"/>
              </w:rPr>
              <w:t>32</w:t>
            </w:r>
          </w:p>
        </w:tc>
        <w:tc>
          <w:tcPr>
            <w:tcW w:w="721" w:type="pct"/>
            <w:tcBorders>
              <w:top w:val="single" w:color="auto" w:sz="4" w:space="0"/>
              <w:left w:val="single" w:color="auto" w:sz="4" w:space="0"/>
              <w:bottom w:val="single" w:color="auto" w:sz="4" w:space="0"/>
              <w:right w:val="single" w:color="auto" w:sz="4" w:space="0"/>
            </w:tcBorders>
            <w:vAlign w:val="center"/>
          </w:tcPr>
          <w:p w14:paraId="38C5F1D0">
            <w:pPr>
              <w:widowControl/>
              <w:spacing w:line="240" w:lineRule="auto"/>
              <w:ind w:firstLine="0" w:firstLineChars="0"/>
              <w:jc w:val="center"/>
              <w:rPr>
                <w:rFonts w:cs="Times New Roman"/>
                <w:kern w:val="0"/>
                <w:sz w:val="21"/>
                <w:szCs w:val="21"/>
              </w:rPr>
            </w:pPr>
            <w:r>
              <w:rPr>
                <w:rFonts w:hint="eastAsia" w:cs="Times New Roman"/>
                <w:kern w:val="0"/>
                <w:sz w:val="21"/>
                <w:szCs w:val="21"/>
              </w:rPr>
              <w:t>甲苯</w:t>
            </w:r>
          </w:p>
        </w:tc>
        <w:tc>
          <w:tcPr>
            <w:tcW w:w="461" w:type="pct"/>
            <w:tcBorders>
              <w:top w:val="single" w:color="auto" w:sz="4" w:space="0"/>
              <w:left w:val="single" w:color="auto" w:sz="4" w:space="0"/>
              <w:bottom w:val="single" w:color="auto" w:sz="4" w:space="0"/>
              <w:right w:val="single" w:color="auto" w:sz="4" w:space="0"/>
            </w:tcBorders>
            <w:vAlign w:val="center"/>
          </w:tcPr>
          <w:p w14:paraId="1CDA885D">
            <w:pPr>
              <w:widowControl/>
              <w:spacing w:line="240" w:lineRule="auto"/>
              <w:ind w:firstLine="0" w:firstLineChars="0"/>
              <w:jc w:val="center"/>
              <w:rPr>
                <w:rFonts w:cs="Times New Roman"/>
                <w:kern w:val="0"/>
                <w:sz w:val="21"/>
                <w:szCs w:val="21"/>
              </w:rPr>
            </w:pPr>
            <w:r>
              <w:rPr>
                <w:rFonts w:cs="Times New Roman"/>
                <w:kern w:val="0"/>
                <w:sz w:val="21"/>
                <w:szCs w:val="21"/>
              </w:rPr>
              <w:t>108-88-3</w:t>
            </w:r>
          </w:p>
        </w:tc>
        <w:tc>
          <w:tcPr>
            <w:tcW w:w="470" w:type="pct"/>
            <w:tcBorders>
              <w:left w:val="single" w:color="auto" w:sz="4" w:space="0"/>
              <w:right w:val="single" w:color="auto" w:sz="4" w:space="0"/>
            </w:tcBorders>
            <w:vAlign w:val="center"/>
          </w:tcPr>
          <w:p w14:paraId="06AE1C6C">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0851D65">
            <w:pPr>
              <w:spacing w:line="240" w:lineRule="auto"/>
              <w:ind w:firstLine="0" w:firstLineChars="0"/>
              <w:jc w:val="center"/>
              <w:rPr>
                <w:rFonts w:cs="Times New Roman"/>
                <w:szCs w:val="24"/>
              </w:rPr>
            </w:pPr>
            <w:r>
              <w:rPr>
                <w:rFonts w:hint="eastAsia" w:cs="Times New Roman"/>
                <w:sz w:val="21"/>
                <w:szCs w:val="21"/>
              </w:rPr>
              <w:t>1.4</w:t>
            </w:r>
            <w:r>
              <w:rPr>
                <w:rFonts w:cs="Times New Roman"/>
                <w:sz w:val="21"/>
                <w:szCs w:val="21"/>
              </w:rPr>
              <w:t>×10</w:t>
            </w:r>
            <w:r>
              <w:rPr>
                <w:rFonts w:cs="Times New Roman"/>
                <w:sz w:val="21"/>
                <w:szCs w:val="21"/>
                <w:vertAlign w:val="superscript"/>
              </w:rPr>
              <w:t>-3</w:t>
            </w:r>
          </w:p>
        </w:tc>
        <w:tc>
          <w:tcPr>
            <w:tcW w:w="470" w:type="pct"/>
            <w:tcBorders>
              <w:left w:val="single" w:color="auto" w:sz="4" w:space="0"/>
              <w:right w:val="single" w:color="auto" w:sz="4" w:space="0"/>
            </w:tcBorders>
            <w:vAlign w:val="center"/>
          </w:tcPr>
          <w:p w14:paraId="6DC59470">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FDC8A57">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5AB41CF8">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4AC84F7A">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019DDF0E">
            <w:pPr>
              <w:spacing w:line="240" w:lineRule="auto"/>
              <w:ind w:firstLine="0" w:firstLineChars="0"/>
              <w:jc w:val="center"/>
              <w:rPr>
                <w:rFonts w:cs="Times New Roman"/>
                <w:sz w:val="21"/>
                <w:szCs w:val="21"/>
              </w:rPr>
            </w:pPr>
            <w:r>
              <w:rPr>
                <w:rFonts w:cs="Times New Roman"/>
                <w:sz w:val="21"/>
                <w:szCs w:val="21"/>
              </w:rPr>
              <w:t>1200</w:t>
            </w:r>
          </w:p>
        </w:tc>
        <w:tc>
          <w:tcPr>
            <w:tcW w:w="251" w:type="pct"/>
            <w:tcBorders>
              <w:top w:val="single" w:color="auto" w:sz="4" w:space="0"/>
              <w:left w:val="single" w:color="auto" w:sz="4" w:space="0"/>
              <w:bottom w:val="single" w:color="auto" w:sz="4" w:space="0"/>
              <w:right w:val="nil"/>
            </w:tcBorders>
            <w:vAlign w:val="center"/>
          </w:tcPr>
          <w:p w14:paraId="2082C67F">
            <w:pPr>
              <w:spacing w:line="240" w:lineRule="auto"/>
              <w:ind w:firstLine="0" w:firstLineChars="0"/>
              <w:jc w:val="center"/>
              <w:rPr>
                <w:rFonts w:cs="Times New Roman"/>
                <w:szCs w:val="24"/>
              </w:rPr>
            </w:pPr>
            <w:r>
              <w:rPr>
                <w:rFonts w:hint="eastAsia" w:cs="Times New Roman"/>
                <w:sz w:val="21"/>
                <w:szCs w:val="21"/>
              </w:rPr>
              <w:t>达标</w:t>
            </w:r>
          </w:p>
        </w:tc>
      </w:tr>
      <w:tr w14:paraId="3A3EA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7CEED3AA">
            <w:pPr>
              <w:widowControl/>
              <w:spacing w:line="240" w:lineRule="auto"/>
              <w:ind w:firstLine="0" w:firstLineChars="0"/>
              <w:jc w:val="center"/>
              <w:rPr>
                <w:rFonts w:cs="Times New Roman"/>
                <w:kern w:val="0"/>
                <w:sz w:val="21"/>
                <w:szCs w:val="21"/>
              </w:rPr>
            </w:pPr>
            <w:r>
              <w:rPr>
                <w:rFonts w:cs="Times New Roman"/>
                <w:kern w:val="0"/>
                <w:sz w:val="21"/>
                <w:szCs w:val="21"/>
              </w:rPr>
              <w:t>33</w:t>
            </w:r>
          </w:p>
        </w:tc>
        <w:tc>
          <w:tcPr>
            <w:tcW w:w="721" w:type="pct"/>
            <w:tcBorders>
              <w:top w:val="single" w:color="auto" w:sz="4" w:space="0"/>
              <w:left w:val="single" w:color="auto" w:sz="4" w:space="0"/>
              <w:bottom w:val="single" w:color="auto" w:sz="4" w:space="0"/>
              <w:right w:val="single" w:color="auto" w:sz="4" w:space="0"/>
            </w:tcBorders>
            <w:vAlign w:val="center"/>
          </w:tcPr>
          <w:p w14:paraId="713B1CFC">
            <w:pPr>
              <w:widowControl/>
              <w:spacing w:line="240" w:lineRule="auto"/>
              <w:ind w:firstLine="0" w:firstLineChars="0"/>
              <w:jc w:val="center"/>
              <w:rPr>
                <w:rFonts w:cs="Times New Roman"/>
                <w:kern w:val="0"/>
                <w:sz w:val="21"/>
                <w:szCs w:val="21"/>
              </w:rPr>
            </w:pPr>
            <w:r>
              <w:rPr>
                <w:rFonts w:hint="eastAsia" w:cs="Times New Roman"/>
                <w:kern w:val="0"/>
                <w:sz w:val="21"/>
                <w:szCs w:val="21"/>
              </w:rPr>
              <w:t>间二甲苯</w:t>
            </w:r>
            <w:r>
              <w:rPr>
                <w:rFonts w:cs="Times New Roman"/>
                <w:kern w:val="0"/>
                <w:sz w:val="21"/>
                <w:szCs w:val="21"/>
              </w:rPr>
              <w:t>+</w:t>
            </w:r>
            <w:r>
              <w:rPr>
                <w:rFonts w:hint="eastAsia" w:cs="Times New Roman"/>
                <w:kern w:val="0"/>
                <w:sz w:val="21"/>
                <w:szCs w:val="21"/>
              </w:rPr>
              <w:t>对二甲苯</w:t>
            </w:r>
          </w:p>
        </w:tc>
        <w:tc>
          <w:tcPr>
            <w:tcW w:w="461" w:type="pct"/>
            <w:tcBorders>
              <w:top w:val="single" w:color="auto" w:sz="4" w:space="0"/>
              <w:left w:val="single" w:color="auto" w:sz="4" w:space="0"/>
              <w:bottom w:val="single" w:color="auto" w:sz="4" w:space="0"/>
              <w:right w:val="single" w:color="auto" w:sz="4" w:space="0"/>
            </w:tcBorders>
            <w:vAlign w:val="center"/>
          </w:tcPr>
          <w:p w14:paraId="03D3F60C">
            <w:pPr>
              <w:widowControl/>
              <w:spacing w:line="240" w:lineRule="auto"/>
              <w:ind w:firstLine="0" w:firstLineChars="0"/>
              <w:jc w:val="center"/>
              <w:rPr>
                <w:rFonts w:cs="Times New Roman"/>
                <w:kern w:val="0"/>
                <w:sz w:val="21"/>
                <w:szCs w:val="21"/>
              </w:rPr>
            </w:pPr>
            <w:r>
              <w:rPr>
                <w:rFonts w:cs="Times New Roman"/>
                <w:kern w:val="0"/>
                <w:sz w:val="21"/>
                <w:szCs w:val="21"/>
              </w:rPr>
              <w:t>108-38-3</w:t>
            </w:r>
            <w:r>
              <w:rPr>
                <w:rFonts w:hint="eastAsia" w:cs="Times New Roman"/>
                <w:kern w:val="0"/>
                <w:sz w:val="21"/>
                <w:szCs w:val="21"/>
              </w:rPr>
              <w:t>，</w:t>
            </w:r>
          </w:p>
          <w:p w14:paraId="7592DFA1">
            <w:pPr>
              <w:widowControl/>
              <w:spacing w:line="240" w:lineRule="auto"/>
              <w:ind w:firstLine="0" w:firstLineChars="0"/>
              <w:jc w:val="center"/>
              <w:rPr>
                <w:rFonts w:cs="Times New Roman"/>
                <w:kern w:val="0"/>
                <w:sz w:val="21"/>
                <w:szCs w:val="21"/>
              </w:rPr>
            </w:pPr>
            <w:r>
              <w:rPr>
                <w:rFonts w:cs="Times New Roman"/>
                <w:kern w:val="0"/>
                <w:sz w:val="21"/>
                <w:szCs w:val="21"/>
              </w:rPr>
              <w:t>106-42-3</w:t>
            </w:r>
          </w:p>
        </w:tc>
        <w:tc>
          <w:tcPr>
            <w:tcW w:w="470" w:type="pct"/>
            <w:tcBorders>
              <w:left w:val="single" w:color="auto" w:sz="4" w:space="0"/>
              <w:right w:val="single" w:color="auto" w:sz="4" w:space="0"/>
            </w:tcBorders>
            <w:vAlign w:val="center"/>
          </w:tcPr>
          <w:p w14:paraId="1E9A2950">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1B2FA56D">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0DEA0564">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470" w:type="pct"/>
            <w:tcBorders>
              <w:left w:val="single" w:color="auto" w:sz="4" w:space="0"/>
              <w:right w:val="single" w:color="auto" w:sz="4" w:space="0"/>
            </w:tcBorders>
            <w:vAlign w:val="center"/>
          </w:tcPr>
          <w:p w14:paraId="65DD890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7EDF6247">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5ACA4496">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1CB62601">
            <w:pPr>
              <w:spacing w:line="240" w:lineRule="auto"/>
              <w:ind w:firstLine="0" w:firstLineChars="0"/>
              <w:jc w:val="center"/>
              <w:rPr>
                <w:rFonts w:cs="Times New Roman"/>
                <w:sz w:val="21"/>
                <w:szCs w:val="21"/>
              </w:rPr>
            </w:pPr>
            <w:r>
              <w:rPr>
                <w:rFonts w:cs="Times New Roman"/>
                <w:sz w:val="21"/>
                <w:szCs w:val="21"/>
              </w:rPr>
              <w:t>570</w:t>
            </w:r>
          </w:p>
        </w:tc>
        <w:tc>
          <w:tcPr>
            <w:tcW w:w="251" w:type="pct"/>
            <w:tcBorders>
              <w:top w:val="single" w:color="auto" w:sz="4" w:space="0"/>
              <w:left w:val="single" w:color="auto" w:sz="4" w:space="0"/>
              <w:bottom w:val="single" w:color="auto" w:sz="4" w:space="0"/>
              <w:right w:val="nil"/>
            </w:tcBorders>
            <w:vAlign w:val="center"/>
          </w:tcPr>
          <w:p w14:paraId="12DCC357">
            <w:pPr>
              <w:spacing w:line="240" w:lineRule="auto"/>
              <w:ind w:firstLine="0" w:firstLineChars="0"/>
              <w:jc w:val="center"/>
              <w:rPr>
                <w:rFonts w:cs="Times New Roman"/>
                <w:szCs w:val="24"/>
              </w:rPr>
            </w:pPr>
            <w:r>
              <w:rPr>
                <w:rFonts w:hint="eastAsia" w:cs="Times New Roman"/>
                <w:sz w:val="21"/>
                <w:szCs w:val="21"/>
              </w:rPr>
              <w:t>达标</w:t>
            </w:r>
          </w:p>
        </w:tc>
      </w:tr>
      <w:tr w14:paraId="52A82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1058DD8F">
            <w:pPr>
              <w:widowControl/>
              <w:spacing w:line="240" w:lineRule="auto"/>
              <w:ind w:firstLine="0" w:firstLineChars="0"/>
              <w:jc w:val="center"/>
              <w:rPr>
                <w:rFonts w:cs="Times New Roman"/>
                <w:kern w:val="0"/>
                <w:sz w:val="21"/>
                <w:szCs w:val="21"/>
              </w:rPr>
            </w:pPr>
            <w:r>
              <w:rPr>
                <w:rFonts w:cs="Times New Roman"/>
                <w:kern w:val="0"/>
                <w:sz w:val="21"/>
                <w:szCs w:val="21"/>
              </w:rPr>
              <w:t>34</w:t>
            </w:r>
          </w:p>
        </w:tc>
        <w:tc>
          <w:tcPr>
            <w:tcW w:w="721" w:type="pct"/>
            <w:tcBorders>
              <w:top w:val="single" w:color="auto" w:sz="4" w:space="0"/>
              <w:left w:val="single" w:color="auto" w:sz="4" w:space="0"/>
              <w:bottom w:val="single" w:color="auto" w:sz="4" w:space="0"/>
              <w:right w:val="single" w:color="auto" w:sz="4" w:space="0"/>
            </w:tcBorders>
            <w:vAlign w:val="center"/>
          </w:tcPr>
          <w:p w14:paraId="3C387537">
            <w:pPr>
              <w:widowControl/>
              <w:spacing w:line="240" w:lineRule="auto"/>
              <w:ind w:firstLine="0" w:firstLineChars="0"/>
              <w:jc w:val="center"/>
              <w:rPr>
                <w:rFonts w:cs="Times New Roman"/>
                <w:kern w:val="0"/>
                <w:sz w:val="21"/>
                <w:szCs w:val="21"/>
              </w:rPr>
            </w:pPr>
            <w:r>
              <w:rPr>
                <w:rFonts w:hint="eastAsia" w:cs="Times New Roman"/>
                <w:kern w:val="0"/>
                <w:sz w:val="21"/>
                <w:szCs w:val="21"/>
              </w:rPr>
              <w:t>邻二甲苯</w:t>
            </w:r>
          </w:p>
        </w:tc>
        <w:tc>
          <w:tcPr>
            <w:tcW w:w="461" w:type="pct"/>
            <w:tcBorders>
              <w:top w:val="single" w:color="auto" w:sz="4" w:space="0"/>
              <w:left w:val="single" w:color="auto" w:sz="4" w:space="0"/>
              <w:bottom w:val="single" w:color="auto" w:sz="4" w:space="0"/>
              <w:right w:val="single" w:color="auto" w:sz="4" w:space="0"/>
            </w:tcBorders>
            <w:vAlign w:val="center"/>
          </w:tcPr>
          <w:p w14:paraId="5CF596A5">
            <w:pPr>
              <w:widowControl/>
              <w:spacing w:line="240" w:lineRule="auto"/>
              <w:ind w:firstLine="0" w:firstLineChars="0"/>
              <w:jc w:val="center"/>
              <w:rPr>
                <w:rFonts w:cs="Times New Roman"/>
                <w:kern w:val="0"/>
                <w:sz w:val="21"/>
                <w:szCs w:val="21"/>
              </w:rPr>
            </w:pPr>
            <w:r>
              <w:rPr>
                <w:rFonts w:cs="Times New Roman"/>
                <w:kern w:val="0"/>
                <w:sz w:val="21"/>
                <w:szCs w:val="21"/>
              </w:rPr>
              <w:t>95-47-6</w:t>
            </w:r>
          </w:p>
        </w:tc>
        <w:tc>
          <w:tcPr>
            <w:tcW w:w="470" w:type="pct"/>
            <w:tcBorders>
              <w:left w:val="single" w:color="auto" w:sz="4" w:space="0"/>
              <w:bottom w:val="single" w:color="auto" w:sz="4" w:space="0"/>
              <w:right w:val="single" w:color="auto" w:sz="4" w:space="0"/>
            </w:tcBorders>
            <w:vAlign w:val="center"/>
          </w:tcPr>
          <w:p w14:paraId="54A125B6">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bottom w:val="single" w:color="auto" w:sz="4" w:space="0"/>
              <w:right w:val="single" w:color="auto" w:sz="4" w:space="0"/>
            </w:tcBorders>
            <w:vAlign w:val="center"/>
          </w:tcPr>
          <w:p w14:paraId="453094ED">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bottom w:val="single" w:color="auto" w:sz="4" w:space="0"/>
              <w:right w:val="single" w:color="auto" w:sz="4" w:space="0"/>
            </w:tcBorders>
            <w:vAlign w:val="center"/>
          </w:tcPr>
          <w:p w14:paraId="73CE31D2">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bottom w:val="single" w:color="auto" w:sz="4" w:space="0"/>
              <w:right w:val="single" w:color="auto" w:sz="4" w:space="0"/>
            </w:tcBorders>
            <w:vAlign w:val="center"/>
          </w:tcPr>
          <w:p w14:paraId="485A2A71">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bottom w:val="single" w:color="auto" w:sz="4" w:space="0"/>
              <w:right w:val="single" w:color="auto" w:sz="4" w:space="0"/>
            </w:tcBorders>
            <w:vAlign w:val="center"/>
          </w:tcPr>
          <w:p w14:paraId="461B1348">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bottom w:val="single" w:color="auto" w:sz="4" w:space="0"/>
              <w:right w:val="single" w:color="auto" w:sz="4" w:space="0"/>
            </w:tcBorders>
            <w:vAlign w:val="center"/>
          </w:tcPr>
          <w:p w14:paraId="17BF9005">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2B04C1A5">
            <w:pPr>
              <w:spacing w:line="240" w:lineRule="auto"/>
              <w:ind w:firstLine="0" w:firstLineChars="0"/>
              <w:jc w:val="center"/>
              <w:rPr>
                <w:rFonts w:cs="Times New Roman"/>
                <w:sz w:val="21"/>
                <w:szCs w:val="21"/>
              </w:rPr>
            </w:pPr>
            <w:r>
              <w:rPr>
                <w:rFonts w:cs="Times New Roman"/>
                <w:sz w:val="21"/>
                <w:szCs w:val="21"/>
              </w:rPr>
              <w:t>640</w:t>
            </w:r>
          </w:p>
        </w:tc>
        <w:tc>
          <w:tcPr>
            <w:tcW w:w="251" w:type="pct"/>
            <w:tcBorders>
              <w:top w:val="single" w:color="auto" w:sz="4" w:space="0"/>
              <w:left w:val="single" w:color="auto" w:sz="4" w:space="0"/>
              <w:bottom w:val="single" w:color="auto" w:sz="4" w:space="0"/>
              <w:right w:val="nil"/>
            </w:tcBorders>
            <w:vAlign w:val="center"/>
          </w:tcPr>
          <w:p w14:paraId="7085A8C3">
            <w:pPr>
              <w:spacing w:line="240" w:lineRule="auto"/>
              <w:ind w:firstLine="0" w:firstLineChars="0"/>
              <w:jc w:val="center"/>
              <w:rPr>
                <w:rFonts w:cs="Times New Roman"/>
                <w:szCs w:val="24"/>
              </w:rPr>
            </w:pPr>
            <w:r>
              <w:rPr>
                <w:rFonts w:hint="eastAsia" w:cs="Times New Roman"/>
                <w:sz w:val="21"/>
                <w:szCs w:val="21"/>
              </w:rPr>
              <w:t>达标</w:t>
            </w:r>
          </w:p>
        </w:tc>
      </w:tr>
      <w:tr w14:paraId="2EDB4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1"/>
            <w:tcBorders>
              <w:top w:val="single" w:color="auto" w:sz="4" w:space="0"/>
              <w:left w:val="nil"/>
              <w:bottom w:val="single" w:color="auto" w:sz="4" w:space="0"/>
              <w:right w:val="nil"/>
            </w:tcBorders>
            <w:vAlign w:val="center"/>
          </w:tcPr>
          <w:p w14:paraId="1819BFAF">
            <w:pPr>
              <w:widowControl/>
              <w:spacing w:line="240" w:lineRule="auto"/>
              <w:ind w:firstLine="0" w:firstLineChars="0"/>
              <w:jc w:val="center"/>
              <w:rPr>
                <w:rFonts w:cs="Times New Roman"/>
                <w:kern w:val="0"/>
                <w:sz w:val="21"/>
                <w:szCs w:val="21"/>
              </w:rPr>
            </w:pPr>
            <w:r>
              <w:rPr>
                <w:rFonts w:hint="eastAsia" w:cs="Times New Roman"/>
                <w:kern w:val="0"/>
                <w:sz w:val="21"/>
                <w:szCs w:val="21"/>
              </w:rPr>
              <w:t>半挥发性有机物（单位：</w:t>
            </w:r>
            <w:r>
              <w:rPr>
                <w:rFonts w:cs="Times New Roman"/>
                <w:kern w:val="0"/>
                <w:sz w:val="21"/>
                <w:szCs w:val="21"/>
              </w:rPr>
              <w:t>mg/kg</w:t>
            </w:r>
            <w:r>
              <w:rPr>
                <w:rFonts w:hint="eastAsia" w:cs="Times New Roman"/>
                <w:kern w:val="0"/>
                <w:sz w:val="21"/>
                <w:szCs w:val="21"/>
              </w:rPr>
              <w:t>）</w:t>
            </w:r>
          </w:p>
        </w:tc>
      </w:tr>
      <w:tr w14:paraId="18F88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2DA67F63">
            <w:pPr>
              <w:widowControl/>
              <w:spacing w:line="240" w:lineRule="auto"/>
              <w:ind w:firstLine="0" w:firstLineChars="0"/>
              <w:jc w:val="center"/>
              <w:rPr>
                <w:rFonts w:cs="Times New Roman"/>
                <w:kern w:val="0"/>
                <w:sz w:val="21"/>
                <w:szCs w:val="21"/>
              </w:rPr>
            </w:pPr>
            <w:r>
              <w:rPr>
                <w:rFonts w:cs="Times New Roman"/>
                <w:kern w:val="0"/>
                <w:sz w:val="21"/>
                <w:szCs w:val="21"/>
              </w:rPr>
              <w:t>35</w:t>
            </w:r>
          </w:p>
        </w:tc>
        <w:tc>
          <w:tcPr>
            <w:tcW w:w="721" w:type="pct"/>
            <w:tcBorders>
              <w:top w:val="single" w:color="auto" w:sz="4" w:space="0"/>
              <w:left w:val="single" w:color="auto" w:sz="4" w:space="0"/>
              <w:bottom w:val="single" w:color="auto" w:sz="4" w:space="0"/>
              <w:right w:val="single" w:color="auto" w:sz="4" w:space="0"/>
            </w:tcBorders>
            <w:vAlign w:val="center"/>
          </w:tcPr>
          <w:p w14:paraId="6771D75F">
            <w:pPr>
              <w:widowControl/>
              <w:spacing w:line="240" w:lineRule="auto"/>
              <w:ind w:firstLine="0" w:firstLineChars="0"/>
              <w:jc w:val="center"/>
              <w:rPr>
                <w:rFonts w:cs="Times New Roman"/>
                <w:kern w:val="0"/>
                <w:sz w:val="21"/>
                <w:szCs w:val="21"/>
              </w:rPr>
            </w:pPr>
            <w:r>
              <w:rPr>
                <w:rFonts w:hint="eastAsia" w:cs="Times New Roman"/>
                <w:kern w:val="0"/>
                <w:sz w:val="21"/>
                <w:szCs w:val="21"/>
              </w:rPr>
              <w:t>硝基苯</w:t>
            </w:r>
          </w:p>
        </w:tc>
        <w:tc>
          <w:tcPr>
            <w:tcW w:w="461" w:type="pct"/>
            <w:tcBorders>
              <w:top w:val="single" w:color="auto" w:sz="4" w:space="0"/>
              <w:left w:val="single" w:color="auto" w:sz="4" w:space="0"/>
              <w:bottom w:val="single" w:color="auto" w:sz="4" w:space="0"/>
              <w:right w:val="single" w:color="auto" w:sz="4" w:space="0"/>
            </w:tcBorders>
            <w:vAlign w:val="center"/>
          </w:tcPr>
          <w:p w14:paraId="1560529F">
            <w:pPr>
              <w:widowControl/>
              <w:spacing w:line="240" w:lineRule="auto"/>
              <w:ind w:firstLine="0" w:firstLineChars="0"/>
              <w:jc w:val="center"/>
              <w:rPr>
                <w:rFonts w:cs="Times New Roman"/>
                <w:kern w:val="0"/>
                <w:sz w:val="21"/>
                <w:szCs w:val="21"/>
              </w:rPr>
            </w:pPr>
            <w:r>
              <w:rPr>
                <w:rFonts w:cs="Times New Roman"/>
                <w:kern w:val="0"/>
                <w:sz w:val="21"/>
                <w:szCs w:val="21"/>
              </w:rPr>
              <w:t>98-95-3</w:t>
            </w:r>
          </w:p>
        </w:tc>
        <w:tc>
          <w:tcPr>
            <w:tcW w:w="470" w:type="pct"/>
            <w:tcBorders>
              <w:top w:val="single" w:color="auto" w:sz="4" w:space="0"/>
              <w:left w:val="single" w:color="auto" w:sz="4" w:space="0"/>
              <w:right w:val="single" w:color="auto" w:sz="4" w:space="0"/>
            </w:tcBorders>
            <w:vAlign w:val="center"/>
          </w:tcPr>
          <w:p w14:paraId="2B4E61F3">
            <w:pPr>
              <w:spacing w:line="240" w:lineRule="auto"/>
              <w:ind w:firstLine="0" w:firstLineChars="0"/>
              <w:jc w:val="center"/>
              <w:rPr>
                <w:rFonts w:cs="Times New Roman"/>
                <w:szCs w:val="24"/>
              </w:rPr>
            </w:pPr>
            <w:r>
              <w:rPr>
                <w:rFonts w:hint="eastAsia" w:cs="Times New Roman"/>
                <w:sz w:val="21"/>
                <w:szCs w:val="21"/>
              </w:rPr>
              <w:t>ND</w:t>
            </w:r>
          </w:p>
        </w:tc>
        <w:tc>
          <w:tcPr>
            <w:tcW w:w="470" w:type="pct"/>
            <w:tcBorders>
              <w:top w:val="single" w:color="auto" w:sz="4" w:space="0"/>
              <w:left w:val="single" w:color="auto" w:sz="4" w:space="0"/>
              <w:right w:val="single" w:color="auto" w:sz="4" w:space="0"/>
            </w:tcBorders>
            <w:vAlign w:val="center"/>
          </w:tcPr>
          <w:p w14:paraId="791065FD">
            <w:pPr>
              <w:spacing w:line="240" w:lineRule="auto"/>
              <w:ind w:firstLine="0" w:firstLineChars="0"/>
              <w:jc w:val="center"/>
              <w:rPr>
                <w:rFonts w:cs="Times New Roman"/>
                <w:szCs w:val="24"/>
              </w:rPr>
            </w:pPr>
            <w:r>
              <w:rPr>
                <w:rFonts w:hint="eastAsia" w:cs="Times New Roman"/>
                <w:sz w:val="21"/>
                <w:szCs w:val="21"/>
              </w:rPr>
              <w:t>ND</w:t>
            </w:r>
          </w:p>
        </w:tc>
        <w:tc>
          <w:tcPr>
            <w:tcW w:w="470" w:type="pct"/>
            <w:tcBorders>
              <w:top w:val="single" w:color="auto" w:sz="4" w:space="0"/>
              <w:left w:val="single" w:color="auto" w:sz="4" w:space="0"/>
              <w:right w:val="single" w:color="auto" w:sz="4" w:space="0"/>
            </w:tcBorders>
            <w:vAlign w:val="center"/>
          </w:tcPr>
          <w:p w14:paraId="05259C64">
            <w:pPr>
              <w:spacing w:line="240" w:lineRule="auto"/>
              <w:ind w:firstLine="0" w:firstLineChars="0"/>
              <w:jc w:val="center"/>
              <w:rPr>
                <w:rFonts w:cs="Times New Roman"/>
                <w:szCs w:val="24"/>
              </w:rPr>
            </w:pPr>
            <w:r>
              <w:rPr>
                <w:rFonts w:hint="eastAsia" w:cs="Times New Roman"/>
                <w:sz w:val="21"/>
                <w:szCs w:val="21"/>
              </w:rPr>
              <w:t>ND</w:t>
            </w:r>
          </w:p>
        </w:tc>
        <w:tc>
          <w:tcPr>
            <w:tcW w:w="470" w:type="pct"/>
            <w:tcBorders>
              <w:top w:val="single" w:color="auto" w:sz="4" w:space="0"/>
              <w:left w:val="single" w:color="auto" w:sz="4" w:space="0"/>
              <w:right w:val="single" w:color="auto" w:sz="4" w:space="0"/>
            </w:tcBorders>
            <w:vAlign w:val="center"/>
          </w:tcPr>
          <w:p w14:paraId="0EED5703">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top w:val="single" w:color="auto" w:sz="4" w:space="0"/>
              <w:left w:val="single" w:color="auto" w:sz="4" w:space="0"/>
              <w:right w:val="single" w:color="auto" w:sz="4" w:space="0"/>
            </w:tcBorders>
            <w:vAlign w:val="center"/>
          </w:tcPr>
          <w:p w14:paraId="422FC7C9">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top w:val="single" w:color="auto" w:sz="4" w:space="0"/>
              <w:left w:val="single" w:color="auto" w:sz="4" w:space="0"/>
              <w:right w:val="single" w:color="auto" w:sz="4" w:space="0"/>
            </w:tcBorders>
            <w:vAlign w:val="center"/>
          </w:tcPr>
          <w:p w14:paraId="3E103E9D">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103EE9A6">
            <w:pPr>
              <w:spacing w:line="240" w:lineRule="auto"/>
              <w:ind w:firstLine="0" w:firstLineChars="0"/>
              <w:jc w:val="center"/>
              <w:rPr>
                <w:rFonts w:cs="Times New Roman"/>
                <w:sz w:val="21"/>
                <w:szCs w:val="21"/>
              </w:rPr>
            </w:pPr>
            <w:r>
              <w:rPr>
                <w:rFonts w:cs="Times New Roman"/>
                <w:sz w:val="21"/>
                <w:szCs w:val="21"/>
              </w:rPr>
              <w:t>76</w:t>
            </w:r>
          </w:p>
        </w:tc>
        <w:tc>
          <w:tcPr>
            <w:tcW w:w="251" w:type="pct"/>
            <w:tcBorders>
              <w:top w:val="single" w:color="auto" w:sz="4" w:space="0"/>
              <w:left w:val="single" w:color="auto" w:sz="4" w:space="0"/>
              <w:bottom w:val="single" w:color="auto" w:sz="4" w:space="0"/>
              <w:right w:val="nil"/>
            </w:tcBorders>
            <w:vAlign w:val="center"/>
          </w:tcPr>
          <w:p w14:paraId="58964C43">
            <w:pPr>
              <w:spacing w:line="240" w:lineRule="auto"/>
              <w:ind w:firstLine="0" w:firstLineChars="0"/>
              <w:jc w:val="center"/>
              <w:rPr>
                <w:rFonts w:cs="Times New Roman"/>
                <w:szCs w:val="24"/>
              </w:rPr>
            </w:pPr>
            <w:r>
              <w:rPr>
                <w:rFonts w:hint="eastAsia" w:cs="Times New Roman"/>
                <w:sz w:val="21"/>
                <w:szCs w:val="21"/>
              </w:rPr>
              <w:t>达标</w:t>
            </w:r>
          </w:p>
        </w:tc>
      </w:tr>
      <w:tr w14:paraId="05C07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106E557B">
            <w:pPr>
              <w:widowControl/>
              <w:spacing w:line="240" w:lineRule="auto"/>
              <w:ind w:firstLine="0" w:firstLineChars="0"/>
              <w:jc w:val="center"/>
              <w:rPr>
                <w:rFonts w:cs="Times New Roman"/>
                <w:kern w:val="0"/>
                <w:sz w:val="21"/>
                <w:szCs w:val="21"/>
              </w:rPr>
            </w:pPr>
            <w:r>
              <w:rPr>
                <w:rFonts w:cs="Times New Roman"/>
                <w:kern w:val="0"/>
                <w:sz w:val="21"/>
                <w:szCs w:val="21"/>
              </w:rPr>
              <w:t>36</w:t>
            </w:r>
          </w:p>
        </w:tc>
        <w:tc>
          <w:tcPr>
            <w:tcW w:w="721" w:type="pct"/>
            <w:tcBorders>
              <w:top w:val="single" w:color="auto" w:sz="4" w:space="0"/>
              <w:left w:val="single" w:color="auto" w:sz="4" w:space="0"/>
              <w:bottom w:val="single" w:color="auto" w:sz="4" w:space="0"/>
              <w:right w:val="single" w:color="auto" w:sz="4" w:space="0"/>
            </w:tcBorders>
            <w:vAlign w:val="center"/>
          </w:tcPr>
          <w:p w14:paraId="73D20C39">
            <w:pPr>
              <w:widowControl/>
              <w:spacing w:line="240" w:lineRule="auto"/>
              <w:ind w:firstLine="0" w:firstLineChars="0"/>
              <w:jc w:val="center"/>
              <w:rPr>
                <w:rFonts w:cs="Times New Roman"/>
                <w:kern w:val="0"/>
                <w:sz w:val="21"/>
                <w:szCs w:val="21"/>
              </w:rPr>
            </w:pPr>
            <w:r>
              <w:rPr>
                <w:rFonts w:hint="eastAsia" w:cs="Times New Roman"/>
                <w:kern w:val="0"/>
                <w:sz w:val="21"/>
                <w:szCs w:val="21"/>
              </w:rPr>
              <w:t>苯胺</w:t>
            </w:r>
          </w:p>
        </w:tc>
        <w:tc>
          <w:tcPr>
            <w:tcW w:w="461" w:type="pct"/>
            <w:tcBorders>
              <w:top w:val="single" w:color="auto" w:sz="4" w:space="0"/>
              <w:left w:val="single" w:color="auto" w:sz="4" w:space="0"/>
              <w:bottom w:val="single" w:color="auto" w:sz="4" w:space="0"/>
              <w:right w:val="single" w:color="auto" w:sz="4" w:space="0"/>
            </w:tcBorders>
            <w:vAlign w:val="center"/>
          </w:tcPr>
          <w:p w14:paraId="5C2BDDEB">
            <w:pPr>
              <w:widowControl/>
              <w:spacing w:line="240" w:lineRule="auto"/>
              <w:ind w:firstLine="0" w:firstLineChars="0"/>
              <w:jc w:val="center"/>
              <w:rPr>
                <w:rFonts w:cs="Times New Roman"/>
                <w:kern w:val="0"/>
                <w:sz w:val="21"/>
                <w:szCs w:val="21"/>
              </w:rPr>
            </w:pPr>
            <w:r>
              <w:rPr>
                <w:rFonts w:cs="Times New Roman"/>
                <w:kern w:val="0"/>
                <w:sz w:val="21"/>
                <w:szCs w:val="21"/>
              </w:rPr>
              <w:t>62-53-3</w:t>
            </w:r>
          </w:p>
        </w:tc>
        <w:tc>
          <w:tcPr>
            <w:tcW w:w="470" w:type="pct"/>
            <w:tcBorders>
              <w:left w:val="single" w:color="auto" w:sz="4" w:space="0"/>
              <w:right w:val="single" w:color="auto" w:sz="4" w:space="0"/>
            </w:tcBorders>
            <w:vAlign w:val="center"/>
          </w:tcPr>
          <w:p w14:paraId="19ED59EA">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19F1BCE">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0FFA97B6">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1B9AEDD9">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21A3514F">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11731560">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0707B6E8">
            <w:pPr>
              <w:spacing w:line="240" w:lineRule="auto"/>
              <w:ind w:firstLine="0" w:firstLineChars="0"/>
              <w:jc w:val="center"/>
              <w:rPr>
                <w:rFonts w:cs="Times New Roman"/>
                <w:sz w:val="21"/>
                <w:szCs w:val="21"/>
              </w:rPr>
            </w:pPr>
            <w:r>
              <w:rPr>
                <w:rFonts w:cs="Times New Roman"/>
                <w:sz w:val="21"/>
                <w:szCs w:val="21"/>
              </w:rPr>
              <w:t>260</w:t>
            </w:r>
          </w:p>
        </w:tc>
        <w:tc>
          <w:tcPr>
            <w:tcW w:w="251" w:type="pct"/>
            <w:tcBorders>
              <w:top w:val="single" w:color="auto" w:sz="4" w:space="0"/>
              <w:left w:val="single" w:color="auto" w:sz="4" w:space="0"/>
              <w:bottom w:val="single" w:color="auto" w:sz="4" w:space="0"/>
              <w:right w:val="nil"/>
            </w:tcBorders>
            <w:vAlign w:val="center"/>
          </w:tcPr>
          <w:p w14:paraId="4E008A24">
            <w:pPr>
              <w:spacing w:line="240" w:lineRule="auto"/>
              <w:ind w:firstLine="0" w:firstLineChars="0"/>
              <w:jc w:val="center"/>
              <w:rPr>
                <w:rFonts w:cs="Times New Roman"/>
                <w:szCs w:val="24"/>
              </w:rPr>
            </w:pPr>
            <w:r>
              <w:rPr>
                <w:rFonts w:hint="eastAsia" w:cs="Times New Roman"/>
                <w:sz w:val="21"/>
                <w:szCs w:val="21"/>
              </w:rPr>
              <w:t>达标</w:t>
            </w:r>
          </w:p>
        </w:tc>
      </w:tr>
      <w:tr w14:paraId="098EF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43F63F24">
            <w:pPr>
              <w:widowControl/>
              <w:spacing w:line="240" w:lineRule="auto"/>
              <w:ind w:firstLine="0" w:firstLineChars="0"/>
              <w:jc w:val="center"/>
              <w:rPr>
                <w:rFonts w:cs="Times New Roman"/>
                <w:kern w:val="0"/>
                <w:sz w:val="21"/>
                <w:szCs w:val="21"/>
              </w:rPr>
            </w:pPr>
            <w:r>
              <w:rPr>
                <w:rFonts w:cs="Times New Roman"/>
                <w:kern w:val="0"/>
                <w:sz w:val="21"/>
                <w:szCs w:val="21"/>
              </w:rPr>
              <w:t>37</w:t>
            </w:r>
          </w:p>
        </w:tc>
        <w:tc>
          <w:tcPr>
            <w:tcW w:w="721" w:type="pct"/>
            <w:tcBorders>
              <w:top w:val="single" w:color="auto" w:sz="4" w:space="0"/>
              <w:left w:val="single" w:color="auto" w:sz="4" w:space="0"/>
              <w:bottom w:val="single" w:color="auto" w:sz="4" w:space="0"/>
              <w:right w:val="single" w:color="auto" w:sz="4" w:space="0"/>
            </w:tcBorders>
            <w:vAlign w:val="center"/>
          </w:tcPr>
          <w:p w14:paraId="58E128F6">
            <w:pPr>
              <w:widowControl/>
              <w:spacing w:line="240" w:lineRule="auto"/>
              <w:ind w:firstLine="0" w:firstLineChars="0"/>
              <w:jc w:val="center"/>
              <w:rPr>
                <w:rFonts w:cs="Times New Roman"/>
                <w:kern w:val="0"/>
                <w:sz w:val="21"/>
                <w:szCs w:val="21"/>
              </w:rPr>
            </w:pPr>
            <w:r>
              <w:rPr>
                <w:rFonts w:cs="Times New Roman"/>
                <w:kern w:val="0"/>
                <w:sz w:val="21"/>
                <w:szCs w:val="21"/>
              </w:rPr>
              <w:t>2-</w:t>
            </w:r>
            <w:r>
              <w:rPr>
                <w:rFonts w:hint="eastAsia" w:cs="Times New Roman"/>
                <w:kern w:val="0"/>
                <w:sz w:val="21"/>
                <w:szCs w:val="21"/>
              </w:rPr>
              <w:t>氯酚</w:t>
            </w:r>
          </w:p>
        </w:tc>
        <w:tc>
          <w:tcPr>
            <w:tcW w:w="461" w:type="pct"/>
            <w:tcBorders>
              <w:top w:val="single" w:color="auto" w:sz="4" w:space="0"/>
              <w:left w:val="single" w:color="auto" w:sz="4" w:space="0"/>
              <w:bottom w:val="single" w:color="auto" w:sz="4" w:space="0"/>
              <w:right w:val="single" w:color="auto" w:sz="4" w:space="0"/>
            </w:tcBorders>
            <w:vAlign w:val="center"/>
          </w:tcPr>
          <w:p w14:paraId="50ED39E3">
            <w:pPr>
              <w:widowControl/>
              <w:spacing w:line="240" w:lineRule="auto"/>
              <w:ind w:firstLine="0" w:firstLineChars="0"/>
              <w:jc w:val="center"/>
              <w:rPr>
                <w:rFonts w:cs="Times New Roman"/>
                <w:kern w:val="0"/>
                <w:sz w:val="21"/>
                <w:szCs w:val="21"/>
              </w:rPr>
            </w:pPr>
            <w:r>
              <w:rPr>
                <w:rFonts w:cs="Times New Roman"/>
                <w:kern w:val="0"/>
                <w:sz w:val="21"/>
                <w:szCs w:val="21"/>
              </w:rPr>
              <w:t>95-57-8</w:t>
            </w:r>
          </w:p>
        </w:tc>
        <w:tc>
          <w:tcPr>
            <w:tcW w:w="470" w:type="pct"/>
            <w:tcBorders>
              <w:left w:val="single" w:color="auto" w:sz="4" w:space="0"/>
              <w:right w:val="single" w:color="auto" w:sz="4" w:space="0"/>
            </w:tcBorders>
            <w:vAlign w:val="center"/>
          </w:tcPr>
          <w:p w14:paraId="37D28F1C">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23C8F041">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EB5A13D">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8F780C5">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5A13D6B6">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4620F974">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7A0EC236">
            <w:pPr>
              <w:spacing w:line="240" w:lineRule="auto"/>
              <w:ind w:firstLine="0" w:firstLineChars="0"/>
              <w:jc w:val="center"/>
              <w:rPr>
                <w:rFonts w:cs="Times New Roman"/>
                <w:sz w:val="21"/>
                <w:szCs w:val="21"/>
              </w:rPr>
            </w:pPr>
            <w:r>
              <w:rPr>
                <w:rFonts w:cs="Times New Roman"/>
                <w:sz w:val="21"/>
                <w:szCs w:val="21"/>
              </w:rPr>
              <w:t>2256</w:t>
            </w:r>
          </w:p>
        </w:tc>
        <w:tc>
          <w:tcPr>
            <w:tcW w:w="251" w:type="pct"/>
            <w:tcBorders>
              <w:top w:val="single" w:color="auto" w:sz="4" w:space="0"/>
              <w:left w:val="single" w:color="auto" w:sz="4" w:space="0"/>
              <w:bottom w:val="single" w:color="auto" w:sz="4" w:space="0"/>
              <w:right w:val="nil"/>
            </w:tcBorders>
            <w:vAlign w:val="center"/>
          </w:tcPr>
          <w:p w14:paraId="233D811D">
            <w:pPr>
              <w:spacing w:line="240" w:lineRule="auto"/>
              <w:ind w:firstLine="0" w:firstLineChars="0"/>
              <w:jc w:val="center"/>
              <w:rPr>
                <w:rFonts w:cs="Times New Roman"/>
                <w:szCs w:val="24"/>
              </w:rPr>
            </w:pPr>
            <w:r>
              <w:rPr>
                <w:rFonts w:hint="eastAsia" w:cs="Times New Roman"/>
                <w:sz w:val="21"/>
                <w:szCs w:val="21"/>
              </w:rPr>
              <w:t>达标</w:t>
            </w:r>
          </w:p>
        </w:tc>
      </w:tr>
      <w:tr w14:paraId="7D300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4C2BD723">
            <w:pPr>
              <w:widowControl/>
              <w:spacing w:line="240" w:lineRule="auto"/>
              <w:ind w:firstLine="0" w:firstLineChars="0"/>
              <w:jc w:val="center"/>
              <w:rPr>
                <w:rFonts w:cs="Times New Roman"/>
                <w:kern w:val="0"/>
                <w:sz w:val="21"/>
                <w:szCs w:val="21"/>
              </w:rPr>
            </w:pPr>
            <w:r>
              <w:rPr>
                <w:rFonts w:cs="Times New Roman"/>
                <w:kern w:val="0"/>
                <w:sz w:val="21"/>
                <w:szCs w:val="21"/>
              </w:rPr>
              <w:t>38</w:t>
            </w:r>
          </w:p>
        </w:tc>
        <w:tc>
          <w:tcPr>
            <w:tcW w:w="721" w:type="pct"/>
            <w:tcBorders>
              <w:top w:val="single" w:color="auto" w:sz="4" w:space="0"/>
              <w:left w:val="single" w:color="auto" w:sz="4" w:space="0"/>
              <w:bottom w:val="single" w:color="auto" w:sz="4" w:space="0"/>
              <w:right w:val="single" w:color="auto" w:sz="4" w:space="0"/>
            </w:tcBorders>
            <w:vAlign w:val="center"/>
          </w:tcPr>
          <w:p w14:paraId="48E9477C">
            <w:pPr>
              <w:widowControl/>
              <w:spacing w:line="240" w:lineRule="auto"/>
              <w:ind w:firstLine="0" w:firstLineChars="0"/>
              <w:jc w:val="center"/>
              <w:rPr>
                <w:rFonts w:cs="Times New Roman"/>
                <w:kern w:val="0"/>
                <w:sz w:val="21"/>
                <w:szCs w:val="21"/>
              </w:rPr>
            </w:pPr>
            <w:r>
              <w:rPr>
                <w:rFonts w:hint="eastAsia" w:cs="Times New Roman"/>
                <w:kern w:val="0"/>
                <w:sz w:val="21"/>
                <w:szCs w:val="21"/>
              </w:rPr>
              <w:t>苯并</w:t>
            </w:r>
            <w:r>
              <w:rPr>
                <w:rFonts w:cs="Times New Roman"/>
                <w:kern w:val="0"/>
                <w:sz w:val="21"/>
                <w:szCs w:val="21"/>
              </w:rPr>
              <w:t>[a]</w:t>
            </w:r>
            <w:r>
              <w:rPr>
                <w:rFonts w:hint="eastAsia" w:cs="Times New Roman"/>
                <w:kern w:val="0"/>
                <w:sz w:val="21"/>
                <w:szCs w:val="21"/>
              </w:rPr>
              <w:t>蒽</w:t>
            </w:r>
          </w:p>
        </w:tc>
        <w:tc>
          <w:tcPr>
            <w:tcW w:w="461" w:type="pct"/>
            <w:tcBorders>
              <w:top w:val="single" w:color="auto" w:sz="4" w:space="0"/>
              <w:left w:val="single" w:color="auto" w:sz="4" w:space="0"/>
              <w:bottom w:val="single" w:color="auto" w:sz="4" w:space="0"/>
              <w:right w:val="single" w:color="auto" w:sz="4" w:space="0"/>
            </w:tcBorders>
            <w:vAlign w:val="center"/>
          </w:tcPr>
          <w:p w14:paraId="38683DDC">
            <w:pPr>
              <w:widowControl/>
              <w:spacing w:line="240" w:lineRule="auto"/>
              <w:ind w:firstLine="0" w:firstLineChars="0"/>
              <w:jc w:val="center"/>
              <w:rPr>
                <w:rFonts w:cs="Times New Roman"/>
                <w:kern w:val="0"/>
                <w:sz w:val="21"/>
                <w:szCs w:val="21"/>
              </w:rPr>
            </w:pPr>
            <w:r>
              <w:rPr>
                <w:rFonts w:cs="Times New Roman"/>
                <w:kern w:val="0"/>
                <w:sz w:val="21"/>
                <w:szCs w:val="21"/>
              </w:rPr>
              <w:t>56-55-3</w:t>
            </w:r>
          </w:p>
        </w:tc>
        <w:tc>
          <w:tcPr>
            <w:tcW w:w="470" w:type="pct"/>
            <w:tcBorders>
              <w:left w:val="single" w:color="auto" w:sz="4" w:space="0"/>
              <w:right w:val="single" w:color="auto" w:sz="4" w:space="0"/>
            </w:tcBorders>
            <w:vAlign w:val="center"/>
          </w:tcPr>
          <w:p w14:paraId="1219E449">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06578350">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6554FC7">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71E27C93">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18D21A33">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4F43E7AD">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7B1BA6D2">
            <w:pPr>
              <w:spacing w:line="240" w:lineRule="auto"/>
              <w:ind w:firstLine="0" w:firstLineChars="0"/>
              <w:jc w:val="center"/>
              <w:rPr>
                <w:rFonts w:cs="Times New Roman"/>
                <w:sz w:val="21"/>
                <w:szCs w:val="21"/>
              </w:rPr>
            </w:pPr>
            <w:r>
              <w:rPr>
                <w:rFonts w:cs="Times New Roman"/>
                <w:sz w:val="21"/>
                <w:szCs w:val="21"/>
              </w:rPr>
              <w:t>15</w:t>
            </w:r>
          </w:p>
        </w:tc>
        <w:tc>
          <w:tcPr>
            <w:tcW w:w="251" w:type="pct"/>
            <w:tcBorders>
              <w:top w:val="single" w:color="auto" w:sz="4" w:space="0"/>
              <w:left w:val="single" w:color="auto" w:sz="4" w:space="0"/>
              <w:bottom w:val="single" w:color="auto" w:sz="4" w:space="0"/>
              <w:right w:val="nil"/>
            </w:tcBorders>
            <w:vAlign w:val="center"/>
          </w:tcPr>
          <w:p w14:paraId="6EDBB15C">
            <w:pPr>
              <w:spacing w:line="240" w:lineRule="auto"/>
              <w:ind w:firstLine="0" w:firstLineChars="0"/>
              <w:jc w:val="center"/>
              <w:rPr>
                <w:rFonts w:cs="Times New Roman"/>
                <w:szCs w:val="24"/>
              </w:rPr>
            </w:pPr>
            <w:r>
              <w:rPr>
                <w:rFonts w:hint="eastAsia" w:cs="Times New Roman"/>
                <w:sz w:val="21"/>
                <w:szCs w:val="21"/>
              </w:rPr>
              <w:t>达标</w:t>
            </w:r>
          </w:p>
        </w:tc>
      </w:tr>
      <w:tr w14:paraId="54425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3662A695">
            <w:pPr>
              <w:widowControl/>
              <w:spacing w:line="240" w:lineRule="auto"/>
              <w:ind w:firstLine="0" w:firstLineChars="0"/>
              <w:jc w:val="center"/>
              <w:rPr>
                <w:rFonts w:cs="Times New Roman"/>
                <w:kern w:val="0"/>
                <w:sz w:val="21"/>
                <w:szCs w:val="21"/>
              </w:rPr>
            </w:pPr>
            <w:r>
              <w:rPr>
                <w:rFonts w:cs="Times New Roman"/>
                <w:kern w:val="0"/>
                <w:sz w:val="21"/>
                <w:szCs w:val="21"/>
              </w:rPr>
              <w:t>39</w:t>
            </w:r>
          </w:p>
        </w:tc>
        <w:tc>
          <w:tcPr>
            <w:tcW w:w="721" w:type="pct"/>
            <w:tcBorders>
              <w:top w:val="single" w:color="auto" w:sz="4" w:space="0"/>
              <w:left w:val="single" w:color="auto" w:sz="4" w:space="0"/>
              <w:bottom w:val="single" w:color="auto" w:sz="4" w:space="0"/>
              <w:right w:val="single" w:color="auto" w:sz="4" w:space="0"/>
            </w:tcBorders>
            <w:vAlign w:val="center"/>
          </w:tcPr>
          <w:p w14:paraId="019D7CB9">
            <w:pPr>
              <w:widowControl/>
              <w:spacing w:line="240" w:lineRule="auto"/>
              <w:ind w:firstLine="0" w:firstLineChars="0"/>
              <w:jc w:val="center"/>
              <w:rPr>
                <w:rFonts w:cs="Times New Roman"/>
                <w:kern w:val="0"/>
                <w:sz w:val="21"/>
                <w:szCs w:val="21"/>
              </w:rPr>
            </w:pPr>
            <w:r>
              <w:rPr>
                <w:rFonts w:hint="eastAsia" w:cs="Times New Roman"/>
                <w:kern w:val="0"/>
                <w:sz w:val="21"/>
                <w:szCs w:val="21"/>
              </w:rPr>
              <w:t>苯并</w:t>
            </w:r>
            <w:r>
              <w:rPr>
                <w:rFonts w:cs="Times New Roman"/>
                <w:kern w:val="0"/>
                <w:sz w:val="21"/>
                <w:szCs w:val="21"/>
              </w:rPr>
              <w:t>[a]</w:t>
            </w:r>
            <w:r>
              <w:rPr>
                <w:rFonts w:hint="eastAsia" w:cs="Times New Roman"/>
                <w:kern w:val="0"/>
                <w:sz w:val="21"/>
                <w:szCs w:val="21"/>
              </w:rPr>
              <w:t>芘</w:t>
            </w:r>
          </w:p>
        </w:tc>
        <w:tc>
          <w:tcPr>
            <w:tcW w:w="461" w:type="pct"/>
            <w:tcBorders>
              <w:top w:val="single" w:color="auto" w:sz="4" w:space="0"/>
              <w:left w:val="single" w:color="auto" w:sz="4" w:space="0"/>
              <w:bottom w:val="single" w:color="auto" w:sz="4" w:space="0"/>
              <w:right w:val="single" w:color="auto" w:sz="4" w:space="0"/>
            </w:tcBorders>
            <w:vAlign w:val="center"/>
          </w:tcPr>
          <w:p w14:paraId="11C6697A">
            <w:pPr>
              <w:widowControl/>
              <w:spacing w:line="240" w:lineRule="auto"/>
              <w:ind w:firstLine="0" w:firstLineChars="0"/>
              <w:jc w:val="center"/>
              <w:rPr>
                <w:rFonts w:cs="Times New Roman"/>
                <w:kern w:val="0"/>
                <w:sz w:val="21"/>
                <w:szCs w:val="21"/>
              </w:rPr>
            </w:pPr>
            <w:r>
              <w:rPr>
                <w:rFonts w:cs="Times New Roman"/>
                <w:kern w:val="0"/>
                <w:sz w:val="21"/>
                <w:szCs w:val="21"/>
              </w:rPr>
              <w:t>50-32-8</w:t>
            </w:r>
          </w:p>
        </w:tc>
        <w:tc>
          <w:tcPr>
            <w:tcW w:w="470" w:type="pct"/>
            <w:tcBorders>
              <w:left w:val="single" w:color="auto" w:sz="4" w:space="0"/>
              <w:right w:val="single" w:color="auto" w:sz="4" w:space="0"/>
            </w:tcBorders>
            <w:vAlign w:val="center"/>
          </w:tcPr>
          <w:p w14:paraId="03C91D81">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557D94F9">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DC8F201">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30F8F4E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59D8AC11">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684DFA11">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127F3B9D">
            <w:pPr>
              <w:spacing w:line="240" w:lineRule="auto"/>
              <w:ind w:firstLine="0" w:firstLineChars="0"/>
              <w:jc w:val="center"/>
              <w:rPr>
                <w:rFonts w:cs="Times New Roman"/>
                <w:sz w:val="21"/>
                <w:szCs w:val="21"/>
              </w:rPr>
            </w:pPr>
            <w:r>
              <w:rPr>
                <w:rFonts w:cs="Times New Roman"/>
                <w:sz w:val="21"/>
                <w:szCs w:val="21"/>
              </w:rPr>
              <w:t>1.5</w:t>
            </w:r>
          </w:p>
        </w:tc>
        <w:tc>
          <w:tcPr>
            <w:tcW w:w="251" w:type="pct"/>
            <w:tcBorders>
              <w:top w:val="single" w:color="auto" w:sz="4" w:space="0"/>
              <w:left w:val="single" w:color="auto" w:sz="4" w:space="0"/>
              <w:bottom w:val="single" w:color="auto" w:sz="4" w:space="0"/>
              <w:right w:val="nil"/>
            </w:tcBorders>
            <w:vAlign w:val="center"/>
          </w:tcPr>
          <w:p w14:paraId="361EBCEB">
            <w:pPr>
              <w:spacing w:line="240" w:lineRule="auto"/>
              <w:ind w:firstLine="0" w:firstLineChars="0"/>
              <w:jc w:val="center"/>
              <w:rPr>
                <w:rFonts w:cs="Times New Roman"/>
                <w:szCs w:val="24"/>
              </w:rPr>
            </w:pPr>
            <w:r>
              <w:rPr>
                <w:rFonts w:hint="eastAsia" w:cs="Times New Roman"/>
                <w:sz w:val="21"/>
                <w:szCs w:val="21"/>
              </w:rPr>
              <w:t>达标</w:t>
            </w:r>
          </w:p>
        </w:tc>
      </w:tr>
      <w:tr w14:paraId="716D1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10077D6A">
            <w:pPr>
              <w:widowControl/>
              <w:spacing w:line="240" w:lineRule="auto"/>
              <w:ind w:firstLine="0" w:firstLineChars="0"/>
              <w:jc w:val="center"/>
              <w:rPr>
                <w:rFonts w:cs="Times New Roman"/>
                <w:kern w:val="0"/>
                <w:sz w:val="21"/>
                <w:szCs w:val="21"/>
              </w:rPr>
            </w:pPr>
            <w:r>
              <w:rPr>
                <w:rFonts w:cs="Times New Roman"/>
                <w:kern w:val="0"/>
                <w:sz w:val="21"/>
                <w:szCs w:val="21"/>
              </w:rPr>
              <w:t>40</w:t>
            </w:r>
          </w:p>
        </w:tc>
        <w:tc>
          <w:tcPr>
            <w:tcW w:w="721" w:type="pct"/>
            <w:tcBorders>
              <w:top w:val="single" w:color="auto" w:sz="4" w:space="0"/>
              <w:left w:val="single" w:color="auto" w:sz="4" w:space="0"/>
              <w:bottom w:val="single" w:color="auto" w:sz="4" w:space="0"/>
              <w:right w:val="single" w:color="auto" w:sz="4" w:space="0"/>
            </w:tcBorders>
            <w:vAlign w:val="center"/>
          </w:tcPr>
          <w:p w14:paraId="0A6307AE">
            <w:pPr>
              <w:widowControl/>
              <w:spacing w:line="240" w:lineRule="auto"/>
              <w:ind w:firstLine="0" w:firstLineChars="0"/>
              <w:jc w:val="center"/>
              <w:rPr>
                <w:rFonts w:cs="Times New Roman"/>
                <w:kern w:val="0"/>
                <w:sz w:val="21"/>
                <w:szCs w:val="21"/>
              </w:rPr>
            </w:pPr>
            <w:r>
              <w:rPr>
                <w:rFonts w:hint="eastAsia" w:cs="Times New Roman"/>
                <w:kern w:val="0"/>
                <w:sz w:val="21"/>
                <w:szCs w:val="21"/>
              </w:rPr>
              <w:t>苯并</w:t>
            </w:r>
            <w:r>
              <w:rPr>
                <w:rFonts w:cs="Times New Roman"/>
                <w:kern w:val="0"/>
                <w:sz w:val="21"/>
                <w:szCs w:val="21"/>
              </w:rPr>
              <w:t>[b]</w:t>
            </w:r>
            <w:r>
              <w:rPr>
                <w:rFonts w:hint="eastAsia" w:cs="Times New Roman"/>
                <w:kern w:val="0"/>
                <w:sz w:val="21"/>
                <w:szCs w:val="21"/>
              </w:rPr>
              <w:t>荧蒽</w:t>
            </w:r>
          </w:p>
        </w:tc>
        <w:tc>
          <w:tcPr>
            <w:tcW w:w="461" w:type="pct"/>
            <w:tcBorders>
              <w:top w:val="single" w:color="auto" w:sz="4" w:space="0"/>
              <w:left w:val="single" w:color="auto" w:sz="4" w:space="0"/>
              <w:bottom w:val="single" w:color="auto" w:sz="4" w:space="0"/>
              <w:right w:val="single" w:color="auto" w:sz="4" w:space="0"/>
            </w:tcBorders>
            <w:vAlign w:val="center"/>
          </w:tcPr>
          <w:p w14:paraId="142A4C38">
            <w:pPr>
              <w:widowControl/>
              <w:spacing w:line="240" w:lineRule="auto"/>
              <w:ind w:firstLine="0" w:firstLineChars="0"/>
              <w:jc w:val="center"/>
              <w:rPr>
                <w:rFonts w:cs="Times New Roman"/>
                <w:kern w:val="0"/>
                <w:sz w:val="21"/>
                <w:szCs w:val="21"/>
              </w:rPr>
            </w:pPr>
            <w:r>
              <w:rPr>
                <w:rFonts w:cs="Times New Roman"/>
                <w:kern w:val="0"/>
                <w:sz w:val="21"/>
                <w:szCs w:val="21"/>
              </w:rPr>
              <w:t>205-99-2</w:t>
            </w:r>
          </w:p>
        </w:tc>
        <w:tc>
          <w:tcPr>
            <w:tcW w:w="470" w:type="pct"/>
            <w:tcBorders>
              <w:left w:val="single" w:color="auto" w:sz="4" w:space="0"/>
              <w:right w:val="single" w:color="auto" w:sz="4" w:space="0"/>
            </w:tcBorders>
            <w:vAlign w:val="center"/>
          </w:tcPr>
          <w:p w14:paraId="35BAC80D">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59996E0B">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E1F753C">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47E16573">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2CFDC0EC">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1DDEF6E7">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0DB2B53E">
            <w:pPr>
              <w:spacing w:line="240" w:lineRule="auto"/>
              <w:ind w:firstLine="0" w:firstLineChars="0"/>
              <w:jc w:val="center"/>
              <w:rPr>
                <w:rFonts w:cs="Times New Roman"/>
                <w:sz w:val="21"/>
                <w:szCs w:val="21"/>
              </w:rPr>
            </w:pPr>
            <w:r>
              <w:rPr>
                <w:rFonts w:cs="Times New Roman"/>
                <w:sz w:val="21"/>
                <w:szCs w:val="21"/>
              </w:rPr>
              <w:t>15</w:t>
            </w:r>
          </w:p>
        </w:tc>
        <w:tc>
          <w:tcPr>
            <w:tcW w:w="251" w:type="pct"/>
            <w:tcBorders>
              <w:top w:val="single" w:color="auto" w:sz="4" w:space="0"/>
              <w:left w:val="single" w:color="auto" w:sz="4" w:space="0"/>
              <w:bottom w:val="single" w:color="auto" w:sz="4" w:space="0"/>
              <w:right w:val="nil"/>
            </w:tcBorders>
            <w:vAlign w:val="center"/>
          </w:tcPr>
          <w:p w14:paraId="1BDFBD47">
            <w:pPr>
              <w:spacing w:line="240" w:lineRule="auto"/>
              <w:ind w:firstLine="0" w:firstLineChars="0"/>
              <w:jc w:val="center"/>
              <w:rPr>
                <w:rFonts w:cs="Times New Roman"/>
                <w:szCs w:val="24"/>
              </w:rPr>
            </w:pPr>
            <w:r>
              <w:rPr>
                <w:rFonts w:hint="eastAsia" w:cs="Times New Roman"/>
                <w:sz w:val="21"/>
                <w:szCs w:val="21"/>
              </w:rPr>
              <w:t>达标</w:t>
            </w:r>
          </w:p>
        </w:tc>
      </w:tr>
      <w:tr w14:paraId="19587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01310065">
            <w:pPr>
              <w:widowControl/>
              <w:spacing w:line="240" w:lineRule="auto"/>
              <w:ind w:firstLine="0" w:firstLineChars="0"/>
              <w:jc w:val="center"/>
              <w:rPr>
                <w:rFonts w:cs="Times New Roman"/>
                <w:kern w:val="0"/>
                <w:sz w:val="21"/>
                <w:szCs w:val="21"/>
              </w:rPr>
            </w:pPr>
            <w:r>
              <w:rPr>
                <w:rFonts w:cs="Times New Roman"/>
                <w:kern w:val="0"/>
                <w:sz w:val="21"/>
                <w:szCs w:val="21"/>
              </w:rPr>
              <w:t>41</w:t>
            </w:r>
          </w:p>
        </w:tc>
        <w:tc>
          <w:tcPr>
            <w:tcW w:w="721" w:type="pct"/>
            <w:tcBorders>
              <w:top w:val="single" w:color="auto" w:sz="4" w:space="0"/>
              <w:left w:val="single" w:color="auto" w:sz="4" w:space="0"/>
              <w:bottom w:val="single" w:color="auto" w:sz="4" w:space="0"/>
              <w:right w:val="single" w:color="auto" w:sz="4" w:space="0"/>
            </w:tcBorders>
            <w:vAlign w:val="center"/>
          </w:tcPr>
          <w:p w14:paraId="4FE8C216">
            <w:pPr>
              <w:widowControl/>
              <w:spacing w:line="240" w:lineRule="auto"/>
              <w:ind w:firstLine="0" w:firstLineChars="0"/>
              <w:jc w:val="center"/>
              <w:rPr>
                <w:rFonts w:cs="Times New Roman"/>
                <w:kern w:val="0"/>
                <w:sz w:val="21"/>
                <w:szCs w:val="21"/>
              </w:rPr>
            </w:pPr>
            <w:r>
              <w:rPr>
                <w:rFonts w:hint="eastAsia" w:cs="Times New Roman"/>
                <w:kern w:val="0"/>
                <w:sz w:val="21"/>
                <w:szCs w:val="21"/>
              </w:rPr>
              <w:t>苯并</w:t>
            </w:r>
            <w:r>
              <w:rPr>
                <w:rFonts w:cs="Times New Roman"/>
                <w:kern w:val="0"/>
                <w:sz w:val="21"/>
                <w:szCs w:val="21"/>
              </w:rPr>
              <w:t>[k]</w:t>
            </w:r>
            <w:r>
              <w:rPr>
                <w:rFonts w:hint="eastAsia" w:cs="Times New Roman"/>
                <w:kern w:val="0"/>
                <w:sz w:val="21"/>
                <w:szCs w:val="21"/>
              </w:rPr>
              <w:t>荧蒽</w:t>
            </w:r>
          </w:p>
        </w:tc>
        <w:tc>
          <w:tcPr>
            <w:tcW w:w="461" w:type="pct"/>
            <w:tcBorders>
              <w:top w:val="single" w:color="auto" w:sz="4" w:space="0"/>
              <w:left w:val="single" w:color="auto" w:sz="4" w:space="0"/>
              <w:bottom w:val="single" w:color="auto" w:sz="4" w:space="0"/>
              <w:right w:val="single" w:color="auto" w:sz="4" w:space="0"/>
            </w:tcBorders>
            <w:vAlign w:val="center"/>
          </w:tcPr>
          <w:p w14:paraId="2F6AA3F4">
            <w:pPr>
              <w:widowControl/>
              <w:spacing w:line="240" w:lineRule="auto"/>
              <w:ind w:firstLine="0" w:firstLineChars="0"/>
              <w:jc w:val="center"/>
              <w:rPr>
                <w:rFonts w:cs="Times New Roman"/>
                <w:kern w:val="0"/>
                <w:sz w:val="21"/>
                <w:szCs w:val="21"/>
              </w:rPr>
            </w:pPr>
            <w:r>
              <w:rPr>
                <w:rFonts w:cs="Times New Roman"/>
                <w:kern w:val="0"/>
                <w:sz w:val="21"/>
                <w:szCs w:val="21"/>
              </w:rPr>
              <w:t>207-08-9</w:t>
            </w:r>
          </w:p>
        </w:tc>
        <w:tc>
          <w:tcPr>
            <w:tcW w:w="470" w:type="pct"/>
            <w:tcBorders>
              <w:left w:val="single" w:color="auto" w:sz="4" w:space="0"/>
              <w:right w:val="single" w:color="auto" w:sz="4" w:space="0"/>
            </w:tcBorders>
            <w:vAlign w:val="center"/>
          </w:tcPr>
          <w:p w14:paraId="2920A467">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44FD84F">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662A472F">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7EF9B2E8">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4C517082">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6B55F960">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5C4CC305">
            <w:pPr>
              <w:spacing w:line="240" w:lineRule="auto"/>
              <w:ind w:firstLine="0" w:firstLineChars="0"/>
              <w:jc w:val="center"/>
              <w:rPr>
                <w:rFonts w:cs="Times New Roman"/>
                <w:sz w:val="21"/>
                <w:szCs w:val="21"/>
              </w:rPr>
            </w:pPr>
            <w:r>
              <w:rPr>
                <w:rFonts w:cs="Times New Roman"/>
                <w:sz w:val="21"/>
                <w:szCs w:val="21"/>
              </w:rPr>
              <w:t>151</w:t>
            </w:r>
          </w:p>
        </w:tc>
        <w:tc>
          <w:tcPr>
            <w:tcW w:w="251" w:type="pct"/>
            <w:tcBorders>
              <w:top w:val="single" w:color="auto" w:sz="4" w:space="0"/>
              <w:left w:val="single" w:color="auto" w:sz="4" w:space="0"/>
              <w:bottom w:val="single" w:color="auto" w:sz="4" w:space="0"/>
              <w:right w:val="nil"/>
            </w:tcBorders>
            <w:vAlign w:val="center"/>
          </w:tcPr>
          <w:p w14:paraId="07E28D6E">
            <w:pPr>
              <w:spacing w:line="240" w:lineRule="auto"/>
              <w:ind w:firstLine="0" w:firstLineChars="0"/>
              <w:jc w:val="center"/>
              <w:rPr>
                <w:rFonts w:cs="Times New Roman"/>
                <w:szCs w:val="24"/>
              </w:rPr>
            </w:pPr>
            <w:r>
              <w:rPr>
                <w:rFonts w:hint="eastAsia" w:cs="Times New Roman"/>
                <w:sz w:val="21"/>
                <w:szCs w:val="21"/>
              </w:rPr>
              <w:t>达标</w:t>
            </w:r>
          </w:p>
        </w:tc>
      </w:tr>
      <w:tr w14:paraId="09E93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72C1DECB">
            <w:pPr>
              <w:widowControl/>
              <w:spacing w:line="240" w:lineRule="auto"/>
              <w:ind w:firstLine="0" w:firstLineChars="0"/>
              <w:jc w:val="center"/>
              <w:rPr>
                <w:rFonts w:cs="Times New Roman"/>
                <w:kern w:val="0"/>
                <w:sz w:val="21"/>
                <w:szCs w:val="21"/>
              </w:rPr>
            </w:pPr>
            <w:r>
              <w:rPr>
                <w:rFonts w:cs="Times New Roman"/>
                <w:kern w:val="0"/>
                <w:sz w:val="21"/>
                <w:szCs w:val="21"/>
              </w:rPr>
              <w:t>42</w:t>
            </w:r>
          </w:p>
        </w:tc>
        <w:tc>
          <w:tcPr>
            <w:tcW w:w="721" w:type="pct"/>
            <w:tcBorders>
              <w:top w:val="single" w:color="auto" w:sz="4" w:space="0"/>
              <w:left w:val="single" w:color="auto" w:sz="4" w:space="0"/>
              <w:bottom w:val="single" w:color="auto" w:sz="4" w:space="0"/>
              <w:right w:val="single" w:color="auto" w:sz="4" w:space="0"/>
            </w:tcBorders>
            <w:vAlign w:val="center"/>
          </w:tcPr>
          <w:p w14:paraId="128CFCBF">
            <w:pPr>
              <w:widowControl/>
              <w:spacing w:line="240" w:lineRule="auto"/>
              <w:ind w:firstLine="0" w:firstLineChars="0"/>
              <w:jc w:val="center"/>
              <w:rPr>
                <w:rFonts w:cs="Times New Roman"/>
                <w:kern w:val="0"/>
                <w:sz w:val="21"/>
                <w:szCs w:val="21"/>
              </w:rPr>
            </w:pPr>
            <w:r>
              <w:rPr>
                <w:rFonts w:hint="eastAsia" w:cs="Times New Roman"/>
                <w:kern w:val="0"/>
                <w:sz w:val="21"/>
                <w:szCs w:val="21"/>
              </w:rPr>
              <w:t>䓛</w:t>
            </w:r>
          </w:p>
        </w:tc>
        <w:tc>
          <w:tcPr>
            <w:tcW w:w="461" w:type="pct"/>
            <w:tcBorders>
              <w:top w:val="single" w:color="auto" w:sz="4" w:space="0"/>
              <w:left w:val="single" w:color="auto" w:sz="4" w:space="0"/>
              <w:bottom w:val="single" w:color="auto" w:sz="4" w:space="0"/>
              <w:right w:val="single" w:color="auto" w:sz="4" w:space="0"/>
            </w:tcBorders>
            <w:vAlign w:val="center"/>
          </w:tcPr>
          <w:p w14:paraId="45C8ED8C">
            <w:pPr>
              <w:widowControl/>
              <w:spacing w:line="240" w:lineRule="auto"/>
              <w:ind w:firstLine="0" w:firstLineChars="0"/>
              <w:jc w:val="center"/>
              <w:rPr>
                <w:rFonts w:cs="Times New Roman"/>
                <w:kern w:val="0"/>
                <w:sz w:val="21"/>
                <w:szCs w:val="21"/>
              </w:rPr>
            </w:pPr>
            <w:r>
              <w:rPr>
                <w:rFonts w:cs="Times New Roman"/>
                <w:kern w:val="0"/>
                <w:sz w:val="21"/>
                <w:szCs w:val="21"/>
              </w:rPr>
              <w:t>218-01-9</w:t>
            </w:r>
          </w:p>
        </w:tc>
        <w:tc>
          <w:tcPr>
            <w:tcW w:w="470" w:type="pct"/>
            <w:tcBorders>
              <w:left w:val="single" w:color="auto" w:sz="4" w:space="0"/>
              <w:right w:val="single" w:color="auto" w:sz="4" w:space="0"/>
            </w:tcBorders>
            <w:vAlign w:val="center"/>
          </w:tcPr>
          <w:p w14:paraId="484DFC9C">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72E0C3F6">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33CAA5A9">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00421073">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017DCD45">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52387A1A">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5BB11BD6">
            <w:pPr>
              <w:spacing w:line="240" w:lineRule="auto"/>
              <w:ind w:firstLine="0" w:firstLineChars="0"/>
              <w:jc w:val="center"/>
              <w:rPr>
                <w:rFonts w:cs="Times New Roman"/>
                <w:sz w:val="21"/>
                <w:szCs w:val="21"/>
              </w:rPr>
            </w:pPr>
            <w:r>
              <w:rPr>
                <w:rFonts w:cs="Times New Roman"/>
                <w:sz w:val="21"/>
                <w:szCs w:val="21"/>
              </w:rPr>
              <w:t>1293</w:t>
            </w:r>
          </w:p>
        </w:tc>
        <w:tc>
          <w:tcPr>
            <w:tcW w:w="251" w:type="pct"/>
            <w:tcBorders>
              <w:top w:val="single" w:color="auto" w:sz="4" w:space="0"/>
              <w:left w:val="single" w:color="auto" w:sz="4" w:space="0"/>
              <w:bottom w:val="single" w:color="auto" w:sz="4" w:space="0"/>
              <w:right w:val="nil"/>
            </w:tcBorders>
            <w:vAlign w:val="center"/>
          </w:tcPr>
          <w:p w14:paraId="3485BE7A">
            <w:pPr>
              <w:spacing w:line="240" w:lineRule="auto"/>
              <w:ind w:firstLine="0" w:firstLineChars="0"/>
              <w:jc w:val="center"/>
              <w:rPr>
                <w:rFonts w:cs="Times New Roman"/>
                <w:szCs w:val="24"/>
              </w:rPr>
            </w:pPr>
            <w:r>
              <w:rPr>
                <w:rFonts w:hint="eastAsia" w:cs="Times New Roman"/>
                <w:sz w:val="21"/>
                <w:szCs w:val="21"/>
              </w:rPr>
              <w:t>达标</w:t>
            </w:r>
          </w:p>
        </w:tc>
      </w:tr>
      <w:tr w14:paraId="412F7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520C8F2D">
            <w:pPr>
              <w:widowControl/>
              <w:spacing w:line="240" w:lineRule="auto"/>
              <w:ind w:firstLine="0" w:firstLineChars="0"/>
              <w:jc w:val="center"/>
              <w:rPr>
                <w:rFonts w:cs="Times New Roman"/>
                <w:kern w:val="0"/>
                <w:sz w:val="21"/>
                <w:szCs w:val="21"/>
              </w:rPr>
            </w:pPr>
            <w:r>
              <w:rPr>
                <w:rFonts w:cs="Times New Roman"/>
                <w:kern w:val="0"/>
                <w:sz w:val="21"/>
                <w:szCs w:val="21"/>
              </w:rPr>
              <w:t>43</w:t>
            </w:r>
          </w:p>
        </w:tc>
        <w:tc>
          <w:tcPr>
            <w:tcW w:w="721" w:type="pct"/>
            <w:tcBorders>
              <w:top w:val="single" w:color="auto" w:sz="4" w:space="0"/>
              <w:left w:val="single" w:color="auto" w:sz="4" w:space="0"/>
              <w:bottom w:val="single" w:color="auto" w:sz="4" w:space="0"/>
              <w:right w:val="single" w:color="auto" w:sz="4" w:space="0"/>
            </w:tcBorders>
            <w:vAlign w:val="center"/>
          </w:tcPr>
          <w:p w14:paraId="46DD930E">
            <w:pPr>
              <w:widowControl/>
              <w:spacing w:line="240" w:lineRule="auto"/>
              <w:ind w:firstLine="0" w:firstLineChars="0"/>
              <w:jc w:val="center"/>
              <w:rPr>
                <w:rFonts w:cs="Times New Roman"/>
                <w:kern w:val="0"/>
                <w:sz w:val="21"/>
                <w:szCs w:val="21"/>
              </w:rPr>
            </w:pPr>
            <w:r>
              <w:rPr>
                <w:rFonts w:hint="eastAsia" w:cs="Times New Roman"/>
                <w:kern w:val="0"/>
                <w:sz w:val="21"/>
                <w:szCs w:val="21"/>
              </w:rPr>
              <w:t>二苯并</w:t>
            </w:r>
            <w:r>
              <w:rPr>
                <w:rFonts w:cs="Times New Roman"/>
                <w:kern w:val="0"/>
                <w:sz w:val="21"/>
                <w:szCs w:val="21"/>
              </w:rPr>
              <w:t>[a</w:t>
            </w:r>
            <w:r>
              <w:rPr>
                <w:rFonts w:hint="eastAsia" w:cs="Times New Roman"/>
                <w:kern w:val="0"/>
                <w:sz w:val="21"/>
                <w:szCs w:val="21"/>
              </w:rPr>
              <w:t>，</w:t>
            </w:r>
            <w:r>
              <w:rPr>
                <w:rFonts w:cs="Times New Roman"/>
                <w:kern w:val="0"/>
                <w:sz w:val="21"/>
                <w:szCs w:val="21"/>
              </w:rPr>
              <w:t>h]</w:t>
            </w:r>
            <w:r>
              <w:rPr>
                <w:rFonts w:hint="eastAsia" w:cs="Times New Roman"/>
                <w:kern w:val="0"/>
                <w:sz w:val="21"/>
                <w:szCs w:val="21"/>
              </w:rPr>
              <w:t>蒽</w:t>
            </w:r>
          </w:p>
        </w:tc>
        <w:tc>
          <w:tcPr>
            <w:tcW w:w="461" w:type="pct"/>
            <w:tcBorders>
              <w:top w:val="single" w:color="auto" w:sz="4" w:space="0"/>
              <w:left w:val="single" w:color="auto" w:sz="4" w:space="0"/>
              <w:bottom w:val="single" w:color="auto" w:sz="4" w:space="0"/>
              <w:right w:val="single" w:color="auto" w:sz="4" w:space="0"/>
            </w:tcBorders>
            <w:vAlign w:val="center"/>
          </w:tcPr>
          <w:p w14:paraId="3D5F5488">
            <w:pPr>
              <w:widowControl/>
              <w:spacing w:line="240" w:lineRule="auto"/>
              <w:ind w:firstLine="0" w:firstLineChars="0"/>
              <w:jc w:val="center"/>
              <w:rPr>
                <w:rFonts w:cs="Times New Roman"/>
                <w:kern w:val="0"/>
                <w:sz w:val="21"/>
                <w:szCs w:val="21"/>
              </w:rPr>
            </w:pPr>
            <w:r>
              <w:rPr>
                <w:rFonts w:cs="Times New Roman"/>
                <w:kern w:val="0"/>
                <w:sz w:val="21"/>
                <w:szCs w:val="21"/>
              </w:rPr>
              <w:t>53-70-3</w:t>
            </w:r>
          </w:p>
        </w:tc>
        <w:tc>
          <w:tcPr>
            <w:tcW w:w="470" w:type="pct"/>
            <w:tcBorders>
              <w:left w:val="single" w:color="auto" w:sz="4" w:space="0"/>
              <w:right w:val="single" w:color="auto" w:sz="4" w:space="0"/>
            </w:tcBorders>
            <w:vAlign w:val="center"/>
          </w:tcPr>
          <w:p w14:paraId="0D3AB416">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201B58D5">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542B96A1">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273E819F">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23FF7027">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197E5546">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1E9A0E63">
            <w:pPr>
              <w:spacing w:line="240" w:lineRule="auto"/>
              <w:ind w:firstLine="0" w:firstLineChars="0"/>
              <w:jc w:val="center"/>
              <w:rPr>
                <w:rFonts w:cs="Times New Roman"/>
                <w:sz w:val="21"/>
                <w:szCs w:val="21"/>
              </w:rPr>
            </w:pPr>
            <w:r>
              <w:rPr>
                <w:rFonts w:cs="Times New Roman"/>
                <w:sz w:val="21"/>
                <w:szCs w:val="21"/>
              </w:rPr>
              <w:t>1.5</w:t>
            </w:r>
          </w:p>
        </w:tc>
        <w:tc>
          <w:tcPr>
            <w:tcW w:w="251" w:type="pct"/>
            <w:tcBorders>
              <w:top w:val="single" w:color="auto" w:sz="4" w:space="0"/>
              <w:left w:val="single" w:color="auto" w:sz="4" w:space="0"/>
              <w:bottom w:val="single" w:color="auto" w:sz="4" w:space="0"/>
              <w:right w:val="nil"/>
            </w:tcBorders>
            <w:vAlign w:val="center"/>
          </w:tcPr>
          <w:p w14:paraId="1726A909">
            <w:pPr>
              <w:spacing w:line="240" w:lineRule="auto"/>
              <w:ind w:firstLine="0" w:firstLineChars="0"/>
              <w:jc w:val="center"/>
              <w:rPr>
                <w:rFonts w:cs="Times New Roman"/>
                <w:szCs w:val="24"/>
              </w:rPr>
            </w:pPr>
            <w:r>
              <w:rPr>
                <w:rFonts w:hint="eastAsia" w:cs="Times New Roman"/>
                <w:sz w:val="21"/>
                <w:szCs w:val="21"/>
              </w:rPr>
              <w:t>达标</w:t>
            </w:r>
          </w:p>
        </w:tc>
      </w:tr>
      <w:tr w14:paraId="6E96E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54621B9A">
            <w:pPr>
              <w:widowControl/>
              <w:spacing w:line="240" w:lineRule="auto"/>
              <w:ind w:firstLine="0" w:firstLineChars="0"/>
              <w:jc w:val="center"/>
              <w:rPr>
                <w:rFonts w:cs="Times New Roman"/>
                <w:kern w:val="0"/>
                <w:sz w:val="21"/>
                <w:szCs w:val="21"/>
              </w:rPr>
            </w:pPr>
            <w:r>
              <w:rPr>
                <w:rFonts w:cs="Times New Roman"/>
                <w:kern w:val="0"/>
                <w:sz w:val="21"/>
                <w:szCs w:val="21"/>
              </w:rPr>
              <w:t>44</w:t>
            </w:r>
          </w:p>
        </w:tc>
        <w:tc>
          <w:tcPr>
            <w:tcW w:w="721" w:type="pct"/>
            <w:tcBorders>
              <w:top w:val="single" w:color="auto" w:sz="4" w:space="0"/>
              <w:left w:val="single" w:color="auto" w:sz="4" w:space="0"/>
              <w:bottom w:val="single" w:color="auto" w:sz="4" w:space="0"/>
              <w:right w:val="single" w:color="auto" w:sz="4" w:space="0"/>
            </w:tcBorders>
            <w:vAlign w:val="center"/>
          </w:tcPr>
          <w:p w14:paraId="52C9BAC3">
            <w:pPr>
              <w:widowControl/>
              <w:spacing w:line="240" w:lineRule="auto"/>
              <w:ind w:firstLine="0" w:firstLineChars="0"/>
              <w:jc w:val="center"/>
              <w:rPr>
                <w:rFonts w:cs="Times New Roman"/>
                <w:kern w:val="0"/>
                <w:sz w:val="21"/>
                <w:szCs w:val="21"/>
              </w:rPr>
            </w:pPr>
            <w:r>
              <w:rPr>
                <w:rFonts w:hint="eastAsia" w:cs="Times New Roman"/>
                <w:kern w:val="0"/>
                <w:sz w:val="21"/>
                <w:szCs w:val="21"/>
              </w:rPr>
              <w:t>茚并</w:t>
            </w:r>
            <w:r>
              <w:rPr>
                <w:rFonts w:cs="Times New Roman"/>
                <w:kern w:val="0"/>
                <w:sz w:val="21"/>
                <w:szCs w:val="21"/>
              </w:rPr>
              <w:t>[1,2,3-cd]</w:t>
            </w:r>
            <w:r>
              <w:rPr>
                <w:rFonts w:hint="eastAsia" w:cs="Times New Roman"/>
                <w:kern w:val="0"/>
                <w:sz w:val="21"/>
                <w:szCs w:val="21"/>
              </w:rPr>
              <w:t>芘</w:t>
            </w:r>
          </w:p>
        </w:tc>
        <w:tc>
          <w:tcPr>
            <w:tcW w:w="461" w:type="pct"/>
            <w:tcBorders>
              <w:top w:val="single" w:color="auto" w:sz="4" w:space="0"/>
              <w:left w:val="single" w:color="auto" w:sz="4" w:space="0"/>
              <w:bottom w:val="single" w:color="auto" w:sz="4" w:space="0"/>
              <w:right w:val="single" w:color="auto" w:sz="4" w:space="0"/>
            </w:tcBorders>
            <w:vAlign w:val="center"/>
          </w:tcPr>
          <w:p w14:paraId="200EA02F">
            <w:pPr>
              <w:widowControl/>
              <w:spacing w:line="240" w:lineRule="auto"/>
              <w:ind w:firstLine="0" w:firstLineChars="0"/>
              <w:jc w:val="center"/>
              <w:rPr>
                <w:rFonts w:cs="Times New Roman"/>
                <w:kern w:val="0"/>
                <w:sz w:val="21"/>
                <w:szCs w:val="21"/>
              </w:rPr>
            </w:pPr>
            <w:r>
              <w:rPr>
                <w:rFonts w:cs="Times New Roman"/>
                <w:kern w:val="0"/>
                <w:sz w:val="21"/>
                <w:szCs w:val="21"/>
              </w:rPr>
              <w:t>193-39-5</w:t>
            </w:r>
          </w:p>
        </w:tc>
        <w:tc>
          <w:tcPr>
            <w:tcW w:w="470" w:type="pct"/>
            <w:tcBorders>
              <w:left w:val="single" w:color="auto" w:sz="4" w:space="0"/>
              <w:right w:val="single" w:color="auto" w:sz="4" w:space="0"/>
            </w:tcBorders>
            <w:vAlign w:val="center"/>
          </w:tcPr>
          <w:p w14:paraId="6C2400A4">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3C397E0D">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04A596E9">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right w:val="single" w:color="auto" w:sz="4" w:space="0"/>
            </w:tcBorders>
            <w:vAlign w:val="center"/>
          </w:tcPr>
          <w:p w14:paraId="5F9B287B">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right w:val="single" w:color="auto" w:sz="4" w:space="0"/>
            </w:tcBorders>
            <w:vAlign w:val="center"/>
          </w:tcPr>
          <w:p w14:paraId="5E6CED98">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right w:val="single" w:color="auto" w:sz="4" w:space="0"/>
            </w:tcBorders>
            <w:vAlign w:val="center"/>
          </w:tcPr>
          <w:p w14:paraId="13E3C42D">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23E9B1AA">
            <w:pPr>
              <w:spacing w:line="240" w:lineRule="auto"/>
              <w:ind w:firstLine="0" w:firstLineChars="0"/>
              <w:jc w:val="center"/>
              <w:rPr>
                <w:rFonts w:cs="Times New Roman"/>
                <w:sz w:val="21"/>
                <w:szCs w:val="21"/>
              </w:rPr>
            </w:pPr>
            <w:r>
              <w:rPr>
                <w:rFonts w:cs="Times New Roman"/>
                <w:sz w:val="21"/>
                <w:szCs w:val="21"/>
              </w:rPr>
              <w:t>15</w:t>
            </w:r>
          </w:p>
        </w:tc>
        <w:tc>
          <w:tcPr>
            <w:tcW w:w="251" w:type="pct"/>
            <w:tcBorders>
              <w:top w:val="single" w:color="auto" w:sz="4" w:space="0"/>
              <w:left w:val="single" w:color="auto" w:sz="4" w:space="0"/>
              <w:bottom w:val="single" w:color="auto" w:sz="4" w:space="0"/>
              <w:right w:val="nil"/>
            </w:tcBorders>
            <w:vAlign w:val="center"/>
          </w:tcPr>
          <w:p w14:paraId="57518CE4">
            <w:pPr>
              <w:spacing w:line="240" w:lineRule="auto"/>
              <w:ind w:firstLine="0" w:firstLineChars="0"/>
              <w:jc w:val="center"/>
              <w:rPr>
                <w:rFonts w:cs="Times New Roman"/>
                <w:szCs w:val="24"/>
              </w:rPr>
            </w:pPr>
            <w:r>
              <w:rPr>
                <w:rFonts w:hint="eastAsia" w:cs="Times New Roman"/>
                <w:sz w:val="21"/>
                <w:szCs w:val="21"/>
              </w:rPr>
              <w:t>达标</w:t>
            </w:r>
          </w:p>
        </w:tc>
      </w:tr>
      <w:tr w14:paraId="788BD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op w:val="single" w:color="auto" w:sz="4" w:space="0"/>
              <w:left w:val="nil"/>
              <w:bottom w:val="single" w:color="auto" w:sz="4" w:space="0"/>
              <w:right w:val="single" w:color="auto" w:sz="4" w:space="0"/>
            </w:tcBorders>
            <w:vAlign w:val="center"/>
          </w:tcPr>
          <w:p w14:paraId="2D4CD0C3">
            <w:pPr>
              <w:widowControl/>
              <w:spacing w:line="240" w:lineRule="auto"/>
              <w:ind w:firstLine="0" w:firstLineChars="0"/>
              <w:jc w:val="center"/>
              <w:rPr>
                <w:rFonts w:cs="Times New Roman"/>
                <w:kern w:val="0"/>
                <w:sz w:val="21"/>
                <w:szCs w:val="21"/>
              </w:rPr>
            </w:pPr>
            <w:r>
              <w:rPr>
                <w:rFonts w:cs="Times New Roman"/>
                <w:kern w:val="0"/>
                <w:sz w:val="21"/>
                <w:szCs w:val="21"/>
              </w:rPr>
              <w:t>45</w:t>
            </w:r>
          </w:p>
        </w:tc>
        <w:tc>
          <w:tcPr>
            <w:tcW w:w="721" w:type="pct"/>
            <w:tcBorders>
              <w:top w:val="single" w:color="auto" w:sz="4" w:space="0"/>
              <w:left w:val="single" w:color="auto" w:sz="4" w:space="0"/>
              <w:bottom w:val="single" w:color="auto" w:sz="4" w:space="0"/>
              <w:right w:val="single" w:color="auto" w:sz="4" w:space="0"/>
            </w:tcBorders>
            <w:vAlign w:val="center"/>
          </w:tcPr>
          <w:p w14:paraId="76F18168">
            <w:pPr>
              <w:widowControl/>
              <w:spacing w:line="240" w:lineRule="auto"/>
              <w:ind w:firstLine="0" w:firstLineChars="0"/>
              <w:jc w:val="center"/>
              <w:rPr>
                <w:rFonts w:cs="Times New Roman"/>
                <w:kern w:val="0"/>
                <w:sz w:val="21"/>
                <w:szCs w:val="21"/>
              </w:rPr>
            </w:pPr>
            <w:r>
              <w:rPr>
                <w:rFonts w:hint="eastAsia" w:cs="Times New Roman"/>
                <w:kern w:val="0"/>
                <w:sz w:val="21"/>
                <w:szCs w:val="21"/>
              </w:rPr>
              <w:t>萘</w:t>
            </w:r>
          </w:p>
        </w:tc>
        <w:tc>
          <w:tcPr>
            <w:tcW w:w="461" w:type="pct"/>
            <w:tcBorders>
              <w:top w:val="single" w:color="auto" w:sz="4" w:space="0"/>
              <w:left w:val="single" w:color="auto" w:sz="4" w:space="0"/>
              <w:bottom w:val="single" w:color="auto" w:sz="4" w:space="0"/>
              <w:right w:val="single" w:color="auto" w:sz="4" w:space="0"/>
            </w:tcBorders>
            <w:vAlign w:val="center"/>
          </w:tcPr>
          <w:p w14:paraId="29FE784E">
            <w:pPr>
              <w:widowControl/>
              <w:spacing w:line="240" w:lineRule="auto"/>
              <w:ind w:firstLine="0" w:firstLineChars="0"/>
              <w:jc w:val="center"/>
              <w:rPr>
                <w:rFonts w:cs="Times New Roman"/>
                <w:kern w:val="0"/>
                <w:sz w:val="21"/>
                <w:szCs w:val="21"/>
              </w:rPr>
            </w:pPr>
            <w:r>
              <w:rPr>
                <w:rFonts w:cs="Times New Roman"/>
                <w:kern w:val="0"/>
                <w:sz w:val="21"/>
                <w:szCs w:val="21"/>
              </w:rPr>
              <w:t>91-20-3</w:t>
            </w:r>
          </w:p>
        </w:tc>
        <w:tc>
          <w:tcPr>
            <w:tcW w:w="470" w:type="pct"/>
            <w:tcBorders>
              <w:left w:val="single" w:color="auto" w:sz="4" w:space="0"/>
              <w:bottom w:val="single" w:color="auto" w:sz="4" w:space="0"/>
              <w:right w:val="single" w:color="auto" w:sz="4" w:space="0"/>
            </w:tcBorders>
            <w:vAlign w:val="center"/>
          </w:tcPr>
          <w:p w14:paraId="225A1630">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bottom w:val="single" w:color="auto" w:sz="4" w:space="0"/>
              <w:right w:val="single" w:color="auto" w:sz="4" w:space="0"/>
            </w:tcBorders>
            <w:vAlign w:val="center"/>
          </w:tcPr>
          <w:p w14:paraId="7511FEB5">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bottom w:val="single" w:color="auto" w:sz="4" w:space="0"/>
              <w:right w:val="single" w:color="auto" w:sz="4" w:space="0"/>
            </w:tcBorders>
            <w:vAlign w:val="center"/>
          </w:tcPr>
          <w:p w14:paraId="4E656CB3">
            <w:pPr>
              <w:spacing w:line="240" w:lineRule="auto"/>
              <w:ind w:firstLine="0" w:firstLineChars="0"/>
              <w:jc w:val="center"/>
              <w:rPr>
                <w:rFonts w:cs="Times New Roman"/>
                <w:szCs w:val="24"/>
              </w:rPr>
            </w:pPr>
            <w:r>
              <w:rPr>
                <w:rFonts w:hint="eastAsia" w:cs="Times New Roman"/>
                <w:sz w:val="21"/>
                <w:szCs w:val="21"/>
              </w:rPr>
              <w:t>ND</w:t>
            </w:r>
          </w:p>
        </w:tc>
        <w:tc>
          <w:tcPr>
            <w:tcW w:w="470" w:type="pct"/>
            <w:tcBorders>
              <w:left w:val="single" w:color="auto" w:sz="4" w:space="0"/>
              <w:bottom w:val="single" w:color="auto" w:sz="4" w:space="0"/>
              <w:right w:val="single" w:color="auto" w:sz="4" w:space="0"/>
            </w:tcBorders>
            <w:vAlign w:val="center"/>
          </w:tcPr>
          <w:p w14:paraId="2407EE1D">
            <w:pPr>
              <w:spacing w:line="240" w:lineRule="auto"/>
              <w:ind w:firstLine="0" w:firstLineChars="0"/>
              <w:jc w:val="center"/>
              <w:rPr>
                <w:rFonts w:cs="Times New Roman"/>
                <w:sz w:val="21"/>
                <w:szCs w:val="21"/>
              </w:rPr>
            </w:pPr>
            <w:r>
              <w:rPr>
                <w:rFonts w:hint="eastAsia" w:cs="Times New Roman"/>
                <w:sz w:val="21"/>
                <w:szCs w:val="21"/>
              </w:rPr>
              <w:t>ND</w:t>
            </w:r>
          </w:p>
        </w:tc>
        <w:tc>
          <w:tcPr>
            <w:tcW w:w="470" w:type="pct"/>
            <w:tcBorders>
              <w:left w:val="single" w:color="auto" w:sz="4" w:space="0"/>
              <w:bottom w:val="single" w:color="auto" w:sz="4" w:space="0"/>
              <w:right w:val="single" w:color="auto" w:sz="4" w:space="0"/>
            </w:tcBorders>
            <w:vAlign w:val="center"/>
          </w:tcPr>
          <w:p w14:paraId="5F469544">
            <w:pPr>
              <w:spacing w:line="240" w:lineRule="auto"/>
              <w:ind w:firstLine="0" w:firstLineChars="0"/>
              <w:jc w:val="center"/>
              <w:rPr>
                <w:rFonts w:cs="Times New Roman"/>
                <w:sz w:val="21"/>
                <w:szCs w:val="21"/>
              </w:rPr>
            </w:pPr>
            <w:r>
              <w:rPr>
                <w:rFonts w:hint="eastAsia" w:cs="Times New Roman"/>
                <w:sz w:val="21"/>
                <w:szCs w:val="21"/>
              </w:rPr>
              <w:t>ND</w:t>
            </w:r>
          </w:p>
        </w:tc>
        <w:tc>
          <w:tcPr>
            <w:tcW w:w="471" w:type="pct"/>
            <w:tcBorders>
              <w:left w:val="single" w:color="auto" w:sz="4" w:space="0"/>
              <w:bottom w:val="single" w:color="auto" w:sz="4" w:space="0"/>
              <w:right w:val="single" w:color="auto" w:sz="4" w:space="0"/>
            </w:tcBorders>
            <w:vAlign w:val="center"/>
          </w:tcPr>
          <w:p w14:paraId="31D93D87">
            <w:pPr>
              <w:spacing w:line="240" w:lineRule="auto"/>
              <w:ind w:firstLine="0" w:firstLineChars="0"/>
              <w:jc w:val="center"/>
              <w:rPr>
                <w:rFonts w:cs="Times New Roman"/>
                <w:sz w:val="21"/>
                <w:szCs w:val="21"/>
              </w:rPr>
            </w:pPr>
            <w:r>
              <w:rPr>
                <w:rFonts w:hint="eastAsia" w:cs="Times New Roman"/>
                <w:sz w:val="21"/>
                <w:szCs w:val="21"/>
              </w:rPr>
              <w:t>ND</w:t>
            </w:r>
          </w:p>
        </w:tc>
        <w:tc>
          <w:tcPr>
            <w:tcW w:w="495" w:type="pct"/>
            <w:tcBorders>
              <w:top w:val="single" w:color="auto" w:sz="4" w:space="0"/>
              <w:left w:val="single" w:color="auto" w:sz="4" w:space="0"/>
              <w:bottom w:val="single" w:color="auto" w:sz="4" w:space="0"/>
              <w:right w:val="single" w:color="auto" w:sz="4" w:space="0"/>
            </w:tcBorders>
            <w:vAlign w:val="center"/>
          </w:tcPr>
          <w:p w14:paraId="761A2620">
            <w:pPr>
              <w:spacing w:line="240" w:lineRule="auto"/>
              <w:ind w:firstLine="0" w:firstLineChars="0"/>
              <w:jc w:val="center"/>
              <w:rPr>
                <w:rFonts w:cs="Times New Roman"/>
                <w:sz w:val="21"/>
                <w:szCs w:val="21"/>
              </w:rPr>
            </w:pPr>
            <w:r>
              <w:rPr>
                <w:rFonts w:cs="Times New Roman"/>
                <w:sz w:val="21"/>
                <w:szCs w:val="21"/>
              </w:rPr>
              <w:t>70</w:t>
            </w:r>
          </w:p>
        </w:tc>
        <w:tc>
          <w:tcPr>
            <w:tcW w:w="251" w:type="pct"/>
            <w:tcBorders>
              <w:top w:val="single" w:color="auto" w:sz="4" w:space="0"/>
              <w:left w:val="single" w:color="auto" w:sz="4" w:space="0"/>
              <w:bottom w:val="single" w:color="auto" w:sz="4" w:space="0"/>
              <w:right w:val="nil"/>
            </w:tcBorders>
            <w:vAlign w:val="center"/>
          </w:tcPr>
          <w:p w14:paraId="6435A1C5">
            <w:pPr>
              <w:spacing w:line="240" w:lineRule="auto"/>
              <w:ind w:firstLine="0" w:firstLineChars="0"/>
              <w:jc w:val="center"/>
              <w:rPr>
                <w:rFonts w:cs="Times New Roman"/>
                <w:szCs w:val="24"/>
              </w:rPr>
            </w:pPr>
            <w:r>
              <w:rPr>
                <w:rFonts w:hint="eastAsia" w:cs="Times New Roman"/>
                <w:sz w:val="21"/>
                <w:szCs w:val="21"/>
              </w:rPr>
              <w:t>达标</w:t>
            </w:r>
          </w:p>
        </w:tc>
      </w:tr>
    </w:tbl>
    <w:p w14:paraId="28D2909C">
      <w:pPr>
        <w:spacing w:before="120" w:beforeLines="50" w:line="240" w:lineRule="auto"/>
        <w:ind w:firstLine="0" w:firstLineChars="0"/>
        <w:jc w:val="center"/>
        <w:rPr>
          <w:rFonts w:cs="Times New Roman"/>
          <w:b/>
          <w:bCs/>
          <w:szCs w:val="24"/>
        </w:rPr>
      </w:pPr>
      <w:r>
        <w:rPr>
          <w:rFonts w:hint="eastAsia" w:cs="Times New Roman"/>
          <w:b/>
          <w:bCs/>
          <w:szCs w:val="24"/>
        </w:rPr>
        <w:t>表4.4-19</w:t>
      </w:r>
      <w:r>
        <w:rPr>
          <w:rFonts w:cs="Times New Roman"/>
          <w:b/>
          <w:bCs/>
          <w:szCs w:val="24"/>
        </w:rPr>
        <w:t xml:space="preserve"> </w:t>
      </w:r>
      <w:r>
        <w:rPr>
          <w:rFonts w:hint="eastAsia" w:cs="Times New Roman"/>
          <w:b/>
          <w:bCs/>
          <w:szCs w:val="24"/>
        </w:rPr>
        <w:t>项目场地内TR5、TR6土壤环境质量监测结果</w:t>
      </w:r>
    </w:p>
    <w:tbl>
      <w:tblPr>
        <w:tblStyle w:val="32"/>
        <w:tblW w:w="5000" w:type="pct"/>
        <w:tblInd w:w="0" w:type="dxa"/>
        <w:tblLayout w:type="autofit"/>
        <w:tblCellMar>
          <w:top w:w="0" w:type="dxa"/>
          <w:left w:w="108" w:type="dxa"/>
          <w:bottom w:w="0" w:type="dxa"/>
          <w:right w:w="108" w:type="dxa"/>
        </w:tblCellMar>
      </w:tblPr>
      <w:tblGrid>
        <w:gridCol w:w="1217"/>
        <w:gridCol w:w="1217"/>
        <w:gridCol w:w="1218"/>
        <w:gridCol w:w="1218"/>
        <w:gridCol w:w="1220"/>
        <w:gridCol w:w="1218"/>
        <w:gridCol w:w="1220"/>
      </w:tblGrid>
      <w:tr w14:paraId="7D662254">
        <w:tblPrEx>
          <w:tblCellMar>
            <w:top w:w="0" w:type="dxa"/>
            <w:left w:w="108" w:type="dxa"/>
            <w:bottom w:w="0" w:type="dxa"/>
            <w:right w:w="108" w:type="dxa"/>
          </w:tblCellMar>
        </w:tblPrEx>
        <w:trPr>
          <w:trHeight w:val="290" w:hRule="atLeast"/>
        </w:trPr>
        <w:tc>
          <w:tcPr>
            <w:tcW w:w="714" w:type="pct"/>
            <w:vMerge w:val="restart"/>
            <w:tcBorders>
              <w:top w:val="single" w:color="auto" w:sz="8" w:space="0"/>
              <w:left w:val="nil"/>
              <w:bottom w:val="single" w:color="000000" w:sz="8" w:space="0"/>
              <w:right w:val="single" w:color="auto" w:sz="8" w:space="0"/>
            </w:tcBorders>
            <w:shd w:val="clear" w:color="auto" w:fill="auto"/>
            <w:vAlign w:val="center"/>
          </w:tcPr>
          <w:p w14:paraId="3235C5B4">
            <w:pPr>
              <w:widowControl/>
              <w:spacing w:line="240" w:lineRule="auto"/>
              <w:ind w:firstLine="0" w:firstLineChars="0"/>
              <w:jc w:val="center"/>
              <w:rPr>
                <w:rFonts w:hint="eastAsia" w:ascii="宋体" w:hAnsi="宋体" w:cs="宋体"/>
                <w:b/>
                <w:bCs/>
                <w:color w:val="000000"/>
                <w:kern w:val="0"/>
                <w:sz w:val="21"/>
                <w:szCs w:val="21"/>
              </w:rPr>
            </w:pPr>
            <w:r>
              <w:rPr>
                <w:rFonts w:hint="eastAsia" w:ascii="宋体" w:hAnsi="宋体" w:cs="宋体"/>
                <w:b/>
                <w:bCs/>
                <w:color w:val="000000"/>
                <w:kern w:val="0"/>
                <w:sz w:val="21"/>
                <w:szCs w:val="21"/>
              </w:rPr>
              <w:t>序号</w:t>
            </w:r>
          </w:p>
        </w:tc>
        <w:tc>
          <w:tcPr>
            <w:tcW w:w="714"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14:paraId="53EE5FA8">
            <w:pPr>
              <w:widowControl/>
              <w:spacing w:line="240" w:lineRule="auto"/>
              <w:ind w:firstLine="0" w:firstLineChars="0"/>
              <w:jc w:val="center"/>
              <w:rPr>
                <w:rFonts w:hint="eastAsia" w:ascii="宋体" w:hAnsi="宋体" w:cs="宋体"/>
                <w:b/>
                <w:bCs/>
                <w:color w:val="000000"/>
                <w:kern w:val="0"/>
                <w:sz w:val="21"/>
                <w:szCs w:val="21"/>
              </w:rPr>
            </w:pPr>
            <w:r>
              <w:rPr>
                <w:rFonts w:hint="eastAsia" w:ascii="宋体" w:hAnsi="宋体" w:cs="宋体"/>
                <w:b/>
                <w:bCs/>
                <w:color w:val="000000"/>
                <w:kern w:val="0"/>
                <w:sz w:val="21"/>
                <w:szCs w:val="21"/>
              </w:rPr>
              <w:t>污染物项目</w:t>
            </w:r>
          </w:p>
        </w:tc>
        <w:tc>
          <w:tcPr>
            <w:tcW w:w="714"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14:paraId="7AD8A4FE">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CAS</w:t>
            </w:r>
            <w:r>
              <w:rPr>
                <w:rFonts w:hint="eastAsia" w:ascii="宋体" w:hAnsi="宋体" w:cs="Times New Roman"/>
                <w:b/>
                <w:bCs/>
                <w:color w:val="000000"/>
                <w:kern w:val="0"/>
                <w:sz w:val="21"/>
                <w:szCs w:val="21"/>
              </w:rPr>
              <w:t>编号</w:t>
            </w:r>
          </w:p>
        </w:tc>
        <w:tc>
          <w:tcPr>
            <w:tcW w:w="1429" w:type="pct"/>
            <w:gridSpan w:val="2"/>
            <w:tcBorders>
              <w:top w:val="single" w:color="auto" w:sz="8" w:space="0"/>
              <w:left w:val="nil"/>
              <w:bottom w:val="single" w:color="auto" w:sz="8" w:space="0"/>
              <w:right w:val="nil"/>
            </w:tcBorders>
            <w:shd w:val="clear" w:color="auto" w:fill="auto"/>
            <w:vAlign w:val="center"/>
          </w:tcPr>
          <w:p w14:paraId="643E92DE">
            <w:pPr>
              <w:widowControl/>
              <w:spacing w:line="240" w:lineRule="auto"/>
              <w:ind w:firstLine="0" w:firstLineChars="0"/>
              <w:jc w:val="center"/>
              <w:rPr>
                <w:rFonts w:hint="eastAsia" w:ascii="宋体" w:hAnsi="宋体" w:cs="宋体"/>
                <w:b/>
                <w:bCs/>
                <w:color w:val="000000"/>
                <w:kern w:val="0"/>
                <w:sz w:val="21"/>
                <w:szCs w:val="21"/>
              </w:rPr>
            </w:pPr>
            <w:r>
              <w:rPr>
                <w:rFonts w:hint="eastAsia" w:ascii="宋体" w:hAnsi="宋体" w:cs="宋体"/>
                <w:b/>
                <w:bCs/>
                <w:color w:val="000000"/>
                <w:kern w:val="0"/>
                <w:sz w:val="21"/>
                <w:szCs w:val="21"/>
              </w:rPr>
              <w:t>监测结果</w:t>
            </w:r>
          </w:p>
        </w:tc>
        <w:tc>
          <w:tcPr>
            <w:tcW w:w="714" w:type="pct"/>
            <w:tcBorders>
              <w:top w:val="single" w:color="auto" w:sz="8" w:space="0"/>
              <w:left w:val="nil"/>
              <w:bottom w:val="nil"/>
              <w:right w:val="single" w:color="auto" w:sz="8" w:space="0"/>
            </w:tcBorders>
            <w:shd w:val="clear" w:color="auto" w:fill="auto"/>
            <w:vAlign w:val="center"/>
          </w:tcPr>
          <w:p w14:paraId="4F952C62">
            <w:pPr>
              <w:widowControl/>
              <w:spacing w:line="240" w:lineRule="auto"/>
              <w:ind w:firstLine="0" w:firstLineChars="0"/>
              <w:jc w:val="center"/>
              <w:rPr>
                <w:rFonts w:hint="eastAsia" w:ascii="宋体" w:hAnsi="宋体" w:cs="宋体"/>
                <w:b/>
                <w:bCs/>
                <w:color w:val="000000"/>
                <w:kern w:val="0"/>
                <w:sz w:val="21"/>
                <w:szCs w:val="21"/>
              </w:rPr>
            </w:pPr>
            <w:r>
              <w:rPr>
                <w:rFonts w:hint="eastAsia" w:ascii="宋体" w:hAnsi="宋体" w:cs="宋体"/>
                <w:b/>
                <w:bCs/>
                <w:color w:val="000000"/>
                <w:kern w:val="0"/>
                <w:sz w:val="21"/>
                <w:szCs w:val="21"/>
              </w:rPr>
              <w:t>评价标准</w:t>
            </w:r>
          </w:p>
        </w:tc>
        <w:tc>
          <w:tcPr>
            <w:tcW w:w="714" w:type="pct"/>
            <w:tcBorders>
              <w:top w:val="single" w:color="auto" w:sz="8" w:space="0"/>
              <w:left w:val="nil"/>
              <w:bottom w:val="nil"/>
              <w:right w:val="nil"/>
            </w:tcBorders>
            <w:shd w:val="clear" w:color="auto" w:fill="auto"/>
            <w:vAlign w:val="center"/>
          </w:tcPr>
          <w:p w14:paraId="28D48E5C">
            <w:pPr>
              <w:widowControl/>
              <w:spacing w:line="240" w:lineRule="auto"/>
              <w:ind w:firstLine="0" w:firstLineChars="0"/>
              <w:jc w:val="center"/>
              <w:rPr>
                <w:rFonts w:hint="eastAsia" w:ascii="宋体" w:hAnsi="宋体" w:cs="宋体"/>
                <w:b/>
                <w:bCs/>
                <w:color w:val="000000"/>
                <w:kern w:val="0"/>
                <w:sz w:val="21"/>
                <w:szCs w:val="21"/>
              </w:rPr>
            </w:pPr>
            <w:r>
              <w:rPr>
                <w:rFonts w:hint="eastAsia" w:ascii="宋体" w:hAnsi="宋体" w:cs="宋体"/>
                <w:b/>
                <w:bCs/>
                <w:color w:val="000000"/>
                <w:kern w:val="0"/>
                <w:sz w:val="21"/>
                <w:szCs w:val="21"/>
              </w:rPr>
              <w:t>达标</w:t>
            </w:r>
          </w:p>
        </w:tc>
      </w:tr>
      <w:tr w14:paraId="7F2A3008">
        <w:tblPrEx>
          <w:tblCellMar>
            <w:top w:w="0" w:type="dxa"/>
            <w:left w:w="108" w:type="dxa"/>
            <w:bottom w:w="0" w:type="dxa"/>
            <w:right w:w="108" w:type="dxa"/>
          </w:tblCellMar>
        </w:tblPrEx>
        <w:trPr>
          <w:trHeight w:val="810" w:hRule="atLeast"/>
        </w:trPr>
        <w:tc>
          <w:tcPr>
            <w:tcW w:w="714" w:type="pct"/>
            <w:vMerge w:val="continue"/>
            <w:tcBorders>
              <w:top w:val="single" w:color="auto" w:sz="8" w:space="0"/>
              <w:left w:val="nil"/>
              <w:bottom w:val="single" w:color="000000" w:sz="8" w:space="0"/>
              <w:right w:val="single" w:color="auto" w:sz="8" w:space="0"/>
            </w:tcBorders>
            <w:vAlign w:val="center"/>
          </w:tcPr>
          <w:p w14:paraId="523FF896">
            <w:pPr>
              <w:widowControl/>
              <w:spacing w:line="240" w:lineRule="auto"/>
              <w:ind w:firstLine="0" w:firstLineChars="0"/>
              <w:jc w:val="left"/>
              <w:rPr>
                <w:rFonts w:hint="eastAsia" w:ascii="宋体" w:hAnsi="宋体" w:cs="宋体"/>
                <w:b/>
                <w:bCs/>
                <w:color w:val="000000"/>
                <w:kern w:val="0"/>
                <w:sz w:val="21"/>
                <w:szCs w:val="21"/>
              </w:rPr>
            </w:pPr>
          </w:p>
        </w:tc>
        <w:tc>
          <w:tcPr>
            <w:tcW w:w="714" w:type="pct"/>
            <w:vMerge w:val="continue"/>
            <w:tcBorders>
              <w:top w:val="single" w:color="auto" w:sz="8" w:space="0"/>
              <w:left w:val="single" w:color="auto" w:sz="8" w:space="0"/>
              <w:bottom w:val="single" w:color="000000" w:sz="8" w:space="0"/>
              <w:right w:val="single" w:color="auto" w:sz="8" w:space="0"/>
            </w:tcBorders>
            <w:vAlign w:val="center"/>
          </w:tcPr>
          <w:p w14:paraId="7B3066EF">
            <w:pPr>
              <w:widowControl/>
              <w:spacing w:line="240" w:lineRule="auto"/>
              <w:ind w:firstLine="0" w:firstLineChars="0"/>
              <w:jc w:val="left"/>
              <w:rPr>
                <w:rFonts w:hint="eastAsia" w:ascii="宋体" w:hAnsi="宋体" w:cs="宋体"/>
                <w:b/>
                <w:bCs/>
                <w:color w:val="000000"/>
                <w:kern w:val="0"/>
                <w:sz w:val="21"/>
                <w:szCs w:val="21"/>
              </w:rPr>
            </w:pPr>
          </w:p>
        </w:tc>
        <w:tc>
          <w:tcPr>
            <w:tcW w:w="714" w:type="pct"/>
            <w:vMerge w:val="continue"/>
            <w:tcBorders>
              <w:top w:val="single" w:color="auto" w:sz="8" w:space="0"/>
              <w:left w:val="single" w:color="auto" w:sz="8" w:space="0"/>
              <w:bottom w:val="single" w:color="000000" w:sz="8" w:space="0"/>
              <w:right w:val="single" w:color="auto" w:sz="8" w:space="0"/>
            </w:tcBorders>
            <w:vAlign w:val="center"/>
          </w:tcPr>
          <w:p w14:paraId="0AE9D3DE">
            <w:pPr>
              <w:widowControl/>
              <w:spacing w:line="240" w:lineRule="auto"/>
              <w:ind w:firstLine="0" w:firstLineChars="0"/>
              <w:jc w:val="left"/>
              <w:rPr>
                <w:rFonts w:eastAsia="等线" w:cs="Times New Roman"/>
                <w:b/>
                <w:bCs/>
                <w:color w:val="000000"/>
                <w:kern w:val="0"/>
                <w:sz w:val="21"/>
                <w:szCs w:val="21"/>
              </w:rPr>
            </w:pPr>
          </w:p>
        </w:tc>
        <w:tc>
          <w:tcPr>
            <w:tcW w:w="714" w:type="pct"/>
            <w:tcBorders>
              <w:top w:val="nil"/>
              <w:left w:val="nil"/>
              <w:bottom w:val="nil"/>
              <w:right w:val="single" w:color="auto" w:sz="8" w:space="0"/>
            </w:tcBorders>
            <w:shd w:val="clear" w:color="auto" w:fill="auto"/>
            <w:vAlign w:val="center"/>
          </w:tcPr>
          <w:p w14:paraId="477194A2">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TR5</w:t>
            </w:r>
          </w:p>
        </w:tc>
        <w:tc>
          <w:tcPr>
            <w:tcW w:w="714" w:type="pct"/>
            <w:tcBorders>
              <w:top w:val="nil"/>
              <w:left w:val="nil"/>
              <w:bottom w:val="nil"/>
              <w:right w:val="single" w:color="auto" w:sz="8" w:space="0"/>
            </w:tcBorders>
            <w:shd w:val="clear" w:color="auto" w:fill="auto"/>
            <w:vAlign w:val="center"/>
          </w:tcPr>
          <w:p w14:paraId="6B5FF266">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TR6</w:t>
            </w:r>
          </w:p>
        </w:tc>
        <w:tc>
          <w:tcPr>
            <w:tcW w:w="714" w:type="pct"/>
            <w:tcBorders>
              <w:top w:val="nil"/>
              <w:left w:val="nil"/>
              <w:bottom w:val="nil"/>
              <w:right w:val="single" w:color="auto" w:sz="8" w:space="0"/>
            </w:tcBorders>
            <w:shd w:val="clear" w:color="auto" w:fill="auto"/>
            <w:vAlign w:val="center"/>
          </w:tcPr>
          <w:p w14:paraId="5AE3344E">
            <w:pPr>
              <w:widowControl/>
              <w:spacing w:line="240" w:lineRule="auto"/>
              <w:ind w:firstLine="0" w:firstLineChars="0"/>
              <w:jc w:val="center"/>
              <w:rPr>
                <w:rFonts w:hint="eastAsia" w:ascii="宋体" w:hAnsi="宋体" w:cs="宋体"/>
                <w:b/>
                <w:bCs/>
                <w:color w:val="000000"/>
                <w:kern w:val="0"/>
                <w:sz w:val="21"/>
                <w:szCs w:val="21"/>
              </w:rPr>
            </w:pPr>
            <w:r>
              <w:rPr>
                <w:rFonts w:hint="eastAsia" w:ascii="宋体" w:hAnsi="宋体" w:cs="宋体"/>
                <w:b/>
                <w:bCs/>
                <w:color w:val="000000"/>
                <w:kern w:val="0"/>
                <w:sz w:val="21"/>
                <w:szCs w:val="21"/>
              </w:rPr>
              <w:t>（第二类用地筛选值）</w:t>
            </w:r>
          </w:p>
        </w:tc>
        <w:tc>
          <w:tcPr>
            <w:tcW w:w="714" w:type="pct"/>
            <w:tcBorders>
              <w:top w:val="nil"/>
              <w:left w:val="nil"/>
              <w:bottom w:val="nil"/>
              <w:right w:val="nil"/>
            </w:tcBorders>
            <w:shd w:val="clear" w:color="auto" w:fill="auto"/>
            <w:vAlign w:val="center"/>
          </w:tcPr>
          <w:p w14:paraId="595A7AE9">
            <w:pPr>
              <w:widowControl/>
              <w:spacing w:line="240" w:lineRule="auto"/>
              <w:ind w:firstLine="0" w:firstLineChars="0"/>
              <w:jc w:val="center"/>
              <w:rPr>
                <w:rFonts w:hint="eastAsia" w:ascii="宋体" w:hAnsi="宋体" w:cs="宋体"/>
                <w:b/>
                <w:bCs/>
                <w:color w:val="000000"/>
                <w:kern w:val="0"/>
                <w:sz w:val="21"/>
                <w:szCs w:val="21"/>
              </w:rPr>
            </w:pPr>
            <w:r>
              <w:rPr>
                <w:rFonts w:hint="eastAsia" w:ascii="宋体" w:hAnsi="宋体" w:cs="宋体"/>
                <w:b/>
                <w:bCs/>
                <w:color w:val="000000"/>
                <w:kern w:val="0"/>
                <w:sz w:val="21"/>
                <w:szCs w:val="21"/>
              </w:rPr>
              <w:t>情况</w:t>
            </w:r>
          </w:p>
        </w:tc>
      </w:tr>
      <w:tr w14:paraId="31B6B1D4">
        <w:tblPrEx>
          <w:tblCellMar>
            <w:top w:w="0" w:type="dxa"/>
            <w:left w:w="108" w:type="dxa"/>
            <w:bottom w:w="0" w:type="dxa"/>
            <w:right w:w="108" w:type="dxa"/>
          </w:tblCellMar>
        </w:tblPrEx>
        <w:trPr>
          <w:trHeight w:val="290" w:hRule="atLeast"/>
        </w:trPr>
        <w:tc>
          <w:tcPr>
            <w:tcW w:w="714" w:type="pct"/>
            <w:vMerge w:val="continue"/>
            <w:tcBorders>
              <w:top w:val="single" w:color="auto" w:sz="8" w:space="0"/>
              <w:left w:val="nil"/>
              <w:bottom w:val="single" w:color="000000" w:sz="8" w:space="0"/>
              <w:right w:val="single" w:color="auto" w:sz="8" w:space="0"/>
            </w:tcBorders>
            <w:vAlign w:val="center"/>
          </w:tcPr>
          <w:p w14:paraId="1081989F">
            <w:pPr>
              <w:widowControl/>
              <w:spacing w:line="240" w:lineRule="auto"/>
              <w:ind w:firstLine="0" w:firstLineChars="0"/>
              <w:jc w:val="left"/>
              <w:rPr>
                <w:rFonts w:hint="eastAsia" w:ascii="宋体" w:hAnsi="宋体" w:cs="宋体"/>
                <w:b/>
                <w:bCs/>
                <w:color w:val="000000"/>
                <w:kern w:val="0"/>
                <w:sz w:val="21"/>
                <w:szCs w:val="21"/>
              </w:rPr>
            </w:pPr>
          </w:p>
        </w:tc>
        <w:tc>
          <w:tcPr>
            <w:tcW w:w="714" w:type="pct"/>
            <w:vMerge w:val="continue"/>
            <w:tcBorders>
              <w:top w:val="single" w:color="auto" w:sz="8" w:space="0"/>
              <w:left w:val="single" w:color="auto" w:sz="8" w:space="0"/>
              <w:bottom w:val="single" w:color="000000" w:sz="8" w:space="0"/>
              <w:right w:val="single" w:color="auto" w:sz="8" w:space="0"/>
            </w:tcBorders>
            <w:vAlign w:val="center"/>
          </w:tcPr>
          <w:p w14:paraId="56C8CD06">
            <w:pPr>
              <w:widowControl/>
              <w:spacing w:line="240" w:lineRule="auto"/>
              <w:ind w:firstLine="0" w:firstLineChars="0"/>
              <w:jc w:val="left"/>
              <w:rPr>
                <w:rFonts w:hint="eastAsia" w:ascii="宋体" w:hAnsi="宋体" w:cs="宋体"/>
                <w:b/>
                <w:bCs/>
                <w:color w:val="000000"/>
                <w:kern w:val="0"/>
                <w:sz w:val="21"/>
                <w:szCs w:val="21"/>
              </w:rPr>
            </w:pPr>
          </w:p>
        </w:tc>
        <w:tc>
          <w:tcPr>
            <w:tcW w:w="714" w:type="pct"/>
            <w:vMerge w:val="continue"/>
            <w:tcBorders>
              <w:top w:val="single" w:color="auto" w:sz="8" w:space="0"/>
              <w:left w:val="single" w:color="auto" w:sz="8" w:space="0"/>
              <w:bottom w:val="single" w:color="000000" w:sz="8" w:space="0"/>
              <w:right w:val="single" w:color="auto" w:sz="8" w:space="0"/>
            </w:tcBorders>
            <w:vAlign w:val="center"/>
          </w:tcPr>
          <w:p w14:paraId="706E4109">
            <w:pPr>
              <w:widowControl/>
              <w:spacing w:line="240" w:lineRule="auto"/>
              <w:ind w:firstLine="0" w:firstLineChars="0"/>
              <w:jc w:val="left"/>
              <w:rPr>
                <w:rFonts w:eastAsia="等线" w:cs="Times New Roman"/>
                <w:b/>
                <w:bCs/>
                <w:color w:val="000000"/>
                <w:kern w:val="0"/>
                <w:sz w:val="21"/>
                <w:szCs w:val="21"/>
              </w:rPr>
            </w:pPr>
          </w:p>
        </w:tc>
        <w:tc>
          <w:tcPr>
            <w:tcW w:w="714" w:type="pct"/>
            <w:tcBorders>
              <w:top w:val="nil"/>
              <w:left w:val="nil"/>
              <w:bottom w:val="single" w:color="auto" w:sz="8" w:space="0"/>
              <w:right w:val="single" w:color="auto" w:sz="8" w:space="0"/>
            </w:tcBorders>
            <w:shd w:val="clear" w:color="auto" w:fill="auto"/>
            <w:vAlign w:val="center"/>
          </w:tcPr>
          <w:p w14:paraId="50C1D8A6">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(0m-0.2m)</w:t>
            </w:r>
          </w:p>
        </w:tc>
        <w:tc>
          <w:tcPr>
            <w:tcW w:w="714" w:type="pct"/>
            <w:tcBorders>
              <w:top w:val="nil"/>
              <w:left w:val="nil"/>
              <w:bottom w:val="single" w:color="auto" w:sz="8" w:space="0"/>
              <w:right w:val="single" w:color="auto" w:sz="8" w:space="0"/>
            </w:tcBorders>
            <w:shd w:val="clear" w:color="auto" w:fill="auto"/>
            <w:vAlign w:val="center"/>
          </w:tcPr>
          <w:p w14:paraId="37A1452D">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(0m-0.2m)</w:t>
            </w:r>
          </w:p>
        </w:tc>
        <w:tc>
          <w:tcPr>
            <w:tcW w:w="714" w:type="pct"/>
            <w:tcBorders>
              <w:top w:val="nil"/>
              <w:left w:val="nil"/>
              <w:bottom w:val="single" w:color="auto" w:sz="8" w:space="0"/>
              <w:right w:val="single" w:color="auto" w:sz="8" w:space="0"/>
            </w:tcBorders>
            <w:shd w:val="clear" w:color="auto" w:fill="auto"/>
            <w:vAlign w:val="center"/>
          </w:tcPr>
          <w:p w14:paraId="40E7A644">
            <w:pPr>
              <w:widowControl/>
              <w:spacing w:line="240" w:lineRule="auto"/>
              <w:ind w:firstLine="0" w:firstLineChars="0"/>
              <w:jc w:val="left"/>
              <w:rPr>
                <w:rFonts w:hint="eastAsia" w:ascii="等线" w:hAnsi="等线" w:eastAsia="等线" w:cs="宋体"/>
                <w:color w:val="000000"/>
                <w:kern w:val="0"/>
                <w:sz w:val="22"/>
              </w:rPr>
            </w:pPr>
            <w:r>
              <w:rPr>
                <w:rFonts w:hint="eastAsia" w:ascii="等线" w:hAnsi="等线" w:eastAsia="等线" w:cs="宋体"/>
                <w:color w:val="000000"/>
                <w:kern w:val="0"/>
                <w:sz w:val="22"/>
              </w:rPr>
              <w:t>　</w:t>
            </w:r>
          </w:p>
        </w:tc>
        <w:tc>
          <w:tcPr>
            <w:tcW w:w="714" w:type="pct"/>
            <w:tcBorders>
              <w:top w:val="nil"/>
              <w:left w:val="nil"/>
              <w:bottom w:val="single" w:color="auto" w:sz="8" w:space="0"/>
              <w:right w:val="nil"/>
            </w:tcBorders>
            <w:shd w:val="clear" w:color="auto" w:fill="auto"/>
            <w:vAlign w:val="center"/>
          </w:tcPr>
          <w:p w14:paraId="11E24D28">
            <w:pPr>
              <w:widowControl/>
              <w:spacing w:line="240" w:lineRule="auto"/>
              <w:ind w:firstLine="0" w:firstLineChars="0"/>
              <w:jc w:val="left"/>
              <w:rPr>
                <w:rFonts w:hint="eastAsia" w:ascii="等线" w:hAnsi="等线" w:eastAsia="等线" w:cs="宋体"/>
                <w:color w:val="000000"/>
                <w:kern w:val="0"/>
                <w:sz w:val="22"/>
              </w:rPr>
            </w:pPr>
            <w:r>
              <w:rPr>
                <w:rFonts w:hint="eastAsia" w:ascii="等线" w:hAnsi="等线" w:eastAsia="等线" w:cs="宋体"/>
                <w:color w:val="000000"/>
                <w:kern w:val="0"/>
                <w:sz w:val="22"/>
              </w:rPr>
              <w:t>　</w:t>
            </w:r>
          </w:p>
        </w:tc>
      </w:tr>
      <w:tr w14:paraId="0E06EF7F">
        <w:tblPrEx>
          <w:tblCellMar>
            <w:top w:w="0" w:type="dxa"/>
            <w:left w:w="108" w:type="dxa"/>
            <w:bottom w:w="0" w:type="dxa"/>
            <w:right w:w="108" w:type="dxa"/>
          </w:tblCellMar>
        </w:tblPrEx>
        <w:trPr>
          <w:trHeight w:val="290" w:hRule="atLeast"/>
        </w:trPr>
        <w:tc>
          <w:tcPr>
            <w:tcW w:w="5000" w:type="pct"/>
            <w:gridSpan w:val="7"/>
            <w:tcBorders>
              <w:top w:val="single" w:color="auto" w:sz="8" w:space="0"/>
              <w:left w:val="nil"/>
              <w:bottom w:val="single" w:color="auto" w:sz="8" w:space="0"/>
              <w:right w:val="nil"/>
            </w:tcBorders>
            <w:shd w:val="clear" w:color="auto" w:fill="auto"/>
            <w:vAlign w:val="center"/>
          </w:tcPr>
          <w:p w14:paraId="48D0D1A1">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重金属元素（单位：</w:t>
            </w:r>
            <w:r>
              <w:rPr>
                <w:rFonts w:cs="Times New Roman"/>
                <w:color w:val="000000"/>
                <w:kern w:val="0"/>
                <w:sz w:val="21"/>
                <w:szCs w:val="21"/>
              </w:rPr>
              <w:t>mg/kg</w:t>
            </w:r>
            <w:r>
              <w:rPr>
                <w:rFonts w:hint="eastAsia" w:ascii="宋体" w:hAnsi="宋体" w:cs="宋体"/>
                <w:color w:val="000000"/>
                <w:kern w:val="0"/>
                <w:sz w:val="21"/>
                <w:szCs w:val="21"/>
              </w:rPr>
              <w:t>）</w:t>
            </w:r>
          </w:p>
        </w:tc>
      </w:tr>
      <w:tr w14:paraId="49C3F4A6">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3B1EA51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w:t>
            </w:r>
          </w:p>
        </w:tc>
        <w:tc>
          <w:tcPr>
            <w:tcW w:w="714" w:type="pct"/>
            <w:tcBorders>
              <w:top w:val="nil"/>
              <w:left w:val="nil"/>
              <w:bottom w:val="single" w:color="auto" w:sz="8" w:space="0"/>
              <w:right w:val="single" w:color="auto" w:sz="8" w:space="0"/>
            </w:tcBorders>
            <w:shd w:val="clear" w:color="auto" w:fill="auto"/>
            <w:vAlign w:val="center"/>
          </w:tcPr>
          <w:p w14:paraId="21B047E9">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砷</w:t>
            </w:r>
          </w:p>
        </w:tc>
        <w:tc>
          <w:tcPr>
            <w:tcW w:w="714" w:type="pct"/>
            <w:tcBorders>
              <w:top w:val="nil"/>
              <w:left w:val="nil"/>
              <w:bottom w:val="single" w:color="auto" w:sz="8" w:space="0"/>
              <w:right w:val="single" w:color="auto" w:sz="8" w:space="0"/>
            </w:tcBorders>
            <w:shd w:val="clear" w:color="auto" w:fill="auto"/>
            <w:vAlign w:val="center"/>
          </w:tcPr>
          <w:p w14:paraId="02C3865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7440-38-2</w:t>
            </w:r>
          </w:p>
        </w:tc>
        <w:tc>
          <w:tcPr>
            <w:tcW w:w="714" w:type="pct"/>
            <w:tcBorders>
              <w:top w:val="nil"/>
              <w:left w:val="nil"/>
              <w:bottom w:val="single" w:color="auto" w:sz="8" w:space="0"/>
              <w:right w:val="single" w:color="auto" w:sz="8" w:space="0"/>
            </w:tcBorders>
            <w:shd w:val="clear" w:color="auto" w:fill="auto"/>
            <w:vAlign w:val="center"/>
          </w:tcPr>
          <w:p w14:paraId="2205A98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8.3</w:t>
            </w:r>
          </w:p>
        </w:tc>
        <w:tc>
          <w:tcPr>
            <w:tcW w:w="714" w:type="pct"/>
            <w:tcBorders>
              <w:top w:val="nil"/>
              <w:left w:val="nil"/>
              <w:bottom w:val="single" w:color="auto" w:sz="8" w:space="0"/>
              <w:right w:val="single" w:color="auto" w:sz="8" w:space="0"/>
            </w:tcBorders>
            <w:shd w:val="clear" w:color="auto" w:fill="auto"/>
            <w:vAlign w:val="center"/>
          </w:tcPr>
          <w:p w14:paraId="4E444A9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10.2</w:t>
            </w:r>
          </w:p>
        </w:tc>
        <w:tc>
          <w:tcPr>
            <w:tcW w:w="714" w:type="pct"/>
            <w:tcBorders>
              <w:top w:val="nil"/>
              <w:left w:val="nil"/>
              <w:bottom w:val="single" w:color="auto" w:sz="8" w:space="0"/>
              <w:right w:val="single" w:color="auto" w:sz="8" w:space="0"/>
            </w:tcBorders>
            <w:shd w:val="clear" w:color="auto" w:fill="auto"/>
            <w:vAlign w:val="center"/>
          </w:tcPr>
          <w:p w14:paraId="2CEDC74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60</w:t>
            </w:r>
            <w:r>
              <w:rPr>
                <w:rFonts w:hint="eastAsia" w:ascii="宋体" w:hAnsi="宋体" w:cs="Times New Roman"/>
                <w:color w:val="000000"/>
                <w:kern w:val="0"/>
                <w:sz w:val="21"/>
                <w:szCs w:val="21"/>
              </w:rPr>
              <w:t>①</w:t>
            </w:r>
          </w:p>
        </w:tc>
        <w:tc>
          <w:tcPr>
            <w:tcW w:w="714" w:type="pct"/>
            <w:tcBorders>
              <w:top w:val="nil"/>
              <w:left w:val="nil"/>
              <w:bottom w:val="single" w:color="auto" w:sz="8" w:space="0"/>
              <w:right w:val="nil"/>
            </w:tcBorders>
            <w:shd w:val="clear" w:color="auto" w:fill="auto"/>
            <w:vAlign w:val="center"/>
          </w:tcPr>
          <w:p w14:paraId="39032C3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46874281">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7D8D66C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p>
        </w:tc>
        <w:tc>
          <w:tcPr>
            <w:tcW w:w="714" w:type="pct"/>
            <w:tcBorders>
              <w:top w:val="nil"/>
              <w:left w:val="nil"/>
              <w:bottom w:val="single" w:color="auto" w:sz="8" w:space="0"/>
              <w:right w:val="single" w:color="auto" w:sz="8" w:space="0"/>
            </w:tcBorders>
            <w:shd w:val="clear" w:color="auto" w:fill="auto"/>
            <w:vAlign w:val="center"/>
          </w:tcPr>
          <w:p w14:paraId="34AC143E">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镉</w:t>
            </w:r>
          </w:p>
        </w:tc>
        <w:tc>
          <w:tcPr>
            <w:tcW w:w="714" w:type="pct"/>
            <w:tcBorders>
              <w:top w:val="nil"/>
              <w:left w:val="nil"/>
              <w:bottom w:val="single" w:color="auto" w:sz="8" w:space="0"/>
              <w:right w:val="single" w:color="auto" w:sz="8" w:space="0"/>
            </w:tcBorders>
            <w:shd w:val="clear" w:color="auto" w:fill="auto"/>
            <w:vAlign w:val="center"/>
          </w:tcPr>
          <w:p w14:paraId="48915A6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7440-43-9</w:t>
            </w:r>
          </w:p>
        </w:tc>
        <w:tc>
          <w:tcPr>
            <w:tcW w:w="714" w:type="pct"/>
            <w:tcBorders>
              <w:top w:val="nil"/>
              <w:left w:val="nil"/>
              <w:bottom w:val="single" w:color="auto" w:sz="8" w:space="0"/>
              <w:right w:val="single" w:color="auto" w:sz="8" w:space="0"/>
            </w:tcBorders>
            <w:shd w:val="clear" w:color="auto" w:fill="auto"/>
            <w:vAlign w:val="center"/>
          </w:tcPr>
          <w:p w14:paraId="0B46E18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0.03</w:t>
            </w:r>
          </w:p>
        </w:tc>
        <w:tc>
          <w:tcPr>
            <w:tcW w:w="714" w:type="pct"/>
            <w:tcBorders>
              <w:top w:val="nil"/>
              <w:left w:val="nil"/>
              <w:bottom w:val="single" w:color="auto" w:sz="8" w:space="0"/>
              <w:right w:val="single" w:color="auto" w:sz="8" w:space="0"/>
            </w:tcBorders>
            <w:shd w:val="clear" w:color="auto" w:fill="auto"/>
            <w:vAlign w:val="center"/>
          </w:tcPr>
          <w:p w14:paraId="3946373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0.12</w:t>
            </w:r>
          </w:p>
        </w:tc>
        <w:tc>
          <w:tcPr>
            <w:tcW w:w="714" w:type="pct"/>
            <w:tcBorders>
              <w:top w:val="nil"/>
              <w:left w:val="nil"/>
              <w:bottom w:val="single" w:color="auto" w:sz="8" w:space="0"/>
              <w:right w:val="single" w:color="auto" w:sz="8" w:space="0"/>
            </w:tcBorders>
            <w:shd w:val="clear" w:color="auto" w:fill="auto"/>
            <w:vAlign w:val="center"/>
          </w:tcPr>
          <w:p w14:paraId="55C1A7B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65</w:t>
            </w:r>
          </w:p>
        </w:tc>
        <w:tc>
          <w:tcPr>
            <w:tcW w:w="714" w:type="pct"/>
            <w:tcBorders>
              <w:top w:val="nil"/>
              <w:left w:val="nil"/>
              <w:bottom w:val="single" w:color="auto" w:sz="8" w:space="0"/>
              <w:right w:val="nil"/>
            </w:tcBorders>
            <w:shd w:val="clear" w:color="auto" w:fill="auto"/>
            <w:vAlign w:val="center"/>
          </w:tcPr>
          <w:p w14:paraId="014B72FF">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6B5407CD">
        <w:tblPrEx>
          <w:tblCellMar>
            <w:top w:w="0" w:type="dxa"/>
            <w:left w:w="108" w:type="dxa"/>
            <w:bottom w:w="0" w:type="dxa"/>
            <w:right w:w="108" w:type="dxa"/>
          </w:tblCellMar>
        </w:tblPrEx>
        <w:trPr>
          <w:trHeight w:val="550" w:hRule="atLeast"/>
        </w:trPr>
        <w:tc>
          <w:tcPr>
            <w:tcW w:w="714" w:type="pct"/>
            <w:tcBorders>
              <w:top w:val="nil"/>
              <w:left w:val="nil"/>
              <w:bottom w:val="single" w:color="auto" w:sz="8" w:space="0"/>
              <w:right w:val="single" w:color="auto" w:sz="8" w:space="0"/>
            </w:tcBorders>
            <w:shd w:val="clear" w:color="auto" w:fill="auto"/>
            <w:vAlign w:val="center"/>
          </w:tcPr>
          <w:p w14:paraId="4E0F2C9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w:t>
            </w:r>
          </w:p>
        </w:tc>
        <w:tc>
          <w:tcPr>
            <w:tcW w:w="714" w:type="pct"/>
            <w:tcBorders>
              <w:top w:val="nil"/>
              <w:left w:val="nil"/>
              <w:bottom w:val="single" w:color="auto" w:sz="8" w:space="0"/>
              <w:right w:val="single" w:color="auto" w:sz="8" w:space="0"/>
            </w:tcBorders>
            <w:shd w:val="clear" w:color="auto" w:fill="auto"/>
            <w:vAlign w:val="center"/>
          </w:tcPr>
          <w:p w14:paraId="372ED7CD">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铬（六价）</w:t>
            </w:r>
          </w:p>
        </w:tc>
        <w:tc>
          <w:tcPr>
            <w:tcW w:w="714" w:type="pct"/>
            <w:tcBorders>
              <w:top w:val="nil"/>
              <w:left w:val="nil"/>
              <w:bottom w:val="single" w:color="auto" w:sz="8" w:space="0"/>
              <w:right w:val="single" w:color="auto" w:sz="8" w:space="0"/>
            </w:tcBorders>
            <w:shd w:val="clear" w:color="auto" w:fill="auto"/>
            <w:vAlign w:val="center"/>
          </w:tcPr>
          <w:p w14:paraId="1B19B4B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18540-29-9</w:t>
            </w:r>
          </w:p>
        </w:tc>
        <w:tc>
          <w:tcPr>
            <w:tcW w:w="714" w:type="pct"/>
            <w:tcBorders>
              <w:top w:val="nil"/>
              <w:left w:val="nil"/>
              <w:bottom w:val="single" w:color="auto" w:sz="8" w:space="0"/>
              <w:right w:val="single" w:color="auto" w:sz="8" w:space="0"/>
            </w:tcBorders>
            <w:shd w:val="clear" w:color="auto" w:fill="auto"/>
            <w:vAlign w:val="center"/>
          </w:tcPr>
          <w:p w14:paraId="44373AE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15DCA3D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C87223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5.7</w:t>
            </w:r>
          </w:p>
        </w:tc>
        <w:tc>
          <w:tcPr>
            <w:tcW w:w="714" w:type="pct"/>
            <w:tcBorders>
              <w:top w:val="nil"/>
              <w:left w:val="nil"/>
              <w:bottom w:val="single" w:color="auto" w:sz="8" w:space="0"/>
              <w:right w:val="nil"/>
            </w:tcBorders>
            <w:shd w:val="clear" w:color="auto" w:fill="auto"/>
            <w:vAlign w:val="center"/>
          </w:tcPr>
          <w:p w14:paraId="7739468A">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5FC1EF2F">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11BC446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w:t>
            </w:r>
          </w:p>
        </w:tc>
        <w:tc>
          <w:tcPr>
            <w:tcW w:w="714" w:type="pct"/>
            <w:tcBorders>
              <w:top w:val="nil"/>
              <w:left w:val="nil"/>
              <w:bottom w:val="single" w:color="auto" w:sz="8" w:space="0"/>
              <w:right w:val="single" w:color="auto" w:sz="8" w:space="0"/>
            </w:tcBorders>
            <w:shd w:val="clear" w:color="auto" w:fill="auto"/>
            <w:vAlign w:val="center"/>
          </w:tcPr>
          <w:p w14:paraId="7E99D44C">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铜</w:t>
            </w:r>
          </w:p>
        </w:tc>
        <w:tc>
          <w:tcPr>
            <w:tcW w:w="714" w:type="pct"/>
            <w:tcBorders>
              <w:top w:val="nil"/>
              <w:left w:val="nil"/>
              <w:bottom w:val="single" w:color="auto" w:sz="8" w:space="0"/>
              <w:right w:val="single" w:color="auto" w:sz="8" w:space="0"/>
            </w:tcBorders>
            <w:shd w:val="clear" w:color="auto" w:fill="auto"/>
            <w:vAlign w:val="center"/>
          </w:tcPr>
          <w:p w14:paraId="6E726B7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7440-50-8</w:t>
            </w:r>
          </w:p>
        </w:tc>
        <w:tc>
          <w:tcPr>
            <w:tcW w:w="714" w:type="pct"/>
            <w:tcBorders>
              <w:top w:val="nil"/>
              <w:left w:val="nil"/>
              <w:bottom w:val="single" w:color="auto" w:sz="8" w:space="0"/>
              <w:right w:val="single" w:color="auto" w:sz="8" w:space="0"/>
            </w:tcBorders>
            <w:shd w:val="clear" w:color="auto" w:fill="auto"/>
            <w:vAlign w:val="center"/>
          </w:tcPr>
          <w:p w14:paraId="369241E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14" w:type="pct"/>
            <w:tcBorders>
              <w:top w:val="nil"/>
              <w:left w:val="nil"/>
              <w:bottom w:val="single" w:color="auto" w:sz="8" w:space="0"/>
              <w:right w:val="single" w:color="auto" w:sz="8" w:space="0"/>
            </w:tcBorders>
            <w:shd w:val="clear" w:color="auto" w:fill="auto"/>
            <w:vAlign w:val="center"/>
          </w:tcPr>
          <w:p w14:paraId="23F6E3E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w:t>
            </w:r>
          </w:p>
        </w:tc>
        <w:tc>
          <w:tcPr>
            <w:tcW w:w="714" w:type="pct"/>
            <w:tcBorders>
              <w:top w:val="nil"/>
              <w:left w:val="nil"/>
              <w:bottom w:val="single" w:color="auto" w:sz="8" w:space="0"/>
              <w:right w:val="single" w:color="auto" w:sz="8" w:space="0"/>
            </w:tcBorders>
            <w:shd w:val="clear" w:color="auto" w:fill="auto"/>
            <w:vAlign w:val="center"/>
          </w:tcPr>
          <w:p w14:paraId="5191FC7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18000</w:t>
            </w:r>
          </w:p>
        </w:tc>
        <w:tc>
          <w:tcPr>
            <w:tcW w:w="714" w:type="pct"/>
            <w:tcBorders>
              <w:top w:val="nil"/>
              <w:left w:val="nil"/>
              <w:bottom w:val="single" w:color="auto" w:sz="8" w:space="0"/>
              <w:right w:val="nil"/>
            </w:tcBorders>
            <w:shd w:val="clear" w:color="auto" w:fill="auto"/>
            <w:vAlign w:val="center"/>
          </w:tcPr>
          <w:p w14:paraId="688F627B">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4E04FE88">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2E01CA7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w:t>
            </w:r>
          </w:p>
        </w:tc>
        <w:tc>
          <w:tcPr>
            <w:tcW w:w="714" w:type="pct"/>
            <w:tcBorders>
              <w:top w:val="nil"/>
              <w:left w:val="nil"/>
              <w:bottom w:val="single" w:color="auto" w:sz="8" w:space="0"/>
              <w:right w:val="single" w:color="auto" w:sz="8" w:space="0"/>
            </w:tcBorders>
            <w:shd w:val="clear" w:color="auto" w:fill="auto"/>
            <w:vAlign w:val="center"/>
          </w:tcPr>
          <w:p w14:paraId="15C23D9C">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铅</w:t>
            </w:r>
          </w:p>
        </w:tc>
        <w:tc>
          <w:tcPr>
            <w:tcW w:w="714" w:type="pct"/>
            <w:tcBorders>
              <w:top w:val="nil"/>
              <w:left w:val="nil"/>
              <w:bottom w:val="single" w:color="auto" w:sz="8" w:space="0"/>
              <w:right w:val="single" w:color="auto" w:sz="8" w:space="0"/>
            </w:tcBorders>
            <w:shd w:val="clear" w:color="auto" w:fill="auto"/>
            <w:vAlign w:val="center"/>
          </w:tcPr>
          <w:p w14:paraId="57C24A7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7439-92-1</w:t>
            </w:r>
          </w:p>
        </w:tc>
        <w:tc>
          <w:tcPr>
            <w:tcW w:w="714" w:type="pct"/>
            <w:tcBorders>
              <w:top w:val="nil"/>
              <w:left w:val="nil"/>
              <w:bottom w:val="single" w:color="auto" w:sz="8" w:space="0"/>
              <w:right w:val="single" w:color="auto" w:sz="8" w:space="0"/>
            </w:tcBorders>
            <w:shd w:val="clear" w:color="auto" w:fill="auto"/>
            <w:vAlign w:val="center"/>
          </w:tcPr>
          <w:p w14:paraId="53B0557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14" w:type="pct"/>
            <w:tcBorders>
              <w:top w:val="nil"/>
              <w:left w:val="nil"/>
              <w:bottom w:val="single" w:color="auto" w:sz="8" w:space="0"/>
              <w:right w:val="single" w:color="auto" w:sz="8" w:space="0"/>
            </w:tcBorders>
            <w:shd w:val="clear" w:color="auto" w:fill="auto"/>
            <w:vAlign w:val="center"/>
          </w:tcPr>
          <w:p w14:paraId="2ECB3E4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20.9</w:t>
            </w:r>
          </w:p>
        </w:tc>
        <w:tc>
          <w:tcPr>
            <w:tcW w:w="714" w:type="pct"/>
            <w:tcBorders>
              <w:top w:val="nil"/>
              <w:left w:val="nil"/>
              <w:bottom w:val="single" w:color="auto" w:sz="8" w:space="0"/>
              <w:right w:val="single" w:color="auto" w:sz="8" w:space="0"/>
            </w:tcBorders>
            <w:shd w:val="clear" w:color="auto" w:fill="auto"/>
            <w:vAlign w:val="center"/>
          </w:tcPr>
          <w:p w14:paraId="461FE16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800</w:t>
            </w:r>
          </w:p>
        </w:tc>
        <w:tc>
          <w:tcPr>
            <w:tcW w:w="714" w:type="pct"/>
            <w:tcBorders>
              <w:top w:val="nil"/>
              <w:left w:val="nil"/>
              <w:bottom w:val="single" w:color="auto" w:sz="8" w:space="0"/>
              <w:right w:val="nil"/>
            </w:tcBorders>
            <w:shd w:val="clear" w:color="auto" w:fill="auto"/>
            <w:vAlign w:val="center"/>
          </w:tcPr>
          <w:p w14:paraId="50184467">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5D00BD3C">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30A57C7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w:t>
            </w:r>
          </w:p>
        </w:tc>
        <w:tc>
          <w:tcPr>
            <w:tcW w:w="714" w:type="pct"/>
            <w:tcBorders>
              <w:top w:val="nil"/>
              <w:left w:val="nil"/>
              <w:bottom w:val="single" w:color="auto" w:sz="8" w:space="0"/>
              <w:right w:val="single" w:color="auto" w:sz="8" w:space="0"/>
            </w:tcBorders>
            <w:shd w:val="clear" w:color="auto" w:fill="auto"/>
            <w:vAlign w:val="center"/>
          </w:tcPr>
          <w:p w14:paraId="57A427D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汞</w:t>
            </w:r>
          </w:p>
        </w:tc>
        <w:tc>
          <w:tcPr>
            <w:tcW w:w="714" w:type="pct"/>
            <w:tcBorders>
              <w:top w:val="nil"/>
              <w:left w:val="nil"/>
              <w:bottom w:val="single" w:color="auto" w:sz="8" w:space="0"/>
              <w:right w:val="single" w:color="auto" w:sz="8" w:space="0"/>
            </w:tcBorders>
            <w:shd w:val="clear" w:color="auto" w:fill="auto"/>
            <w:vAlign w:val="center"/>
          </w:tcPr>
          <w:p w14:paraId="4F99115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7439-97-6</w:t>
            </w:r>
          </w:p>
        </w:tc>
        <w:tc>
          <w:tcPr>
            <w:tcW w:w="714" w:type="pct"/>
            <w:tcBorders>
              <w:top w:val="nil"/>
              <w:left w:val="nil"/>
              <w:bottom w:val="single" w:color="auto" w:sz="8" w:space="0"/>
              <w:right w:val="single" w:color="auto" w:sz="8" w:space="0"/>
            </w:tcBorders>
            <w:shd w:val="clear" w:color="auto" w:fill="auto"/>
            <w:vAlign w:val="center"/>
          </w:tcPr>
          <w:p w14:paraId="3E3AECD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0.178</w:t>
            </w:r>
          </w:p>
        </w:tc>
        <w:tc>
          <w:tcPr>
            <w:tcW w:w="714" w:type="pct"/>
            <w:tcBorders>
              <w:top w:val="nil"/>
              <w:left w:val="nil"/>
              <w:bottom w:val="single" w:color="auto" w:sz="8" w:space="0"/>
              <w:right w:val="single" w:color="auto" w:sz="8" w:space="0"/>
            </w:tcBorders>
            <w:shd w:val="clear" w:color="auto" w:fill="auto"/>
            <w:vAlign w:val="center"/>
          </w:tcPr>
          <w:p w14:paraId="759D548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0.151</w:t>
            </w:r>
          </w:p>
        </w:tc>
        <w:tc>
          <w:tcPr>
            <w:tcW w:w="714" w:type="pct"/>
            <w:tcBorders>
              <w:top w:val="nil"/>
              <w:left w:val="nil"/>
              <w:bottom w:val="single" w:color="auto" w:sz="8" w:space="0"/>
              <w:right w:val="single" w:color="auto" w:sz="8" w:space="0"/>
            </w:tcBorders>
            <w:shd w:val="clear" w:color="auto" w:fill="auto"/>
            <w:vAlign w:val="center"/>
          </w:tcPr>
          <w:p w14:paraId="2FC0265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38</w:t>
            </w:r>
          </w:p>
        </w:tc>
        <w:tc>
          <w:tcPr>
            <w:tcW w:w="714" w:type="pct"/>
            <w:tcBorders>
              <w:top w:val="nil"/>
              <w:left w:val="nil"/>
              <w:bottom w:val="single" w:color="auto" w:sz="8" w:space="0"/>
              <w:right w:val="nil"/>
            </w:tcBorders>
            <w:shd w:val="clear" w:color="auto" w:fill="auto"/>
            <w:vAlign w:val="center"/>
          </w:tcPr>
          <w:p w14:paraId="798ACDA9">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4CBA64C9">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006895E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w:t>
            </w:r>
          </w:p>
        </w:tc>
        <w:tc>
          <w:tcPr>
            <w:tcW w:w="714" w:type="pct"/>
            <w:tcBorders>
              <w:top w:val="nil"/>
              <w:left w:val="nil"/>
              <w:bottom w:val="single" w:color="auto" w:sz="8" w:space="0"/>
              <w:right w:val="single" w:color="auto" w:sz="8" w:space="0"/>
            </w:tcBorders>
            <w:shd w:val="clear" w:color="auto" w:fill="auto"/>
            <w:vAlign w:val="center"/>
          </w:tcPr>
          <w:p w14:paraId="474C1A28">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镍</w:t>
            </w:r>
          </w:p>
        </w:tc>
        <w:tc>
          <w:tcPr>
            <w:tcW w:w="714" w:type="pct"/>
            <w:tcBorders>
              <w:top w:val="nil"/>
              <w:left w:val="nil"/>
              <w:bottom w:val="single" w:color="auto" w:sz="8" w:space="0"/>
              <w:right w:val="single" w:color="auto" w:sz="8" w:space="0"/>
            </w:tcBorders>
            <w:shd w:val="clear" w:color="auto" w:fill="auto"/>
            <w:vAlign w:val="center"/>
          </w:tcPr>
          <w:p w14:paraId="4D945CC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7440-02-0</w:t>
            </w:r>
          </w:p>
        </w:tc>
        <w:tc>
          <w:tcPr>
            <w:tcW w:w="714" w:type="pct"/>
            <w:tcBorders>
              <w:top w:val="nil"/>
              <w:left w:val="nil"/>
              <w:bottom w:val="single" w:color="auto" w:sz="8" w:space="0"/>
              <w:right w:val="single" w:color="auto" w:sz="8" w:space="0"/>
            </w:tcBorders>
            <w:shd w:val="clear" w:color="auto" w:fill="auto"/>
            <w:vAlign w:val="center"/>
          </w:tcPr>
          <w:p w14:paraId="4FB91EC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22</w:t>
            </w:r>
          </w:p>
        </w:tc>
        <w:tc>
          <w:tcPr>
            <w:tcW w:w="714" w:type="pct"/>
            <w:tcBorders>
              <w:top w:val="nil"/>
              <w:left w:val="nil"/>
              <w:bottom w:val="single" w:color="auto" w:sz="8" w:space="0"/>
              <w:right w:val="single" w:color="auto" w:sz="8" w:space="0"/>
            </w:tcBorders>
            <w:shd w:val="clear" w:color="auto" w:fill="auto"/>
            <w:vAlign w:val="center"/>
          </w:tcPr>
          <w:p w14:paraId="0BDDBCB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c>
          <w:tcPr>
            <w:tcW w:w="714" w:type="pct"/>
            <w:tcBorders>
              <w:top w:val="nil"/>
              <w:left w:val="nil"/>
              <w:bottom w:val="single" w:color="auto" w:sz="8" w:space="0"/>
              <w:right w:val="single" w:color="auto" w:sz="8" w:space="0"/>
            </w:tcBorders>
            <w:shd w:val="clear" w:color="auto" w:fill="auto"/>
            <w:vAlign w:val="center"/>
          </w:tcPr>
          <w:p w14:paraId="549E645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900</w:t>
            </w:r>
          </w:p>
        </w:tc>
        <w:tc>
          <w:tcPr>
            <w:tcW w:w="714" w:type="pct"/>
            <w:tcBorders>
              <w:top w:val="nil"/>
              <w:left w:val="nil"/>
              <w:bottom w:val="single" w:color="auto" w:sz="8" w:space="0"/>
              <w:right w:val="nil"/>
            </w:tcBorders>
            <w:shd w:val="clear" w:color="auto" w:fill="auto"/>
            <w:vAlign w:val="center"/>
          </w:tcPr>
          <w:p w14:paraId="5B7C5AF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512DE0F0">
        <w:tblPrEx>
          <w:tblCellMar>
            <w:top w:w="0" w:type="dxa"/>
            <w:left w:w="108" w:type="dxa"/>
            <w:bottom w:w="0" w:type="dxa"/>
            <w:right w:w="108" w:type="dxa"/>
          </w:tblCellMar>
        </w:tblPrEx>
        <w:trPr>
          <w:trHeight w:val="290" w:hRule="atLeast"/>
        </w:trPr>
        <w:tc>
          <w:tcPr>
            <w:tcW w:w="5000" w:type="pct"/>
            <w:gridSpan w:val="7"/>
            <w:tcBorders>
              <w:top w:val="single" w:color="auto" w:sz="8" w:space="0"/>
              <w:left w:val="nil"/>
              <w:bottom w:val="single" w:color="auto" w:sz="8" w:space="0"/>
              <w:right w:val="nil"/>
            </w:tcBorders>
            <w:shd w:val="clear" w:color="auto" w:fill="auto"/>
            <w:vAlign w:val="center"/>
          </w:tcPr>
          <w:p w14:paraId="25B94F8F">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挥发性有机物（单位：</w:t>
            </w:r>
            <w:r>
              <w:rPr>
                <w:rFonts w:cs="Times New Roman"/>
                <w:color w:val="000000"/>
                <w:kern w:val="0"/>
                <w:sz w:val="21"/>
                <w:szCs w:val="21"/>
              </w:rPr>
              <w:t>mg/kg</w:t>
            </w:r>
            <w:r>
              <w:rPr>
                <w:rFonts w:hint="eastAsia" w:ascii="宋体" w:hAnsi="宋体" w:cs="宋体"/>
                <w:color w:val="000000"/>
                <w:kern w:val="0"/>
                <w:sz w:val="21"/>
                <w:szCs w:val="21"/>
              </w:rPr>
              <w:t>）</w:t>
            </w:r>
          </w:p>
        </w:tc>
      </w:tr>
      <w:tr w14:paraId="1F3BF474">
        <w:tblPrEx>
          <w:tblCellMar>
            <w:top w:w="0" w:type="dxa"/>
            <w:left w:w="108" w:type="dxa"/>
            <w:bottom w:w="0" w:type="dxa"/>
            <w:right w:w="108" w:type="dxa"/>
          </w:tblCellMar>
        </w:tblPrEx>
        <w:trPr>
          <w:trHeight w:val="330" w:hRule="atLeast"/>
        </w:trPr>
        <w:tc>
          <w:tcPr>
            <w:tcW w:w="714" w:type="pct"/>
            <w:tcBorders>
              <w:top w:val="nil"/>
              <w:left w:val="nil"/>
              <w:bottom w:val="single" w:color="auto" w:sz="8" w:space="0"/>
              <w:right w:val="single" w:color="auto" w:sz="8" w:space="0"/>
            </w:tcBorders>
            <w:shd w:val="clear" w:color="auto" w:fill="auto"/>
            <w:vAlign w:val="center"/>
          </w:tcPr>
          <w:p w14:paraId="681B35A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8</w:t>
            </w:r>
          </w:p>
        </w:tc>
        <w:tc>
          <w:tcPr>
            <w:tcW w:w="714" w:type="pct"/>
            <w:tcBorders>
              <w:top w:val="nil"/>
              <w:left w:val="nil"/>
              <w:bottom w:val="single" w:color="auto" w:sz="8" w:space="0"/>
              <w:right w:val="single" w:color="auto" w:sz="8" w:space="0"/>
            </w:tcBorders>
            <w:shd w:val="clear" w:color="auto" w:fill="auto"/>
            <w:vAlign w:val="center"/>
          </w:tcPr>
          <w:p w14:paraId="76E6E332">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四氯化碳</w:t>
            </w:r>
          </w:p>
        </w:tc>
        <w:tc>
          <w:tcPr>
            <w:tcW w:w="714" w:type="pct"/>
            <w:tcBorders>
              <w:top w:val="nil"/>
              <w:left w:val="nil"/>
              <w:bottom w:val="single" w:color="auto" w:sz="8" w:space="0"/>
              <w:right w:val="single" w:color="auto" w:sz="8" w:space="0"/>
            </w:tcBorders>
            <w:shd w:val="clear" w:color="auto" w:fill="auto"/>
            <w:vAlign w:val="center"/>
          </w:tcPr>
          <w:p w14:paraId="12A6DB9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56-23-5</w:t>
            </w:r>
          </w:p>
        </w:tc>
        <w:tc>
          <w:tcPr>
            <w:tcW w:w="714" w:type="pct"/>
            <w:tcBorders>
              <w:top w:val="nil"/>
              <w:left w:val="nil"/>
              <w:bottom w:val="single" w:color="auto" w:sz="8" w:space="0"/>
              <w:right w:val="single" w:color="auto" w:sz="8" w:space="0"/>
            </w:tcBorders>
            <w:shd w:val="clear" w:color="auto" w:fill="auto"/>
            <w:vAlign w:val="center"/>
          </w:tcPr>
          <w:p w14:paraId="2643156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6982F2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4.2×10</w:t>
            </w:r>
            <w:r>
              <w:rPr>
                <w:rFonts w:eastAsia="等线" w:cs="Times New Roman"/>
                <w:color w:val="000000"/>
                <w:kern w:val="0"/>
                <w:sz w:val="21"/>
                <w:szCs w:val="21"/>
                <w:vertAlign w:val="superscript"/>
              </w:rPr>
              <w:t>-3</w:t>
            </w:r>
          </w:p>
        </w:tc>
        <w:tc>
          <w:tcPr>
            <w:tcW w:w="714" w:type="pct"/>
            <w:tcBorders>
              <w:top w:val="nil"/>
              <w:left w:val="nil"/>
              <w:bottom w:val="single" w:color="auto" w:sz="8" w:space="0"/>
              <w:right w:val="single" w:color="auto" w:sz="8" w:space="0"/>
            </w:tcBorders>
            <w:shd w:val="clear" w:color="auto" w:fill="auto"/>
            <w:vAlign w:val="center"/>
          </w:tcPr>
          <w:p w14:paraId="47561A9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2.8</w:t>
            </w:r>
          </w:p>
        </w:tc>
        <w:tc>
          <w:tcPr>
            <w:tcW w:w="714" w:type="pct"/>
            <w:tcBorders>
              <w:top w:val="nil"/>
              <w:left w:val="nil"/>
              <w:bottom w:val="single" w:color="auto" w:sz="8" w:space="0"/>
              <w:right w:val="nil"/>
            </w:tcBorders>
            <w:shd w:val="clear" w:color="auto" w:fill="auto"/>
            <w:vAlign w:val="center"/>
          </w:tcPr>
          <w:p w14:paraId="4D465BC8">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72ECD825">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5A1DD61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w:t>
            </w:r>
          </w:p>
        </w:tc>
        <w:tc>
          <w:tcPr>
            <w:tcW w:w="714" w:type="pct"/>
            <w:tcBorders>
              <w:top w:val="nil"/>
              <w:left w:val="nil"/>
              <w:bottom w:val="single" w:color="auto" w:sz="8" w:space="0"/>
              <w:right w:val="single" w:color="auto" w:sz="8" w:space="0"/>
            </w:tcBorders>
            <w:shd w:val="clear" w:color="auto" w:fill="auto"/>
            <w:vAlign w:val="center"/>
          </w:tcPr>
          <w:p w14:paraId="45AB02ED">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氯仿</w:t>
            </w:r>
          </w:p>
        </w:tc>
        <w:tc>
          <w:tcPr>
            <w:tcW w:w="714" w:type="pct"/>
            <w:tcBorders>
              <w:top w:val="nil"/>
              <w:left w:val="nil"/>
              <w:bottom w:val="single" w:color="auto" w:sz="8" w:space="0"/>
              <w:right w:val="single" w:color="auto" w:sz="8" w:space="0"/>
            </w:tcBorders>
            <w:shd w:val="clear" w:color="auto" w:fill="auto"/>
            <w:vAlign w:val="center"/>
          </w:tcPr>
          <w:p w14:paraId="4C9C1E6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67-66-3</w:t>
            </w:r>
          </w:p>
        </w:tc>
        <w:tc>
          <w:tcPr>
            <w:tcW w:w="714" w:type="pct"/>
            <w:tcBorders>
              <w:top w:val="nil"/>
              <w:left w:val="nil"/>
              <w:bottom w:val="single" w:color="auto" w:sz="8" w:space="0"/>
              <w:right w:val="single" w:color="auto" w:sz="8" w:space="0"/>
            </w:tcBorders>
            <w:shd w:val="clear" w:color="auto" w:fill="auto"/>
            <w:vAlign w:val="center"/>
          </w:tcPr>
          <w:p w14:paraId="1C4658B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51C71AE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5E6024B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0.9</w:t>
            </w:r>
          </w:p>
        </w:tc>
        <w:tc>
          <w:tcPr>
            <w:tcW w:w="714" w:type="pct"/>
            <w:tcBorders>
              <w:top w:val="nil"/>
              <w:left w:val="nil"/>
              <w:bottom w:val="single" w:color="auto" w:sz="8" w:space="0"/>
              <w:right w:val="nil"/>
            </w:tcBorders>
            <w:shd w:val="clear" w:color="auto" w:fill="auto"/>
            <w:vAlign w:val="center"/>
          </w:tcPr>
          <w:p w14:paraId="296DC35F">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0D82AEEB">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032CEBF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w:t>
            </w:r>
          </w:p>
        </w:tc>
        <w:tc>
          <w:tcPr>
            <w:tcW w:w="714" w:type="pct"/>
            <w:tcBorders>
              <w:top w:val="nil"/>
              <w:left w:val="nil"/>
              <w:bottom w:val="single" w:color="auto" w:sz="8" w:space="0"/>
              <w:right w:val="single" w:color="auto" w:sz="8" w:space="0"/>
            </w:tcBorders>
            <w:shd w:val="clear" w:color="auto" w:fill="auto"/>
            <w:vAlign w:val="center"/>
          </w:tcPr>
          <w:p w14:paraId="6D654B8D">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氯甲烷</w:t>
            </w:r>
          </w:p>
        </w:tc>
        <w:tc>
          <w:tcPr>
            <w:tcW w:w="714" w:type="pct"/>
            <w:tcBorders>
              <w:top w:val="nil"/>
              <w:left w:val="nil"/>
              <w:bottom w:val="single" w:color="auto" w:sz="8" w:space="0"/>
              <w:right w:val="single" w:color="auto" w:sz="8" w:space="0"/>
            </w:tcBorders>
            <w:shd w:val="clear" w:color="auto" w:fill="auto"/>
            <w:vAlign w:val="center"/>
          </w:tcPr>
          <w:p w14:paraId="621064D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74-87-3</w:t>
            </w:r>
          </w:p>
        </w:tc>
        <w:tc>
          <w:tcPr>
            <w:tcW w:w="714" w:type="pct"/>
            <w:tcBorders>
              <w:top w:val="nil"/>
              <w:left w:val="nil"/>
              <w:bottom w:val="single" w:color="auto" w:sz="8" w:space="0"/>
              <w:right w:val="single" w:color="auto" w:sz="8" w:space="0"/>
            </w:tcBorders>
            <w:shd w:val="clear" w:color="auto" w:fill="auto"/>
            <w:vAlign w:val="center"/>
          </w:tcPr>
          <w:p w14:paraId="29F9B6B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BE37B2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10F9280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37</w:t>
            </w:r>
          </w:p>
        </w:tc>
        <w:tc>
          <w:tcPr>
            <w:tcW w:w="714" w:type="pct"/>
            <w:tcBorders>
              <w:top w:val="nil"/>
              <w:left w:val="nil"/>
              <w:bottom w:val="single" w:color="auto" w:sz="8" w:space="0"/>
              <w:right w:val="nil"/>
            </w:tcBorders>
            <w:shd w:val="clear" w:color="auto" w:fill="auto"/>
            <w:vAlign w:val="center"/>
          </w:tcPr>
          <w:p w14:paraId="418103FC">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765F3771">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697D351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11</w:t>
            </w:r>
          </w:p>
        </w:tc>
        <w:tc>
          <w:tcPr>
            <w:tcW w:w="714" w:type="pct"/>
            <w:tcBorders>
              <w:top w:val="nil"/>
              <w:left w:val="nil"/>
              <w:bottom w:val="single" w:color="auto" w:sz="8" w:space="0"/>
              <w:right w:val="single" w:color="auto" w:sz="8" w:space="0"/>
            </w:tcBorders>
            <w:shd w:val="clear" w:color="auto" w:fill="auto"/>
            <w:vAlign w:val="center"/>
          </w:tcPr>
          <w:p w14:paraId="036A139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1,1-</w:t>
            </w:r>
            <w:r>
              <w:rPr>
                <w:rFonts w:hint="eastAsia" w:ascii="宋体" w:hAnsi="宋体" w:cs="Times New Roman"/>
                <w:color w:val="000000"/>
                <w:kern w:val="0"/>
                <w:sz w:val="21"/>
                <w:szCs w:val="21"/>
              </w:rPr>
              <w:t>二氯乙烷</w:t>
            </w:r>
          </w:p>
        </w:tc>
        <w:tc>
          <w:tcPr>
            <w:tcW w:w="714" w:type="pct"/>
            <w:tcBorders>
              <w:top w:val="nil"/>
              <w:left w:val="nil"/>
              <w:bottom w:val="single" w:color="auto" w:sz="8" w:space="0"/>
              <w:right w:val="single" w:color="auto" w:sz="8" w:space="0"/>
            </w:tcBorders>
            <w:shd w:val="clear" w:color="auto" w:fill="auto"/>
            <w:vAlign w:val="center"/>
          </w:tcPr>
          <w:p w14:paraId="177E3AB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75-34-3</w:t>
            </w:r>
          </w:p>
        </w:tc>
        <w:tc>
          <w:tcPr>
            <w:tcW w:w="714" w:type="pct"/>
            <w:tcBorders>
              <w:top w:val="nil"/>
              <w:left w:val="nil"/>
              <w:bottom w:val="single" w:color="auto" w:sz="8" w:space="0"/>
              <w:right w:val="single" w:color="auto" w:sz="8" w:space="0"/>
            </w:tcBorders>
            <w:shd w:val="clear" w:color="auto" w:fill="auto"/>
            <w:vAlign w:val="center"/>
          </w:tcPr>
          <w:p w14:paraId="609FFE9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4F6947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32AB4AA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w:t>
            </w:r>
          </w:p>
        </w:tc>
        <w:tc>
          <w:tcPr>
            <w:tcW w:w="714" w:type="pct"/>
            <w:tcBorders>
              <w:top w:val="nil"/>
              <w:left w:val="nil"/>
              <w:bottom w:val="single" w:color="auto" w:sz="8" w:space="0"/>
              <w:right w:val="nil"/>
            </w:tcBorders>
            <w:shd w:val="clear" w:color="auto" w:fill="auto"/>
            <w:vAlign w:val="center"/>
          </w:tcPr>
          <w:p w14:paraId="705B3723">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3DB9F3E4">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3DDEE27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w:t>
            </w:r>
          </w:p>
        </w:tc>
        <w:tc>
          <w:tcPr>
            <w:tcW w:w="714" w:type="pct"/>
            <w:tcBorders>
              <w:top w:val="nil"/>
              <w:left w:val="nil"/>
              <w:bottom w:val="single" w:color="auto" w:sz="8" w:space="0"/>
              <w:right w:val="single" w:color="auto" w:sz="8" w:space="0"/>
            </w:tcBorders>
            <w:shd w:val="clear" w:color="auto" w:fill="auto"/>
            <w:vAlign w:val="center"/>
          </w:tcPr>
          <w:p w14:paraId="2AA29ED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w:t>
            </w:r>
            <w:r>
              <w:rPr>
                <w:rFonts w:hint="eastAsia" w:ascii="宋体" w:hAnsi="宋体" w:cs="Times New Roman"/>
                <w:color w:val="000000"/>
                <w:kern w:val="0"/>
                <w:sz w:val="21"/>
                <w:szCs w:val="21"/>
              </w:rPr>
              <w:t>二氯乙烷</w:t>
            </w:r>
          </w:p>
        </w:tc>
        <w:tc>
          <w:tcPr>
            <w:tcW w:w="714" w:type="pct"/>
            <w:tcBorders>
              <w:top w:val="nil"/>
              <w:left w:val="nil"/>
              <w:bottom w:val="single" w:color="auto" w:sz="8" w:space="0"/>
              <w:right w:val="single" w:color="auto" w:sz="8" w:space="0"/>
            </w:tcBorders>
            <w:shd w:val="clear" w:color="auto" w:fill="auto"/>
            <w:vAlign w:val="center"/>
          </w:tcPr>
          <w:p w14:paraId="3BB3522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107-06--2</w:t>
            </w:r>
          </w:p>
        </w:tc>
        <w:tc>
          <w:tcPr>
            <w:tcW w:w="714" w:type="pct"/>
            <w:tcBorders>
              <w:top w:val="nil"/>
              <w:left w:val="nil"/>
              <w:bottom w:val="single" w:color="auto" w:sz="8" w:space="0"/>
              <w:right w:val="single" w:color="auto" w:sz="8" w:space="0"/>
            </w:tcBorders>
            <w:shd w:val="clear" w:color="auto" w:fill="auto"/>
            <w:vAlign w:val="center"/>
          </w:tcPr>
          <w:p w14:paraId="69636BA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626869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F06384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w:t>
            </w:r>
          </w:p>
        </w:tc>
        <w:tc>
          <w:tcPr>
            <w:tcW w:w="714" w:type="pct"/>
            <w:tcBorders>
              <w:top w:val="nil"/>
              <w:left w:val="nil"/>
              <w:bottom w:val="single" w:color="auto" w:sz="8" w:space="0"/>
              <w:right w:val="nil"/>
            </w:tcBorders>
            <w:shd w:val="clear" w:color="auto" w:fill="auto"/>
            <w:vAlign w:val="center"/>
          </w:tcPr>
          <w:p w14:paraId="1CA9EB70">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4357E50B">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21CE414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w:t>
            </w:r>
          </w:p>
        </w:tc>
        <w:tc>
          <w:tcPr>
            <w:tcW w:w="714" w:type="pct"/>
            <w:tcBorders>
              <w:top w:val="nil"/>
              <w:left w:val="nil"/>
              <w:bottom w:val="single" w:color="auto" w:sz="8" w:space="0"/>
              <w:right w:val="single" w:color="auto" w:sz="8" w:space="0"/>
            </w:tcBorders>
            <w:shd w:val="clear" w:color="auto" w:fill="auto"/>
            <w:vAlign w:val="center"/>
          </w:tcPr>
          <w:p w14:paraId="00AA22C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1,1-</w:t>
            </w:r>
            <w:r>
              <w:rPr>
                <w:rFonts w:hint="eastAsia" w:ascii="宋体" w:hAnsi="宋体" w:cs="Times New Roman"/>
                <w:color w:val="000000"/>
                <w:kern w:val="0"/>
                <w:sz w:val="21"/>
                <w:szCs w:val="21"/>
              </w:rPr>
              <w:t>二氯乙烯</w:t>
            </w:r>
          </w:p>
        </w:tc>
        <w:tc>
          <w:tcPr>
            <w:tcW w:w="714" w:type="pct"/>
            <w:tcBorders>
              <w:top w:val="nil"/>
              <w:left w:val="nil"/>
              <w:bottom w:val="single" w:color="auto" w:sz="8" w:space="0"/>
              <w:right w:val="single" w:color="auto" w:sz="8" w:space="0"/>
            </w:tcBorders>
            <w:shd w:val="clear" w:color="auto" w:fill="auto"/>
            <w:vAlign w:val="center"/>
          </w:tcPr>
          <w:p w14:paraId="1A04B65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75-35-4</w:t>
            </w:r>
          </w:p>
        </w:tc>
        <w:tc>
          <w:tcPr>
            <w:tcW w:w="714" w:type="pct"/>
            <w:tcBorders>
              <w:top w:val="nil"/>
              <w:left w:val="nil"/>
              <w:bottom w:val="single" w:color="auto" w:sz="8" w:space="0"/>
              <w:right w:val="single" w:color="auto" w:sz="8" w:space="0"/>
            </w:tcBorders>
            <w:shd w:val="clear" w:color="auto" w:fill="auto"/>
            <w:vAlign w:val="center"/>
          </w:tcPr>
          <w:p w14:paraId="41D3C1C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3BCFD8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34567E6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66</w:t>
            </w:r>
          </w:p>
        </w:tc>
        <w:tc>
          <w:tcPr>
            <w:tcW w:w="714" w:type="pct"/>
            <w:tcBorders>
              <w:top w:val="nil"/>
              <w:left w:val="nil"/>
              <w:bottom w:val="single" w:color="auto" w:sz="8" w:space="0"/>
              <w:right w:val="nil"/>
            </w:tcBorders>
            <w:shd w:val="clear" w:color="auto" w:fill="auto"/>
            <w:vAlign w:val="center"/>
          </w:tcPr>
          <w:p w14:paraId="753D14E7">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4DF6E8E4">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1DFAAC0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p>
        </w:tc>
        <w:tc>
          <w:tcPr>
            <w:tcW w:w="714" w:type="pct"/>
            <w:tcBorders>
              <w:top w:val="nil"/>
              <w:left w:val="nil"/>
              <w:bottom w:val="single" w:color="auto" w:sz="8" w:space="0"/>
              <w:right w:val="single" w:color="auto" w:sz="8" w:space="0"/>
            </w:tcBorders>
            <w:shd w:val="clear" w:color="auto" w:fill="auto"/>
            <w:vAlign w:val="center"/>
          </w:tcPr>
          <w:p w14:paraId="34A6DBB1">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顺</w:t>
            </w:r>
            <w:r>
              <w:rPr>
                <w:rFonts w:cs="Times New Roman"/>
                <w:color w:val="000000"/>
                <w:kern w:val="0"/>
                <w:sz w:val="21"/>
                <w:szCs w:val="21"/>
              </w:rPr>
              <w:t>-1,2-</w:t>
            </w:r>
            <w:r>
              <w:rPr>
                <w:rFonts w:hint="eastAsia" w:ascii="宋体" w:hAnsi="宋体" w:cs="宋体"/>
                <w:color w:val="000000"/>
                <w:kern w:val="0"/>
                <w:sz w:val="21"/>
                <w:szCs w:val="21"/>
              </w:rPr>
              <w:t>二氯乙烯</w:t>
            </w:r>
          </w:p>
        </w:tc>
        <w:tc>
          <w:tcPr>
            <w:tcW w:w="714" w:type="pct"/>
            <w:tcBorders>
              <w:top w:val="nil"/>
              <w:left w:val="nil"/>
              <w:bottom w:val="single" w:color="auto" w:sz="8" w:space="0"/>
              <w:right w:val="single" w:color="auto" w:sz="8" w:space="0"/>
            </w:tcBorders>
            <w:shd w:val="clear" w:color="auto" w:fill="auto"/>
            <w:vAlign w:val="center"/>
          </w:tcPr>
          <w:p w14:paraId="0046E9E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156-59-2</w:t>
            </w:r>
          </w:p>
        </w:tc>
        <w:tc>
          <w:tcPr>
            <w:tcW w:w="714" w:type="pct"/>
            <w:tcBorders>
              <w:top w:val="nil"/>
              <w:left w:val="nil"/>
              <w:bottom w:val="single" w:color="auto" w:sz="8" w:space="0"/>
              <w:right w:val="single" w:color="auto" w:sz="8" w:space="0"/>
            </w:tcBorders>
            <w:shd w:val="clear" w:color="auto" w:fill="auto"/>
            <w:vAlign w:val="center"/>
          </w:tcPr>
          <w:p w14:paraId="3B87D2C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4AEEFC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632277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596</w:t>
            </w:r>
          </w:p>
        </w:tc>
        <w:tc>
          <w:tcPr>
            <w:tcW w:w="714" w:type="pct"/>
            <w:tcBorders>
              <w:top w:val="nil"/>
              <w:left w:val="nil"/>
              <w:bottom w:val="single" w:color="auto" w:sz="8" w:space="0"/>
              <w:right w:val="nil"/>
            </w:tcBorders>
            <w:shd w:val="clear" w:color="auto" w:fill="auto"/>
            <w:vAlign w:val="center"/>
          </w:tcPr>
          <w:p w14:paraId="6D220A6D">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607FF295">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14513EE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14" w:type="pct"/>
            <w:tcBorders>
              <w:top w:val="nil"/>
              <w:left w:val="nil"/>
              <w:bottom w:val="single" w:color="auto" w:sz="8" w:space="0"/>
              <w:right w:val="single" w:color="auto" w:sz="8" w:space="0"/>
            </w:tcBorders>
            <w:shd w:val="clear" w:color="auto" w:fill="auto"/>
            <w:vAlign w:val="center"/>
          </w:tcPr>
          <w:p w14:paraId="0BE62598">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反</w:t>
            </w:r>
            <w:r>
              <w:rPr>
                <w:rFonts w:cs="Times New Roman"/>
                <w:color w:val="000000"/>
                <w:kern w:val="0"/>
                <w:sz w:val="21"/>
                <w:szCs w:val="21"/>
              </w:rPr>
              <w:t>-1,2-</w:t>
            </w:r>
            <w:r>
              <w:rPr>
                <w:rFonts w:hint="eastAsia" w:ascii="宋体" w:hAnsi="宋体" w:cs="宋体"/>
                <w:color w:val="000000"/>
                <w:kern w:val="0"/>
                <w:sz w:val="21"/>
                <w:szCs w:val="21"/>
              </w:rPr>
              <w:t>二氯乙烯</w:t>
            </w:r>
          </w:p>
        </w:tc>
        <w:tc>
          <w:tcPr>
            <w:tcW w:w="714" w:type="pct"/>
            <w:tcBorders>
              <w:top w:val="nil"/>
              <w:left w:val="nil"/>
              <w:bottom w:val="single" w:color="auto" w:sz="8" w:space="0"/>
              <w:right w:val="single" w:color="auto" w:sz="8" w:space="0"/>
            </w:tcBorders>
            <w:shd w:val="clear" w:color="auto" w:fill="auto"/>
            <w:vAlign w:val="center"/>
          </w:tcPr>
          <w:p w14:paraId="173CE24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156-60-5</w:t>
            </w:r>
          </w:p>
        </w:tc>
        <w:tc>
          <w:tcPr>
            <w:tcW w:w="714" w:type="pct"/>
            <w:tcBorders>
              <w:top w:val="nil"/>
              <w:left w:val="nil"/>
              <w:bottom w:val="single" w:color="auto" w:sz="8" w:space="0"/>
              <w:right w:val="single" w:color="auto" w:sz="8" w:space="0"/>
            </w:tcBorders>
            <w:shd w:val="clear" w:color="auto" w:fill="auto"/>
            <w:vAlign w:val="center"/>
          </w:tcPr>
          <w:p w14:paraId="15C0ADA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1BD1E76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5EA76C8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54</w:t>
            </w:r>
          </w:p>
        </w:tc>
        <w:tc>
          <w:tcPr>
            <w:tcW w:w="714" w:type="pct"/>
            <w:tcBorders>
              <w:top w:val="nil"/>
              <w:left w:val="nil"/>
              <w:bottom w:val="single" w:color="auto" w:sz="8" w:space="0"/>
              <w:right w:val="nil"/>
            </w:tcBorders>
            <w:shd w:val="clear" w:color="auto" w:fill="auto"/>
            <w:vAlign w:val="center"/>
          </w:tcPr>
          <w:p w14:paraId="57FB588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2491A318">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278A192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w:t>
            </w:r>
          </w:p>
        </w:tc>
        <w:tc>
          <w:tcPr>
            <w:tcW w:w="714" w:type="pct"/>
            <w:tcBorders>
              <w:top w:val="nil"/>
              <w:left w:val="nil"/>
              <w:bottom w:val="single" w:color="auto" w:sz="8" w:space="0"/>
              <w:right w:val="single" w:color="auto" w:sz="8" w:space="0"/>
            </w:tcBorders>
            <w:shd w:val="clear" w:color="auto" w:fill="auto"/>
            <w:vAlign w:val="center"/>
          </w:tcPr>
          <w:p w14:paraId="77F454B1">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二氯甲烷</w:t>
            </w:r>
          </w:p>
        </w:tc>
        <w:tc>
          <w:tcPr>
            <w:tcW w:w="714" w:type="pct"/>
            <w:tcBorders>
              <w:top w:val="nil"/>
              <w:left w:val="nil"/>
              <w:bottom w:val="single" w:color="auto" w:sz="8" w:space="0"/>
              <w:right w:val="single" w:color="auto" w:sz="8" w:space="0"/>
            </w:tcBorders>
            <w:shd w:val="clear" w:color="auto" w:fill="auto"/>
            <w:vAlign w:val="center"/>
          </w:tcPr>
          <w:p w14:paraId="736214D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1975/9/2</w:t>
            </w:r>
          </w:p>
        </w:tc>
        <w:tc>
          <w:tcPr>
            <w:tcW w:w="714" w:type="pct"/>
            <w:tcBorders>
              <w:top w:val="nil"/>
              <w:left w:val="nil"/>
              <w:bottom w:val="single" w:color="auto" w:sz="8" w:space="0"/>
              <w:right w:val="single" w:color="auto" w:sz="8" w:space="0"/>
            </w:tcBorders>
            <w:shd w:val="clear" w:color="auto" w:fill="auto"/>
            <w:vAlign w:val="center"/>
          </w:tcPr>
          <w:p w14:paraId="14C676C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0.013</w:t>
            </w:r>
          </w:p>
        </w:tc>
        <w:tc>
          <w:tcPr>
            <w:tcW w:w="714" w:type="pct"/>
            <w:tcBorders>
              <w:top w:val="nil"/>
              <w:left w:val="nil"/>
              <w:bottom w:val="single" w:color="auto" w:sz="8" w:space="0"/>
              <w:right w:val="single" w:color="auto" w:sz="8" w:space="0"/>
            </w:tcBorders>
            <w:shd w:val="clear" w:color="auto" w:fill="auto"/>
            <w:vAlign w:val="center"/>
          </w:tcPr>
          <w:p w14:paraId="1CC6FE0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190BBDD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616</w:t>
            </w:r>
          </w:p>
        </w:tc>
        <w:tc>
          <w:tcPr>
            <w:tcW w:w="714" w:type="pct"/>
            <w:tcBorders>
              <w:top w:val="nil"/>
              <w:left w:val="nil"/>
              <w:bottom w:val="single" w:color="auto" w:sz="8" w:space="0"/>
              <w:right w:val="nil"/>
            </w:tcBorders>
            <w:shd w:val="clear" w:color="auto" w:fill="auto"/>
            <w:vAlign w:val="center"/>
          </w:tcPr>
          <w:p w14:paraId="727F9C07">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451A511A">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022A8E9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17</w:t>
            </w:r>
          </w:p>
        </w:tc>
        <w:tc>
          <w:tcPr>
            <w:tcW w:w="714" w:type="pct"/>
            <w:tcBorders>
              <w:top w:val="nil"/>
              <w:left w:val="nil"/>
              <w:bottom w:val="single" w:color="auto" w:sz="8" w:space="0"/>
              <w:right w:val="single" w:color="auto" w:sz="8" w:space="0"/>
            </w:tcBorders>
            <w:shd w:val="clear" w:color="auto" w:fill="auto"/>
            <w:vAlign w:val="center"/>
          </w:tcPr>
          <w:p w14:paraId="35ACD32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w:t>
            </w:r>
            <w:r>
              <w:rPr>
                <w:rFonts w:hint="eastAsia" w:ascii="宋体" w:hAnsi="宋体" w:cs="Times New Roman"/>
                <w:color w:val="000000"/>
                <w:kern w:val="0"/>
                <w:sz w:val="21"/>
                <w:szCs w:val="21"/>
              </w:rPr>
              <w:t>二氯丙烷</w:t>
            </w:r>
          </w:p>
        </w:tc>
        <w:tc>
          <w:tcPr>
            <w:tcW w:w="714" w:type="pct"/>
            <w:tcBorders>
              <w:top w:val="nil"/>
              <w:left w:val="nil"/>
              <w:bottom w:val="single" w:color="auto" w:sz="8" w:space="0"/>
              <w:right w:val="single" w:color="auto" w:sz="8" w:space="0"/>
            </w:tcBorders>
            <w:shd w:val="clear" w:color="auto" w:fill="auto"/>
            <w:vAlign w:val="center"/>
          </w:tcPr>
          <w:p w14:paraId="422E588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78-87-5</w:t>
            </w:r>
          </w:p>
        </w:tc>
        <w:tc>
          <w:tcPr>
            <w:tcW w:w="714" w:type="pct"/>
            <w:tcBorders>
              <w:top w:val="nil"/>
              <w:left w:val="nil"/>
              <w:bottom w:val="single" w:color="auto" w:sz="8" w:space="0"/>
              <w:right w:val="single" w:color="auto" w:sz="8" w:space="0"/>
            </w:tcBorders>
            <w:shd w:val="clear" w:color="auto" w:fill="auto"/>
            <w:vAlign w:val="center"/>
          </w:tcPr>
          <w:p w14:paraId="0706916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204E0E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3034D88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w:t>
            </w:r>
          </w:p>
        </w:tc>
        <w:tc>
          <w:tcPr>
            <w:tcW w:w="714" w:type="pct"/>
            <w:tcBorders>
              <w:top w:val="nil"/>
              <w:left w:val="nil"/>
              <w:bottom w:val="single" w:color="auto" w:sz="8" w:space="0"/>
              <w:right w:val="nil"/>
            </w:tcBorders>
            <w:shd w:val="clear" w:color="auto" w:fill="auto"/>
            <w:vAlign w:val="center"/>
          </w:tcPr>
          <w:p w14:paraId="7662BDDA">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675E1664">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1DA6247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18</w:t>
            </w:r>
          </w:p>
        </w:tc>
        <w:tc>
          <w:tcPr>
            <w:tcW w:w="714" w:type="pct"/>
            <w:tcBorders>
              <w:top w:val="nil"/>
              <w:left w:val="nil"/>
              <w:bottom w:val="single" w:color="auto" w:sz="8" w:space="0"/>
              <w:right w:val="single" w:color="auto" w:sz="8" w:space="0"/>
            </w:tcBorders>
            <w:shd w:val="clear" w:color="auto" w:fill="auto"/>
            <w:vAlign w:val="center"/>
          </w:tcPr>
          <w:p w14:paraId="09D2CBA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1,1,1,2-</w:t>
            </w:r>
            <w:r>
              <w:rPr>
                <w:rFonts w:hint="eastAsia" w:ascii="宋体" w:hAnsi="宋体" w:cs="Times New Roman"/>
                <w:color w:val="000000"/>
                <w:kern w:val="0"/>
                <w:sz w:val="21"/>
                <w:szCs w:val="21"/>
              </w:rPr>
              <w:t>四氯乙烷</w:t>
            </w:r>
          </w:p>
        </w:tc>
        <w:tc>
          <w:tcPr>
            <w:tcW w:w="714" w:type="pct"/>
            <w:tcBorders>
              <w:top w:val="nil"/>
              <w:left w:val="nil"/>
              <w:bottom w:val="single" w:color="auto" w:sz="8" w:space="0"/>
              <w:right w:val="single" w:color="auto" w:sz="8" w:space="0"/>
            </w:tcBorders>
            <w:shd w:val="clear" w:color="auto" w:fill="auto"/>
            <w:vAlign w:val="center"/>
          </w:tcPr>
          <w:p w14:paraId="76DB328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630-20--6</w:t>
            </w:r>
          </w:p>
        </w:tc>
        <w:tc>
          <w:tcPr>
            <w:tcW w:w="714" w:type="pct"/>
            <w:tcBorders>
              <w:top w:val="nil"/>
              <w:left w:val="nil"/>
              <w:bottom w:val="single" w:color="auto" w:sz="8" w:space="0"/>
              <w:right w:val="single" w:color="auto" w:sz="8" w:space="0"/>
            </w:tcBorders>
            <w:shd w:val="clear" w:color="auto" w:fill="auto"/>
            <w:vAlign w:val="center"/>
          </w:tcPr>
          <w:p w14:paraId="522F8BF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051856E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11CB625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w:t>
            </w:r>
          </w:p>
        </w:tc>
        <w:tc>
          <w:tcPr>
            <w:tcW w:w="714" w:type="pct"/>
            <w:tcBorders>
              <w:top w:val="nil"/>
              <w:left w:val="nil"/>
              <w:bottom w:val="single" w:color="auto" w:sz="8" w:space="0"/>
              <w:right w:val="nil"/>
            </w:tcBorders>
            <w:shd w:val="clear" w:color="auto" w:fill="auto"/>
            <w:vAlign w:val="center"/>
          </w:tcPr>
          <w:p w14:paraId="42879B50">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536CB28D">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1F8DDB5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w:t>
            </w:r>
          </w:p>
        </w:tc>
        <w:tc>
          <w:tcPr>
            <w:tcW w:w="714" w:type="pct"/>
            <w:tcBorders>
              <w:top w:val="nil"/>
              <w:left w:val="nil"/>
              <w:bottom w:val="single" w:color="auto" w:sz="8" w:space="0"/>
              <w:right w:val="single" w:color="auto" w:sz="8" w:space="0"/>
            </w:tcBorders>
            <w:shd w:val="clear" w:color="auto" w:fill="auto"/>
            <w:vAlign w:val="center"/>
          </w:tcPr>
          <w:p w14:paraId="20253AE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1,1,2,2-</w:t>
            </w:r>
            <w:r>
              <w:rPr>
                <w:rFonts w:hint="eastAsia" w:ascii="宋体" w:hAnsi="宋体" w:cs="Times New Roman"/>
                <w:color w:val="000000"/>
                <w:kern w:val="0"/>
                <w:sz w:val="21"/>
                <w:szCs w:val="21"/>
              </w:rPr>
              <w:t>四氯乙烷</w:t>
            </w:r>
          </w:p>
        </w:tc>
        <w:tc>
          <w:tcPr>
            <w:tcW w:w="714" w:type="pct"/>
            <w:tcBorders>
              <w:top w:val="nil"/>
              <w:left w:val="nil"/>
              <w:bottom w:val="single" w:color="auto" w:sz="8" w:space="0"/>
              <w:right w:val="single" w:color="auto" w:sz="8" w:space="0"/>
            </w:tcBorders>
            <w:shd w:val="clear" w:color="auto" w:fill="auto"/>
            <w:vAlign w:val="center"/>
          </w:tcPr>
          <w:p w14:paraId="4F50972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79-34-5</w:t>
            </w:r>
          </w:p>
        </w:tc>
        <w:tc>
          <w:tcPr>
            <w:tcW w:w="714" w:type="pct"/>
            <w:tcBorders>
              <w:top w:val="nil"/>
              <w:left w:val="nil"/>
              <w:bottom w:val="single" w:color="auto" w:sz="8" w:space="0"/>
              <w:right w:val="single" w:color="auto" w:sz="8" w:space="0"/>
            </w:tcBorders>
            <w:shd w:val="clear" w:color="auto" w:fill="auto"/>
            <w:vAlign w:val="center"/>
          </w:tcPr>
          <w:p w14:paraId="61C30BE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12AC963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020C0BD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6.8</w:t>
            </w:r>
          </w:p>
        </w:tc>
        <w:tc>
          <w:tcPr>
            <w:tcW w:w="714" w:type="pct"/>
            <w:tcBorders>
              <w:top w:val="nil"/>
              <w:left w:val="nil"/>
              <w:bottom w:val="single" w:color="auto" w:sz="8" w:space="0"/>
              <w:right w:val="nil"/>
            </w:tcBorders>
            <w:shd w:val="clear" w:color="auto" w:fill="auto"/>
            <w:vAlign w:val="center"/>
          </w:tcPr>
          <w:p w14:paraId="232EBF4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75FF0C08">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0C0ABF1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20</w:t>
            </w:r>
          </w:p>
        </w:tc>
        <w:tc>
          <w:tcPr>
            <w:tcW w:w="714" w:type="pct"/>
            <w:tcBorders>
              <w:top w:val="nil"/>
              <w:left w:val="nil"/>
              <w:bottom w:val="single" w:color="auto" w:sz="8" w:space="0"/>
              <w:right w:val="single" w:color="auto" w:sz="8" w:space="0"/>
            </w:tcBorders>
            <w:shd w:val="clear" w:color="auto" w:fill="auto"/>
            <w:vAlign w:val="center"/>
          </w:tcPr>
          <w:p w14:paraId="13509B9C">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四氯乙烯</w:t>
            </w:r>
          </w:p>
        </w:tc>
        <w:tc>
          <w:tcPr>
            <w:tcW w:w="714" w:type="pct"/>
            <w:tcBorders>
              <w:top w:val="nil"/>
              <w:left w:val="nil"/>
              <w:bottom w:val="single" w:color="auto" w:sz="8" w:space="0"/>
              <w:right w:val="single" w:color="auto" w:sz="8" w:space="0"/>
            </w:tcBorders>
            <w:shd w:val="clear" w:color="auto" w:fill="auto"/>
            <w:vAlign w:val="center"/>
          </w:tcPr>
          <w:p w14:paraId="166E7E8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127-18-4</w:t>
            </w:r>
          </w:p>
        </w:tc>
        <w:tc>
          <w:tcPr>
            <w:tcW w:w="714" w:type="pct"/>
            <w:tcBorders>
              <w:top w:val="nil"/>
              <w:left w:val="nil"/>
              <w:bottom w:val="single" w:color="auto" w:sz="8" w:space="0"/>
              <w:right w:val="single" w:color="auto" w:sz="8" w:space="0"/>
            </w:tcBorders>
            <w:shd w:val="clear" w:color="auto" w:fill="auto"/>
            <w:vAlign w:val="center"/>
          </w:tcPr>
          <w:p w14:paraId="27F7AB4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3726DC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37EB355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53</w:t>
            </w:r>
          </w:p>
        </w:tc>
        <w:tc>
          <w:tcPr>
            <w:tcW w:w="714" w:type="pct"/>
            <w:tcBorders>
              <w:top w:val="nil"/>
              <w:left w:val="nil"/>
              <w:bottom w:val="single" w:color="auto" w:sz="8" w:space="0"/>
              <w:right w:val="nil"/>
            </w:tcBorders>
            <w:shd w:val="clear" w:color="auto" w:fill="auto"/>
            <w:vAlign w:val="center"/>
          </w:tcPr>
          <w:p w14:paraId="556A9C67">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794D14CB">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547D8F5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w:t>
            </w:r>
          </w:p>
        </w:tc>
        <w:tc>
          <w:tcPr>
            <w:tcW w:w="714" w:type="pct"/>
            <w:tcBorders>
              <w:top w:val="nil"/>
              <w:left w:val="nil"/>
              <w:bottom w:val="single" w:color="auto" w:sz="8" w:space="0"/>
              <w:right w:val="single" w:color="auto" w:sz="8" w:space="0"/>
            </w:tcBorders>
            <w:shd w:val="clear" w:color="auto" w:fill="auto"/>
            <w:vAlign w:val="center"/>
          </w:tcPr>
          <w:p w14:paraId="6FF0969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1,1,1-</w:t>
            </w:r>
            <w:r>
              <w:rPr>
                <w:rFonts w:hint="eastAsia" w:ascii="宋体" w:hAnsi="宋体" w:cs="Times New Roman"/>
                <w:color w:val="000000"/>
                <w:kern w:val="0"/>
                <w:sz w:val="21"/>
                <w:szCs w:val="21"/>
              </w:rPr>
              <w:t>三氯乙烷</w:t>
            </w:r>
          </w:p>
        </w:tc>
        <w:tc>
          <w:tcPr>
            <w:tcW w:w="714" w:type="pct"/>
            <w:tcBorders>
              <w:top w:val="nil"/>
              <w:left w:val="nil"/>
              <w:bottom w:val="single" w:color="auto" w:sz="8" w:space="0"/>
              <w:right w:val="single" w:color="auto" w:sz="8" w:space="0"/>
            </w:tcBorders>
            <w:shd w:val="clear" w:color="auto" w:fill="auto"/>
            <w:vAlign w:val="center"/>
          </w:tcPr>
          <w:p w14:paraId="7BCE934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71-55-6</w:t>
            </w:r>
          </w:p>
        </w:tc>
        <w:tc>
          <w:tcPr>
            <w:tcW w:w="714" w:type="pct"/>
            <w:tcBorders>
              <w:top w:val="nil"/>
              <w:left w:val="nil"/>
              <w:bottom w:val="single" w:color="auto" w:sz="8" w:space="0"/>
              <w:right w:val="single" w:color="auto" w:sz="8" w:space="0"/>
            </w:tcBorders>
            <w:shd w:val="clear" w:color="auto" w:fill="auto"/>
            <w:vAlign w:val="center"/>
          </w:tcPr>
          <w:p w14:paraId="3EF4ABB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B6B4EE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EBE2D0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840</w:t>
            </w:r>
          </w:p>
        </w:tc>
        <w:tc>
          <w:tcPr>
            <w:tcW w:w="714" w:type="pct"/>
            <w:tcBorders>
              <w:top w:val="nil"/>
              <w:left w:val="nil"/>
              <w:bottom w:val="single" w:color="auto" w:sz="8" w:space="0"/>
              <w:right w:val="nil"/>
            </w:tcBorders>
            <w:shd w:val="clear" w:color="auto" w:fill="auto"/>
            <w:vAlign w:val="center"/>
          </w:tcPr>
          <w:p w14:paraId="10D2928E">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57DBED0A">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1D23AD5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22</w:t>
            </w:r>
          </w:p>
        </w:tc>
        <w:tc>
          <w:tcPr>
            <w:tcW w:w="714" w:type="pct"/>
            <w:tcBorders>
              <w:top w:val="nil"/>
              <w:left w:val="nil"/>
              <w:bottom w:val="single" w:color="auto" w:sz="8" w:space="0"/>
              <w:right w:val="single" w:color="auto" w:sz="8" w:space="0"/>
            </w:tcBorders>
            <w:shd w:val="clear" w:color="auto" w:fill="auto"/>
            <w:vAlign w:val="center"/>
          </w:tcPr>
          <w:p w14:paraId="7CBD337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1,1,2-</w:t>
            </w:r>
            <w:r>
              <w:rPr>
                <w:rFonts w:hint="eastAsia" w:ascii="宋体" w:hAnsi="宋体" w:cs="Times New Roman"/>
                <w:color w:val="000000"/>
                <w:kern w:val="0"/>
                <w:sz w:val="21"/>
                <w:szCs w:val="21"/>
              </w:rPr>
              <w:t>三氯乙烷</w:t>
            </w:r>
          </w:p>
        </w:tc>
        <w:tc>
          <w:tcPr>
            <w:tcW w:w="714" w:type="pct"/>
            <w:tcBorders>
              <w:top w:val="nil"/>
              <w:left w:val="nil"/>
              <w:bottom w:val="single" w:color="auto" w:sz="8" w:space="0"/>
              <w:right w:val="single" w:color="auto" w:sz="8" w:space="0"/>
            </w:tcBorders>
            <w:shd w:val="clear" w:color="auto" w:fill="auto"/>
            <w:vAlign w:val="center"/>
          </w:tcPr>
          <w:p w14:paraId="016C9F7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79-00-5</w:t>
            </w:r>
          </w:p>
        </w:tc>
        <w:tc>
          <w:tcPr>
            <w:tcW w:w="714" w:type="pct"/>
            <w:tcBorders>
              <w:top w:val="nil"/>
              <w:left w:val="nil"/>
              <w:bottom w:val="single" w:color="auto" w:sz="8" w:space="0"/>
              <w:right w:val="single" w:color="auto" w:sz="8" w:space="0"/>
            </w:tcBorders>
            <w:shd w:val="clear" w:color="auto" w:fill="auto"/>
            <w:vAlign w:val="center"/>
          </w:tcPr>
          <w:p w14:paraId="3F2F8C6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1E2A06E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D58067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2.8</w:t>
            </w:r>
          </w:p>
        </w:tc>
        <w:tc>
          <w:tcPr>
            <w:tcW w:w="714" w:type="pct"/>
            <w:tcBorders>
              <w:top w:val="nil"/>
              <w:left w:val="nil"/>
              <w:bottom w:val="single" w:color="auto" w:sz="8" w:space="0"/>
              <w:right w:val="nil"/>
            </w:tcBorders>
            <w:shd w:val="clear" w:color="auto" w:fill="auto"/>
            <w:vAlign w:val="center"/>
          </w:tcPr>
          <w:p w14:paraId="44FDCE30">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110F4857">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2B217E2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23</w:t>
            </w:r>
          </w:p>
        </w:tc>
        <w:tc>
          <w:tcPr>
            <w:tcW w:w="714" w:type="pct"/>
            <w:tcBorders>
              <w:top w:val="nil"/>
              <w:left w:val="nil"/>
              <w:bottom w:val="single" w:color="auto" w:sz="8" w:space="0"/>
              <w:right w:val="single" w:color="auto" w:sz="8" w:space="0"/>
            </w:tcBorders>
            <w:shd w:val="clear" w:color="auto" w:fill="auto"/>
            <w:vAlign w:val="center"/>
          </w:tcPr>
          <w:p w14:paraId="3EF1C974">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三氯乙烯</w:t>
            </w:r>
          </w:p>
        </w:tc>
        <w:tc>
          <w:tcPr>
            <w:tcW w:w="714" w:type="pct"/>
            <w:tcBorders>
              <w:top w:val="nil"/>
              <w:left w:val="nil"/>
              <w:bottom w:val="single" w:color="auto" w:sz="8" w:space="0"/>
              <w:right w:val="single" w:color="auto" w:sz="8" w:space="0"/>
            </w:tcBorders>
            <w:shd w:val="clear" w:color="auto" w:fill="auto"/>
            <w:vAlign w:val="center"/>
          </w:tcPr>
          <w:p w14:paraId="5CCA49D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1979/1/6</w:t>
            </w:r>
          </w:p>
        </w:tc>
        <w:tc>
          <w:tcPr>
            <w:tcW w:w="714" w:type="pct"/>
            <w:tcBorders>
              <w:top w:val="nil"/>
              <w:left w:val="nil"/>
              <w:bottom w:val="single" w:color="auto" w:sz="8" w:space="0"/>
              <w:right w:val="single" w:color="auto" w:sz="8" w:space="0"/>
            </w:tcBorders>
            <w:shd w:val="clear" w:color="auto" w:fill="auto"/>
            <w:vAlign w:val="center"/>
          </w:tcPr>
          <w:p w14:paraId="577EDF9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3954B00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00F2906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2.8</w:t>
            </w:r>
          </w:p>
        </w:tc>
        <w:tc>
          <w:tcPr>
            <w:tcW w:w="714" w:type="pct"/>
            <w:tcBorders>
              <w:top w:val="nil"/>
              <w:left w:val="nil"/>
              <w:bottom w:val="single" w:color="auto" w:sz="8" w:space="0"/>
              <w:right w:val="nil"/>
            </w:tcBorders>
            <w:shd w:val="clear" w:color="auto" w:fill="auto"/>
            <w:vAlign w:val="center"/>
          </w:tcPr>
          <w:p w14:paraId="749B9E28">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0D4CDBEF">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1256EE8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24</w:t>
            </w:r>
          </w:p>
        </w:tc>
        <w:tc>
          <w:tcPr>
            <w:tcW w:w="714" w:type="pct"/>
            <w:tcBorders>
              <w:top w:val="nil"/>
              <w:left w:val="nil"/>
              <w:bottom w:val="single" w:color="auto" w:sz="8" w:space="0"/>
              <w:right w:val="single" w:color="auto" w:sz="8" w:space="0"/>
            </w:tcBorders>
            <w:shd w:val="clear" w:color="auto" w:fill="auto"/>
            <w:vAlign w:val="center"/>
          </w:tcPr>
          <w:p w14:paraId="2C09580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1,2,3-</w:t>
            </w:r>
            <w:r>
              <w:rPr>
                <w:rFonts w:hint="eastAsia" w:ascii="宋体" w:hAnsi="宋体" w:cs="Times New Roman"/>
                <w:color w:val="000000"/>
                <w:kern w:val="0"/>
                <w:sz w:val="21"/>
                <w:szCs w:val="21"/>
              </w:rPr>
              <w:t>三氯丙烷</w:t>
            </w:r>
          </w:p>
        </w:tc>
        <w:tc>
          <w:tcPr>
            <w:tcW w:w="714" w:type="pct"/>
            <w:tcBorders>
              <w:top w:val="nil"/>
              <w:left w:val="nil"/>
              <w:bottom w:val="single" w:color="auto" w:sz="8" w:space="0"/>
              <w:right w:val="single" w:color="auto" w:sz="8" w:space="0"/>
            </w:tcBorders>
            <w:shd w:val="clear" w:color="auto" w:fill="auto"/>
            <w:vAlign w:val="center"/>
          </w:tcPr>
          <w:p w14:paraId="7D82099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96-18-4</w:t>
            </w:r>
          </w:p>
        </w:tc>
        <w:tc>
          <w:tcPr>
            <w:tcW w:w="714" w:type="pct"/>
            <w:tcBorders>
              <w:top w:val="nil"/>
              <w:left w:val="nil"/>
              <w:bottom w:val="single" w:color="auto" w:sz="8" w:space="0"/>
              <w:right w:val="single" w:color="auto" w:sz="8" w:space="0"/>
            </w:tcBorders>
            <w:shd w:val="clear" w:color="auto" w:fill="auto"/>
            <w:vAlign w:val="center"/>
          </w:tcPr>
          <w:p w14:paraId="00B6969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7BAC87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53AA236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0.5</w:t>
            </w:r>
          </w:p>
        </w:tc>
        <w:tc>
          <w:tcPr>
            <w:tcW w:w="714" w:type="pct"/>
            <w:tcBorders>
              <w:top w:val="nil"/>
              <w:left w:val="nil"/>
              <w:bottom w:val="single" w:color="auto" w:sz="8" w:space="0"/>
              <w:right w:val="nil"/>
            </w:tcBorders>
            <w:shd w:val="clear" w:color="auto" w:fill="auto"/>
            <w:vAlign w:val="center"/>
          </w:tcPr>
          <w:p w14:paraId="411CEA14">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21A04F2D">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589E0B0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25</w:t>
            </w:r>
          </w:p>
        </w:tc>
        <w:tc>
          <w:tcPr>
            <w:tcW w:w="714" w:type="pct"/>
            <w:tcBorders>
              <w:top w:val="nil"/>
              <w:left w:val="nil"/>
              <w:bottom w:val="single" w:color="auto" w:sz="8" w:space="0"/>
              <w:right w:val="single" w:color="auto" w:sz="8" w:space="0"/>
            </w:tcBorders>
            <w:shd w:val="clear" w:color="auto" w:fill="auto"/>
            <w:vAlign w:val="center"/>
          </w:tcPr>
          <w:p w14:paraId="421B10DF">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氯乙烯</w:t>
            </w:r>
          </w:p>
        </w:tc>
        <w:tc>
          <w:tcPr>
            <w:tcW w:w="714" w:type="pct"/>
            <w:tcBorders>
              <w:top w:val="nil"/>
              <w:left w:val="nil"/>
              <w:bottom w:val="single" w:color="auto" w:sz="8" w:space="0"/>
              <w:right w:val="single" w:color="auto" w:sz="8" w:space="0"/>
            </w:tcBorders>
            <w:shd w:val="clear" w:color="auto" w:fill="auto"/>
            <w:vAlign w:val="center"/>
          </w:tcPr>
          <w:p w14:paraId="23630D5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1975/1/4</w:t>
            </w:r>
          </w:p>
        </w:tc>
        <w:tc>
          <w:tcPr>
            <w:tcW w:w="714" w:type="pct"/>
            <w:tcBorders>
              <w:top w:val="nil"/>
              <w:left w:val="nil"/>
              <w:bottom w:val="single" w:color="auto" w:sz="8" w:space="0"/>
              <w:right w:val="single" w:color="auto" w:sz="8" w:space="0"/>
            </w:tcBorders>
            <w:shd w:val="clear" w:color="auto" w:fill="auto"/>
            <w:vAlign w:val="center"/>
          </w:tcPr>
          <w:p w14:paraId="2A044DC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022980F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0D459F9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0.43</w:t>
            </w:r>
          </w:p>
        </w:tc>
        <w:tc>
          <w:tcPr>
            <w:tcW w:w="714" w:type="pct"/>
            <w:tcBorders>
              <w:top w:val="nil"/>
              <w:left w:val="nil"/>
              <w:bottom w:val="single" w:color="auto" w:sz="8" w:space="0"/>
              <w:right w:val="nil"/>
            </w:tcBorders>
            <w:shd w:val="clear" w:color="auto" w:fill="auto"/>
            <w:vAlign w:val="center"/>
          </w:tcPr>
          <w:p w14:paraId="4307E9C7">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2283A67F">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1E0A3E6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26</w:t>
            </w:r>
          </w:p>
        </w:tc>
        <w:tc>
          <w:tcPr>
            <w:tcW w:w="714" w:type="pct"/>
            <w:tcBorders>
              <w:top w:val="nil"/>
              <w:left w:val="nil"/>
              <w:bottom w:val="single" w:color="auto" w:sz="8" w:space="0"/>
              <w:right w:val="single" w:color="auto" w:sz="8" w:space="0"/>
            </w:tcBorders>
            <w:shd w:val="clear" w:color="auto" w:fill="auto"/>
            <w:vAlign w:val="center"/>
          </w:tcPr>
          <w:p w14:paraId="0A07B83A">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苯</w:t>
            </w:r>
          </w:p>
        </w:tc>
        <w:tc>
          <w:tcPr>
            <w:tcW w:w="714" w:type="pct"/>
            <w:tcBorders>
              <w:top w:val="nil"/>
              <w:left w:val="nil"/>
              <w:bottom w:val="single" w:color="auto" w:sz="8" w:space="0"/>
              <w:right w:val="single" w:color="auto" w:sz="8" w:space="0"/>
            </w:tcBorders>
            <w:shd w:val="clear" w:color="auto" w:fill="auto"/>
            <w:vAlign w:val="center"/>
          </w:tcPr>
          <w:p w14:paraId="65334A4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71-43-2</w:t>
            </w:r>
          </w:p>
        </w:tc>
        <w:tc>
          <w:tcPr>
            <w:tcW w:w="714" w:type="pct"/>
            <w:tcBorders>
              <w:top w:val="nil"/>
              <w:left w:val="nil"/>
              <w:bottom w:val="single" w:color="auto" w:sz="8" w:space="0"/>
              <w:right w:val="single" w:color="auto" w:sz="8" w:space="0"/>
            </w:tcBorders>
            <w:shd w:val="clear" w:color="auto" w:fill="auto"/>
            <w:vAlign w:val="center"/>
          </w:tcPr>
          <w:p w14:paraId="7BB4A0D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5B8C24C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A6C1F7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w:t>
            </w:r>
          </w:p>
        </w:tc>
        <w:tc>
          <w:tcPr>
            <w:tcW w:w="714" w:type="pct"/>
            <w:tcBorders>
              <w:top w:val="nil"/>
              <w:left w:val="nil"/>
              <w:bottom w:val="single" w:color="auto" w:sz="8" w:space="0"/>
              <w:right w:val="nil"/>
            </w:tcBorders>
            <w:shd w:val="clear" w:color="auto" w:fill="auto"/>
            <w:vAlign w:val="center"/>
          </w:tcPr>
          <w:p w14:paraId="10FF058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33879EBF">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2F970E2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27</w:t>
            </w:r>
          </w:p>
        </w:tc>
        <w:tc>
          <w:tcPr>
            <w:tcW w:w="714" w:type="pct"/>
            <w:tcBorders>
              <w:top w:val="nil"/>
              <w:left w:val="nil"/>
              <w:bottom w:val="single" w:color="auto" w:sz="8" w:space="0"/>
              <w:right w:val="single" w:color="auto" w:sz="8" w:space="0"/>
            </w:tcBorders>
            <w:shd w:val="clear" w:color="auto" w:fill="auto"/>
            <w:vAlign w:val="center"/>
          </w:tcPr>
          <w:p w14:paraId="5107F5D1">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氯苯</w:t>
            </w:r>
          </w:p>
        </w:tc>
        <w:tc>
          <w:tcPr>
            <w:tcW w:w="714" w:type="pct"/>
            <w:tcBorders>
              <w:top w:val="nil"/>
              <w:left w:val="nil"/>
              <w:bottom w:val="single" w:color="auto" w:sz="8" w:space="0"/>
              <w:right w:val="single" w:color="auto" w:sz="8" w:space="0"/>
            </w:tcBorders>
            <w:shd w:val="clear" w:color="auto" w:fill="auto"/>
            <w:vAlign w:val="center"/>
          </w:tcPr>
          <w:p w14:paraId="396E3D7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108-90-7</w:t>
            </w:r>
          </w:p>
        </w:tc>
        <w:tc>
          <w:tcPr>
            <w:tcW w:w="714" w:type="pct"/>
            <w:tcBorders>
              <w:top w:val="nil"/>
              <w:left w:val="nil"/>
              <w:bottom w:val="single" w:color="auto" w:sz="8" w:space="0"/>
              <w:right w:val="single" w:color="auto" w:sz="8" w:space="0"/>
            </w:tcBorders>
            <w:shd w:val="clear" w:color="auto" w:fill="auto"/>
            <w:vAlign w:val="center"/>
          </w:tcPr>
          <w:p w14:paraId="5539300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0DF4A46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D5318A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270</w:t>
            </w:r>
          </w:p>
        </w:tc>
        <w:tc>
          <w:tcPr>
            <w:tcW w:w="714" w:type="pct"/>
            <w:tcBorders>
              <w:top w:val="nil"/>
              <w:left w:val="nil"/>
              <w:bottom w:val="single" w:color="auto" w:sz="8" w:space="0"/>
              <w:right w:val="nil"/>
            </w:tcBorders>
            <w:shd w:val="clear" w:color="auto" w:fill="auto"/>
            <w:vAlign w:val="center"/>
          </w:tcPr>
          <w:p w14:paraId="77E551FF">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311CFF9B">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74E1C9A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28</w:t>
            </w:r>
          </w:p>
        </w:tc>
        <w:tc>
          <w:tcPr>
            <w:tcW w:w="714" w:type="pct"/>
            <w:tcBorders>
              <w:top w:val="nil"/>
              <w:left w:val="nil"/>
              <w:bottom w:val="single" w:color="auto" w:sz="8" w:space="0"/>
              <w:right w:val="single" w:color="auto" w:sz="8" w:space="0"/>
            </w:tcBorders>
            <w:shd w:val="clear" w:color="auto" w:fill="auto"/>
            <w:vAlign w:val="center"/>
          </w:tcPr>
          <w:p w14:paraId="1501AAF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w:t>
            </w:r>
            <w:r>
              <w:rPr>
                <w:rFonts w:hint="eastAsia" w:ascii="宋体" w:hAnsi="宋体" w:cs="Times New Roman"/>
                <w:color w:val="000000"/>
                <w:kern w:val="0"/>
                <w:sz w:val="21"/>
                <w:szCs w:val="21"/>
              </w:rPr>
              <w:t>二氯苯</w:t>
            </w:r>
          </w:p>
        </w:tc>
        <w:tc>
          <w:tcPr>
            <w:tcW w:w="714" w:type="pct"/>
            <w:tcBorders>
              <w:top w:val="nil"/>
              <w:left w:val="nil"/>
              <w:bottom w:val="single" w:color="auto" w:sz="8" w:space="0"/>
              <w:right w:val="single" w:color="auto" w:sz="8" w:space="0"/>
            </w:tcBorders>
            <w:shd w:val="clear" w:color="auto" w:fill="auto"/>
            <w:vAlign w:val="center"/>
          </w:tcPr>
          <w:p w14:paraId="7C09830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95-50-1</w:t>
            </w:r>
          </w:p>
        </w:tc>
        <w:tc>
          <w:tcPr>
            <w:tcW w:w="714" w:type="pct"/>
            <w:tcBorders>
              <w:top w:val="nil"/>
              <w:left w:val="nil"/>
              <w:bottom w:val="single" w:color="auto" w:sz="8" w:space="0"/>
              <w:right w:val="single" w:color="auto" w:sz="8" w:space="0"/>
            </w:tcBorders>
            <w:shd w:val="clear" w:color="auto" w:fill="auto"/>
            <w:vAlign w:val="center"/>
          </w:tcPr>
          <w:p w14:paraId="13F56D1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9666CB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96550C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560</w:t>
            </w:r>
          </w:p>
        </w:tc>
        <w:tc>
          <w:tcPr>
            <w:tcW w:w="714" w:type="pct"/>
            <w:tcBorders>
              <w:top w:val="nil"/>
              <w:left w:val="nil"/>
              <w:bottom w:val="single" w:color="auto" w:sz="8" w:space="0"/>
              <w:right w:val="nil"/>
            </w:tcBorders>
            <w:shd w:val="clear" w:color="auto" w:fill="auto"/>
            <w:vAlign w:val="center"/>
          </w:tcPr>
          <w:p w14:paraId="3ED94AF2">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6171A935">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4086A10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29</w:t>
            </w:r>
          </w:p>
        </w:tc>
        <w:tc>
          <w:tcPr>
            <w:tcW w:w="714" w:type="pct"/>
            <w:tcBorders>
              <w:top w:val="nil"/>
              <w:left w:val="nil"/>
              <w:bottom w:val="single" w:color="auto" w:sz="8" w:space="0"/>
              <w:right w:val="single" w:color="auto" w:sz="8" w:space="0"/>
            </w:tcBorders>
            <w:shd w:val="clear" w:color="auto" w:fill="auto"/>
            <w:vAlign w:val="center"/>
          </w:tcPr>
          <w:p w14:paraId="07DD04A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w:t>
            </w:r>
            <w:r>
              <w:rPr>
                <w:rFonts w:hint="eastAsia" w:ascii="宋体" w:hAnsi="宋体" w:cs="Times New Roman"/>
                <w:color w:val="000000"/>
                <w:kern w:val="0"/>
                <w:sz w:val="21"/>
                <w:szCs w:val="21"/>
              </w:rPr>
              <w:t>二氯苯</w:t>
            </w:r>
          </w:p>
        </w:tc>
        <w:tc>
          <w:tcPr>
            <w:tcW w:w="714" w:type="pct"/>
            <w:tcBorders>
              <w:top w:val="nil"/>
              <w:left w:val="nil"/>
              <w:bottom w:val="single" w:color="auto" w:sz="8" w:space="0"/>
              <w:right w:val="single" w:color="auto" w:sz="8" w:space="0"/>
            </w:tcBorders>
            <w:shd w:val="clear" w:color="auto" w:fill="auto"/>
            <w:vAlign w:val="center"/>
          </w:tcPr>
          <w:p w14:paraId="450761F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106-46-7</w:t>
            </w:r>
          </w:p>
        </w:tc>
        <w:tc>
          <w:tcPr>
            <w:tcW w:w="714" w:type="pct"/>
            <w:tcBorders>
              <w:top w:val="nil"/>
              <w:left w:val="nil"/>
              <w:bottom w:val="single" w:color="auto" w:sz="8" w:space="0"/>
              <w:right w:val="single" w:color="auto" w:sz="8" w:space="0"/>
            </w:tcBorders>
            <w:shd w:val="clear" w:color="auto" w:fill="auto"/>
            <w:vAlign w:val="center"/>
          </w:tcPr>
          <w:p w14:paraId="4746138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667F0D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3C9051C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20</w:t>
            </w:r>
          </w:p>
        </w:tc>
        <w:tc>
          <w:tcPr>
            <w:tcW w:w="714" w:type="pct"/>
            <w:tcBorders>
              <w:top w:val="nil"/>
              <w:left w:val="nil"/>
              <w:bottom w:val="single" w:color="auto" w:sz="8" w:space="0"/>
              <w:right w:val="nil"/>
            </w:tcBorders>
            <w:shd w:val="clear" w:color="auto" w:fill="auto"/>
            <w:vAlign w:val="center"/>
          </w:tcPr>
          <w:p w14:paraId="079E5D65">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63ABBF94">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607534F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30</w:t>
            </w:r>
          </w:p>
        </w:tc>
        <w:tc>
          <w:tcPr>
            <w:tcW w:w="714" w:type="pct"/>
            <w:tcBorders>
              <w:top w:val="nil"/>
              <w:left w:val="nil"/>
              <w:bottom w:val="single" w:color="auto" w:sz="8" w:space="0"/>
              <w:right w:val="single" w:color="auto" w:sz="8" w:space="0"/>
            </w:tcBorders>
            <w:shd w:val="clear" w:color="auto" w:fill="auto"/>
            <w:vAlign w:val="center"/>
          </w:tcPr>
          <w:p w14:paraId="0B7DB1FD">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乙苯</w:t>
            </w:r>
          </w:p>
        </w:tc>
        <w:tc>
          <w:tcPr>
            <w:tcW w:w="714" w:type="pct"/>
            <w:tcBorders>
              <w:top w:val="nil"/>
              <w:left w:val="nil"/>
              <w:bottom w:val="single" w:color="auto" w:sz="8" w:space="0"/>
              <w:right w:val="single" w:color="auto" w:sz="8" w:space="0"/>
            </w:tcBorders>
            <w:shd w:val="clear" w:color="auto" w:fill="auto"/>
            <w:vAlign w:val="center"/>
          </w:tcPr>
          <w:p w14:paraId="7021EA9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100-41-4</w:t>
            </w:r>
          </w:p>
        </w:tc>
        <w:tc>
          <w:tcPr>
            <w:tcW w:w="714" w:type="pct"/>
            <w:tcBorders>
              <w:top w:val="nil"/>
              <w:left w:val="nil"/>
              <w:bottom w:val="single" w:color="auto" w:sz="8" w:space="0"/>
              <w:right w:val="single" w:color="auto" w:sz="8" w:space="0"/>
            </w:tcBorders>
            <w:shd w:val="clear" w:color="auto" w:fill="auto"/>
            <w:vAlign w:val="center"/>
          </w:tcPr>
          <w:p w14:paraId="6032493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0430E95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374F80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28</w:t>
            </w:r>
          </w:p>
        </w:tc>
        <w:tc>
          <w:tcPr>
            <w:tcW w:w="714" w:type="pct"/>
            <w:tcBorders>
              <w:top w:val="nil"/>
              <w:left w:val="nil"/>
              <w:bottom w:val="single" w:color="auto" w:sz="8" w:space="0"/>
              <w:right w:val="nil"/>
            </w:tcBorders>
            <w:shd w:val="clear" w:color="auto" w:fill="auto"/>
            <w:vAlign w:val="center"/>
          </w:tcPr>
          <w:p w14:paraId="195B6E8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484C29BD">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4EE173B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31</w:t>
            </w:r>
          </w:p>
        </w:tc>
        <w:tc>
          <w:tcPr>
            <w:tcW w:w="714" w:type="pct"/>
            <w:tcBorders>
              <w:top w:val="nil"/>
              <w:left w:val="nil"/>
              <w:bottom w:val="single" w:color="auto" w:sz="8" w:space="0"/>
              <w:right w:val="single" w:color="auto" w:sz="8" w:space="0"/>
            </w:tcBorders>
            <w:shd w:val="clear" w:color="auto" w:fill="auto"/>
            <w:vAlign w:val="center"/>
          </w:tcPr>
          <w:p w14:paraId="3A223E34">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苯乙烯</w:t>
            </w:r>
          </w:p>
        </w:tc>
        <w:tc>
          <w:tcPr>
            <w:tcW w:w="714" w:type="pct"/>
            <w:tcBorders>
              <w:top w:val="nil"/>
              <w:left w:val="nil"/>
              <w:bottom w:val="single" w:color="auto" w:sz="8" w:space="0"/>
              <w:right w:val="single" w:color="auto" w:sz="8" w:space="0"/>
            </w:tcBorders>
            <w:shd w:val="clear" w:color="auto" w:fill="auto"/>
            <w:vAlign w:val="center"/>
          </w:tcPr>
          <w:p w14:paraId="4EB9263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100-42-5</w:t>
            </w:r>
          </w:p>
        </w:tc>
        <w:tc>
          <w:tcPr>
            <w:tcW w:w="714" w:type="pct"/>
            <w:tcBorders>
              <w:top w:val="nil"/>
              <w:left w:val="nil"/>
              <w:bottom w:val="single" w:color="auto" w:sz="8" w:space="0"/>
              <w:right w:val="single" w:color="auto" w:sz="8" w:space="0"/>
            </w:tcBorders>
            <w:shd w:val="clear" w:color="auto" w:fill="auto"/>
            <w:vAlign w:val="center"/>
          </w:tcPr>
          <w:p w14:paraId="2FFCA15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09C7574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3F6B5D1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1290</w:t>
            </w:r>
          </w:p>
        </w:tc>
        <w:tc>
          <w:tcPr>
            <w:tcW w:w="714" w:type="pct"/>
            <w:tcBorders>
              <w:top w:val="nil"/>
              <w:left w:val="nil"/>
              <w:bottom w:val="single" w:color="auto" w:sz="8" w:space="0"/>
              <w:right w:val="nil"/>
            </w:tcBorders>
            <w:shd w:val="clear" w:color="auto" w:fill="auto"/>
            <w:vAlign w:val="center"/>
          </w:tcPr>
          <w:p w14:paraId="14DEF43B">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29188D64">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2CEA1B3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32</w:t>
            </w:r>
          </w:p>
        </w:tc>
        <w:tc>
          <w:tcPr>
            <w:tcW w:w="714" w:type="pct"/>
            <w:tcBorders>
              <w:top w:val="nil"/>
              <w:left w:val="nil"/>
              <w:bottom w:val="single" w:color="auto" w:sz="8" w:space="0"/>
              <w:right w:val="single" w:color="auto" w:sz="8" w:space="0"/>
            </w:tcBorders>
            <w:shd w:val="clear" w:color="auto" w:fill="auto"/>
            <w:vAlign w:val="center"/>
          </w:tcPr>
          <w:p w14:paraId="2C23DC5C">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甲苯</w:t>
            </w:r>
          </w:p>
        </w:tc>
        <w:tc>
          <w:tcPr>
            <w:tcW w:w="714" w:type="pct"/>
            <w:tcBorders>
              <w:top w:val="nil"/>
              <w:left w:val="nil"/>
              <w:bottom w:val="single" w:color="auto" w:sz="8" w:space="0"/>
              <w:right w:val="single" w:color="auto" w:sz="8" w:space="0"/>
            </w:tcBorders>
            <w:shd w:val="clear" w:color="auto" w:fill="auto"/>
            <w:vAlign w:val="center"/>
          </w:tcPr>
          <w:p w14:paraId="76C9902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108-88-3</w:t>
            </w:r>
          </w:p>
        </w:tc>
        <w:tc>
          <w:tcPr>
            <w:tcW w:w="714" w:type="pct"/>
            <w:tcBorders>
              <w:top w:val="nil"/>
              <w:left w:val="nil"/>
              <w:bottom w:val="single" w:color="auto" w:sz="8" w:space="0"/>
              <w:right w:val="single" w:color="auto" w:sz="8" w:space="0"/>
            </w:tcBorders>
            <w:shd w:val="clear" w:color="auto" w:fill="auto"/>
            <w:vAlign w:val="center"/>
          </w:tcPr>
          <w:p w14:paraId="2DAC4D7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624765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FDBE21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1200</w:t>
            </w:r>
          </w:p>
        </w:tc>
        <w:tc>
          <w:tcPr>
            <w:tcW w:w="714" w:type="pct"/>
            <w:tcBorders>
              <w:top w:val="nil"/>
              <w:left w:val="nil"/>
              <w:bottom w:val="single" w:color="auto" w:sz="8" w:space="0"/>
              <w:right w:val="nil"/>
            </w:tcBorders>
            <w:shd w:val="clear" w:color="auto" w:fill="auto"/>
            <w:vAlign w:val="center"/>
          </w:tcPr>
          <w:p w14:paraId="317D259C">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52EF4F3C">
        <w:tblPrEx>
          <w:tblCellMar>
            <w:top w:w="0" w:type="dxa"/>
            <w:left w:w="108" w:type="dxa"/>
            <w:bottom w:w="0" w:type="dxa"/>
            <w:right w:w="108" w:type="dxa"/>
          </w:tblCellMar>
        </w:tblPrEx>
        <w:trPr>
          <w:trHeight w:val="550" w:hRule="atLeast"/>
        </w:trPr>
        <w:tc>
          <w:tcPr>
            <w:tcW w:w="714" w:type="pct"/>
            <w:vMerge w:val="restart"/>
            <w:tcBorders>
              <w:top w:val="nil"/>
              <w:left w:val="nil"/>
              <w:bottom w:val="single" w:color="000000" w:sz="8" w:space="0"/>
              <w:right w:val="single" w:color="auto" w:sz="8" w:space="0"/>
            </w:tcBorders>
            <w:shd w:val="clear" w:color="auto" w:fill="auto"/>
            <w:vAlign w:val="center"/>
          </w:tcPr>
          <w:p w14:paraId="2DF5064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33</w:t>
            </w:r>
          </w:p>
        </w:tc>
        <w:tc>
          <w:tcPr>
            <w:tcW w:w="714" w:type="pct"/>
            <w:vMerge w:val="restart"/>
            <w:tcBorders>
              <w:top w:val="nil"/>
              <w:left w:val="single" w:color="auto" w:sz="8" w:space="0"/>
              <w:bottom w:val="single" w:color="000000" w:sz="8" w:space="0"/>
              <w:right w:val="single" w:color="auto" w:sz="8" w:space="0"/>
            </w:tcBorders>
            <w:shd w:val="clear" w:color="auto" w:fill="auto"/>
            <w:vAlign w:val="center"/>
          </w:tcPr>
          <w:p w14:paraId="2BFDA5AF">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间二甲苯</w:t>
            </w:r>
            <w:r>
              <w:rPr>
                <w:rFonts w:cs="Times New Roman"/>
                <w:color w:val="000000"/>
                <w:kern w:val="0"/>
                <w:sz w:val="21"/>
                <w:szCs w:val="21"/>
              </w:rPr>
              <w:t>+</w:t>
            </w:r>
            <w:r>
              <w:rPr>
                <w:rFonts w:hint="eastAsia" w:ascii="宋体" w:hAnsi="宋体" w:cs="宋体"/>
                <w:color w:val="000000"/>
                <w:kern w:val="0"/>
                <w:sz w:val="21"/>
                <w:szCs w:val="21"/>
              </w:rPr>
              <w:t>对二甲苯</w:t>
            </w:r>
          </w:p>
        </w:tc>
        <w:tc>
          <w:tcPr>
            <w:tcW w:w="714" w:type="pct"/>
            <w:tcBorders>
              <w:top w:val="nil"/>
              <w:left w:val="nil"/>
              <w:bottom w:val="nil"/>
              <w:right w:val="single" w:color="auto" w:sz="8" w:space="0"/>
            </w:tcBorders>
            <w:shd w:val="clear" w:color="auto" w:fill="auto"/>
            <w:vAlign w:val="center"/>
          </w:tcPr>
          <w:p w14:paraId="3CC9FBA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108-38-3</w:t>
            </w:r>
            <w:r>
              <w:rPr>
                <w:rFonts w:hint="eastAsia" w:ascii="宋体" w:hAnsi="宋体" w:cs="Times New Roman"/>
                <w:color w:val="000000"/>
                <w:kern w:val="0"/>
                <w:sz w:val="21"/>
                <w:szCs w:val="21"/>
              </w:rPr>
              <w:t>，</w:t>
            </w:r>
          </w:p>
        </w:tc>
        <w:tc>
          <w:tcPr>
            <w:tcW w:w="714" w:type="pct"/>
            <w:vMerge w:val="restart"/>
            <w:tcBorders>
              <w:top w:val="nil"/>
              <w:left w:val="single" w:color="auto" w:sz="8" w:space="0"/>
              <w:bottom w:val="single" w:color="000000" w:sz="8" w:space="0"/>
              <w:right w:val="single" w:color="auto" w:sz="8" w:space="0"/>
            </w:tcBorders>
            <w:shd w:val="clear" w:color="auto" w:fill="auto"/>
            <w:vAlign w:val="center"/>
          </w:tcPr>
          <w:p w14:paraId="2BC7D75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vMerge w:val="restart"/>
            <w:tcBorders>
              <w:top w:val="nil"/>
              <w:left w:val="single" w:color="auto" w:sz="8" w:space="0"/>
              <w:bottom w:val="single" w:color="000000" w:sz="8" w:space="0"/>
              <w:right w:val="single" w:color="auto" w:sz="8" w:space="0"/>
            </w:tcBorders>
            <w:shd w:val="clear" w:color="auto" w:fill="auto"/>
            <w:vAlign w:val="center"/>
          </w:tcPr>
          <w:p w14:paraId="2C9BE0E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vMerge w:val="restart"/>
            <w:tcBorders>
              <w:top w:val="nil"/>
              <w:left w:val="single" w:color="auto" w:sz="8" w:space="0"/>
              <w:bottom w:val="single" w:color="000000" w:sz="8" w:space="0"/>
              <w:right w:val="single" w:color="auto" w:sz="8" w:space="0"/>
            </w:tcBorders>
            <w:shd w:val="clear" w:color="auto" w:fill="auto"/>
            <w:vAlign w:val="center"/>
          </w:tcPr>
          <w:p w14:paraId="730F79F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570</w:t>
            </w:r>
          </w:p>
        </w:tc>
        <w:tc>
          <w:tcPr>
            <w:tcW w:w="714" w:type="pct"/>
            <w:vMerge w:val="restart"/>
            <w:tcBorders>
              <w:top w:val="nil"/>
              <w:left w:val="single" w:color="auto" w:sz="8" w:space="0"/>
              <w:bottom w:val="single" w:color="000000" w:sz="8" w:space="0"/>
              <w:right w:val="nil"/>
            </w:tcBorders>
            <w:shd w:val="clear" w:color="auto" w:fill="auto"/>
            <w:vAlign w:val="center"/>
          </w:tcPr>
          <w:p w14:paraId="33C62111">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5ABA6F50">
        <w:tblPrEx>
          <w:tblCellMar>
            <w:top w:w="0" w:type="dxa"/>
            <w:left w:w="108" w:type="dxa"/>
            <w:bottom w:w="0" w:type="dxa"/>
            <w:right w:w="108" w:type="dxa"/>
          </w:tblCellMar>
        </w:tblPrEx>
        <w:trPr>
          <w:trHeight w:val="290" w:hRule="atLeast"/>
        </w:trPr>
        <w:tc>
          <w:tcPr>
            <w:tcW w:w="714" w:type="pct"/>
            <w:vMerge w:val="continue"/>
            <w:tcBorders>
              <w:top w:val="nil"/>
              <w:left w:val="nil"/>
              <w:bottom w:val="single" w:color="000000" w:sz="8" w:space="0"/>
              <w:right w:val="single" w:color="auto" w:sz="8" w:space="0"/>
            </w:tcBorders>
            <w:vAlign w:val="center"/>
          </w:tcPr>
          <w:p w14:paraId="41BF8444">
            <w:pPr>
              <w:widowControl/>
              <w:spacing w:line="240" w:lineRule="auto"/>
              <w:ind w:firstLine="0" w:firstLineChars="0"/>
              <w:jc w:val="left"/>
              <w:rPr>
                <w:rFonts w:eastAsia="等线" w:cs="Times New Roman"/>
                <w:color w:val="000000"/>
                <w:kern w:val="0"/>
                <w:sz w:val="21"/>
                <w:szCs w:val="21"/>
              </w:rPr>
            </w:pPr>
          </w:p>
        </w:tc>
        <w:tc>
          <w:tcPr>
            <w:tcW w:w="714" w:type="pct"/>
            <w:vMerge w:val="continue"/>
            <w:tcBorders>
              <w:top w:val="nil"/>
              <w:left w:val="single" w:color="auto" w:sz="8" w:space="0"/>
              <w:bottom w:val="single" w:color="000000" w:sz="8" w:space="0"/>
              <w:right w:val="single" w:color="auto" w:sz="8" w:space="0"/>
            </w:tcBorders>
            <w:vAlign w:val="center"/>
          </w:tcPr>
          <w:p w14:paraId="6B420BE1">
            <w:pPr>
              <w:widowControl/>
              <w:spacing w:line="240" w:lineRule="auto"/>
              <w:ind w:firstLine="0" w:firstLineChars="0"/>
              <w:jc w:val="left"/>
              <w:rPr>
                <w:rFonts w:hint="eastAsia" w:ascii="宋体" w:hAnsi="宋体" w:cs="宋体"/>
                <w:color w:val="000000"/>
                <w:kern w:val="0"/>
                <w:sz w:val="21"/>
                <w:szCs w:val="21"/>
              </w:rPr>
            </w:pPr>
          </w:p>
        </w:tc>
        <w:tc>
          <w:tcPr>
            <w:tcW w:w="714" w:type="pct"/>
            <w:tcBorders>
              <w:top w:val="nil"/>
              <w:left w:val="nil"/>
              <w:bottom w:val="single" w:color="auto" w:sz="8" w:space="0"/>
              <w:right w:val="single" w:color="auto" w:sz="8" w:space="0"/>
            </w:tcBorders>
            <w:shd w:val="clear" w:color="auto" w:fill="auto"/>
            <w:vAlign w:val="center"/>
          </w:tcPr>
          <w:p w14:paraId="5FCE952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106-42-3</w:t>
            </w:r>
          </w:p>
        </w:tc>
        <w:tc>
          <w:tcPr>
            <w:tcW w:w="714" w:type="pct"/>
            <w:vMerge w:val="continue"/>
            <w:tcBorders>
              <w:top w:val="nil"/>
              <w:left w:val="single" w:color="auto" w:sz="8" w:space="0"/>
              <w:bottom w:val="single" w:color="000000" w:sz="8" w:space="0"/>
              <w:right w:val="single" w:color="auto" w:sz="8" w:space="0"/>
            </w:tcBorders>
            <w:vAlign w:val="center"/>
          </w:tcPr>
          <w:p w14:paraId="133CA78D">
            <w:pPr>
              <w:widowControl/>
              <w:spacing w:line="240" w:lineRule="auto"/>
              <w:ind w:firstLine="0" w:firstLineChars="0"/>
              <w:jc w:val="left"/>
              <w:rPr>
                <w:rFonts w:eastAsia="等线" w:cs="Times New Roman"/>
                <w:color w:val="000000"/>
                <w:kern w:val="0"/>
                <w:sz w:val="21"/>
                <w:szCs w:val="21"/>
              </w:rPr>
            </w:pPr>
          </w:p>
        </w:tc>
        <w:tc>
          <w:tcPr>
            <w:tcW w:w="714" w:type="pct"/>
            <w:vMerge w:val="continue"/>
            <w:tcBorders>
              <w:top w:val="nil"/>
              <w:left w:val="single" w:color="auto" w:sz="8" w:space="0"/>
              <w:bottom w:val="single" w:color="000000" w:sz="8" w:space="0"/>
              <w:right w:val="single" w:color="auto" w:sz="8" w:space="0"/>
            </w:tcBorders>
            <w:vAlign w:val="center"/>
          </w:tcPr>
          <w:p w14:paraId="18F49069">
            <w:pPr>
              <w:widowControl/>
              <w:spacing w:line="240" w:lineRule="auto"/>
              <w:ind w:firstLine="0" w:firstLineChars="0"/>
              <w:jc w:val="left"/>
              <w:rPr>
                <w:rFonts w:eastAsia="等线" w:cs="Times New Roman"/>
                <w:color w:val="000000"/>
                <w:kern w:val="0"/>
                <w:sz w:val="21"/>
                <w:szCs w:val="21"/>
              </w:rPr>
            </w:pPr>
          </w:p>
        </w:tc>
        <w:tc>
          <w:tcPr>
            <w:tcW w:w="714" w:type="pct"/>
            <w:vMerge w:val="continue"/>
            <w:tcBorders>
              <w:top w:val="nil"/>
              <w:left w:val="single" w:color="auto" w:sz="8" w:space="0"/>
              <w:bottom w:val="single" w:color="000000" w:sz="8" w:space="0"/>
              <w:right w:val="single" w:color="auto" w:sz="8" w:space="0"/>
            </w:tcBorders>
            <w:vAlign w:val="center"/>
          </w:tcPr>
          <w:p w14:paraId="7954CADB">
            <w:pPr>
              <w:widowControl/>
              <w:spacing w:line="240" w:lineRule="auto"/>
              <w:ind w:firstLine="0" w:firstLineChars="0"/>
              <w:jc w:val="left"/>
              <w:rPr>
                <w:rFonts w:eastAsia="等线" w:cs="Times New Roman"/>
                <w:color w:val="000000"/>
                <w:kern w:val="0"/>
                <w:sz w:val="21"/>
                <w:szCs w:val="21"/>
              </w:rPr>
            </w:pPr>
          </w:p>
        </w:tc>
        <w:tc>
          <w:tcPr>
            <w:tcW w:w="714" w:type="pct"/>
            <w:vMerge w:val="continue"/>
            <w:tcBorders>
              <w:top w:val="nil"/>
              <w:left w:val="single" w:color="auto" w:sz="8" w:space="0"/>
              <w:bottom w:val="single" w:color="000000" w:sz="8" w:space="0"/>
              <w:right w:val="nil"/>
            </w:tcBorders>
            <w:vAlign w:val="center"/>
          </w:tcPr>
          <w:p w14:paraId="44F73509">
            <w:pPr>
              <w:widowControl/>
              <w:spacing w:line="240" w:lineRule="auto"/>
              <w:ind w:firstLine="0" w:firstLineChars="0"/>
              <w:jc w:val="left"/>
              <w:rPr>
                <w:rFonts w:hint="eastAsia" w:ascii="宋体" w:hAnsi="宋体" w:cs="宋体"/>
                <w:color w:val="000000"/>
                <w:kern w:val="0"/>
                <w:sz w:val="21"/>
                <w:szCs w:val="21"/>
              </w:rPr>
            </w:pPr>
          </w:p>
        </w:tc>
      </w:tr>
      <w:tr w14:paraId="7D14472C">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3D4D301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34</w:t>
            </w:r>
          </w:p>
        </w:tc>
        <w:tc>
          <w:tcPr>
            <w:tcW w:w="714" w:type="pct"/>
            <w:tcBorders>
              <w:top w:val="nil"/>
              <w:left w:val="nil"/>
              <w:bottom w:val="single" w:color="auto" w:sz="8" w:space="0"/>
              <w:right w:val="single" w:color="auto" w:sz="8" w:space="0"/>
            </w:tcBorders>
            <w:shd w:val="clear" w:color="auto" w:fill="auto"/>
            <w:vAlign w:val="center"/>
          </w:tcPr>
          <w:p w14:paraId="553BE9DB">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邻二甲苯</w:t>
            </w:r>
          </w:p>
        </w:tc>
        <w:tc>
          <w:tcPr>
            <w:tcW w:w="714" w:type="pct"/>
            <w:tcBorders>
              <w:top w:val="nil"/>
              <w:left w:val="nil"/>
              <w:bottom w:val="single" w:color="auto" w:sz="8" w:space="0"/>
              <w:right w:val="single" w:color="auto" w:sz="8" w:space="0"/>
            </w:tcBorders>
            <w:shd w:val="clear" w:color="auto" w:fill="auto"/>
            <w:vAlign w:val="center"/>
          </w:tcPr>
          <w:p w14:paraId="7687532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95-47-6</w:t>
            </w:r>
          </w:p>
        </w:tc>
        <w:tc>
          <w:tcPr>
            <w:tcW w:w="714" w:type="pct"/>
            <w:tcBorders>
              <w:top w:val="nil"/>
              <w:left w:val="nil"/>
              <w:bottom w:val="single" w:color="auto" w:sz="8" w:space="0"/>
              <w:right w:val="single" w:color="auto" w:sz="8" w:space="0"/>
            </w:tcBorders>
            <w:shd w:val="clear" w:color="auto" w:fill="auto"/>
            <w:vAlign w:val="center"/>
          </w:tcPr>
          <w:p w14:paraId="408E85F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36B548F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3BDF4F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640</w:t>
            </w:r>
          </w:p>
        </w:tc>
        <w:tc>
          <w:tcPr>
            <w:tcW w:w="714" w:type="pct"/>
            <w:tcBorders>
              <w:top w:val="nil"/>
              <w:left w:val="nil"/>
              <w:bottom w:val="single" w:color="auto" w:sz="8" w:space="0"/>
              <w:right w:val="nil"/>
            </w:tcBorders>
            <w:shd w:val="clear" w:color="auto" w:fill="auto"/>
            <w:vAlign w:val="center"/>
          </w:tcPr>
          <w:p w14:paraId="096B8685">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7F8380E8">
        <w:tblPrEx>
          <w:tblCellMar>
            <w:top w:w="0" w:type="dxa"/>
            <w:left w:w="108" w:type="dxa"/>
            <w:bottom w:w="0" w:type="dxa"/>
            <w:right w:w="108" w:type="dxa"/>
          </w:tblCellMar>
        </w:tblPrEx>
        <w:trPr>
          <w:trHeight w:val="290" w:hRule="atLeast"/>
        </w:trPr>
        <w:tc>
          <w:tcPr>
            <w:tcW w:w="5000" w:type="pct"/>
            <w:gridSpan w:val="7"/>
            <w:tcBorders>
              <w:top w:val="single" w:color="auto" w:sz="8" w:space="0"/>
              <w:left w:val="nil"/>
              <w:bottom w:val="single" w:color="auto" w:sz="8" w:space="0"/>
              <w:right w:val="nil"/>
            </w:tcBorders>
            <w:shd w:val="clear" w:color="auto" w:fill="auto"/>
            <w:vAlign w:val="center"/>
          </w:tcPr>
          <w:p w14:paraId="0DFB5F4B">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半挥发性有机物（单位：</w:t>
            </w:r>
            <w:r>
              <w:rPr>
                <w:rFonts w:cs="Times New Roman"/>
                <w:color w:val="000000"/>
                <w:kern w:val="0"/>
                <w:sz w:val="21"/>
                <w:szCs w:val="21"/>
              </w:rPr>
              <w:t>mg/kg</w:t>
            </w:r>
            <w:r>
              <w:rPr>
                <w:rFonts w:hint="eastAsia" w:ascii="宋体" w:hAnsi="宋体" w:cs="宋体"/>
                <w:color w:val="000000"/>
                <w:kern w:val="0"/>
                <w:sz w:val="21"/>
                <w:szCs w:val="21"/>
              </w:rPr>
              <w:t>）</w:t>
            </w:r>
          </w:p>
        </w:tc>
      </w:tr>
      <w:tr w14:paraId="2A196368">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72F53B1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35</w:t>
            </w:r>
          </w:p>
        </w:tc>
        <w:tc>
          <w:tcPr>
            <w:tcW w:w="714" w:type="pct"/>
            <w:tcBorders>
              <w:top w:val="nil"/>
              <w:left w:val="nil"/>
              <w:bottom w:val="single" w:color="auto" w:sz="8" w:space="0"/>
              <w:right w:val="single" w:color="auto" w:sz="8" w:space="0"/>
            </w:tcBorders>
            <w:shd w:val="clear" w:color="auto" w:fill="auto"/>
            <w:vAlign w:val="center"/>
          </w:tcPr>
          <w:p w14:paraId="44E9CB09">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硝基苯</w:t>
            </w:r>
          </w:p>
        </w:tc>
        <w:tc>
          <w:tcPr>
            <w:tcW w:w="714" w:type="pct"/>
            <w:tcBorders>
              <w:top w:val="nil"/>
              <w:left w:val="nil"/>
              <w:bottom w:val="single" w:color="auto" w:sz="8" w:space="0"/>
              <w:right w:val="single" w:color="auto" w:sz="8" w:space="0"/>
            </w:tcBorders>
            <w:shd w:val="clear" w:color="auto" w:fill="auto"/>
            <w:vAlign w:val="center"/>
          </w:tcPr>
          <w:p w14:paraId="581EE9B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98-95-3</w:t>
            </w:r>
          </w:p>
        </w:tc>
        <w:tc>
          <w:tcPr>
            <w:tcW w:w="714" w:type="pct"/>
            <w:tcBorders>
              <w:top w:val="nil"/>
              <w:left w:val="nil"/>
              <w:bottom w:val="single" w:color="auto" w:sz="8" w:space="0"/>
              <w:right w:val="single" w:color="auto" w:sz="8" w:space="0"/>
            </w:tcBorders>
            <w:shd w:val="clear" w:color="auto" w:fill="auto"/>
            <w:vAlign w:val="center"/>
          </w:tcPr>
          <w:p w14:paraId="34F8FC5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EF4FD1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79EBF7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76</w:t>
            </w:r>
          </w:p>
        </w:tc>
        <w:tc>
          <w:tcPr>
            <w:tcW w:w="714" w:type="pct"/>
            <w:tcBorders>
              <w:top w:val="nil"/>
              <w:left w:val="nil"/>
              <w:bottom w:val="single" w:color="auto" w:sz="8" w:space="0"/>
              <w:right w:val="nil"/>
            </w:tcBorders>
            <w:shd w:val="clear" w:color="auto" w:fill="auto"/>
            <w:vAlign w:val="center"/>
          </w:tcPr>
          <w:p w14:paraId="1023023C">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21C60AC1">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2B075BA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36</w:t>
            </w:r>
          </w:p>
        </w:tc>
        <w:tc>
          <w:tcPr>
            <w:tcW w:w="714" w:type="pct"/>
            <w:tcBorders>
              <w:top w:val="nil"/>
              <w:left w:val="nil"/>
              <w:bottom w:val="single" w:color="auto" w:sz="8" w:space="0"/>
              <w:right w:val="single" w:color="auto" w:sz="8" w:space="0"/>
            </w:tcBorders>
            <w:shd w:val="clear" w:color="auto" w:fill="auto"/>
            <w:vAlign w:val="center"/>
          </w:tcPr>
          <w:p w14:paraId="54550650">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苯胺</w:t>
            </w:r>
          </w:p>
        </w:tc>
        <w:tc>
          <w:tcPr>
            <w:tcW w:w="714" w:type="pct"/>
            <w:tcBorders>
              <w:top w:val="nil"/>
              <w:left w:val="nil"/>
              <w:bottom w:val="single" w:color="auto" w:sz="8" w:space="0"/>
              <w:right w:val="single" w:color="auto" w:sz="8" w:space="0"/>
            </w:tcBorders>
            <w:shd w:val="clear" w:color="auto" w:fill="auto"/>
            <w:vAlign w:val="center"/>
          </w:tcPr>
          <w:p w14:paraId="5CE01EA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62-53-3</w:t>
            </w:r>
          </w:p>
        </w:tc>
        <w:tc>
          <w:tcPr>
            <w:tcW w:w="714" w:type="pct"/>
            <w:tcBorders>
              <w:top w:val="nil"/>
              <w:left w:val="nil"/>
              <w:bottom w:val="single" w:color="auto" w:sz="8" w:space="0"/>
              <w:right w:val="single" w:color="auto" w:sz="8" w:space="0"/>
            </w:tcBorders>
            <w:shd w:val="clear" w:color="auto" w:fill="auto"/>
            <w:vAlign w:val="center"/>
          </w:tcPr>
          <w:p w14:paraId="1D05B71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F4E3BA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75291D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260</w:t>
            </w:r>
          </w:p>
        </w:tc>
        <w:tc>
          <w:tcPr>
            <w:tcW w:w="714" w:type="pct"/>
            <w:tcBorders>
              <w:top w:val="nil"/>
              <w:left w:val="nil"/>
              <w:bottom w:val="single" w:color="auto" w:sz="8" w:space="0"/>
              <w:right w:val="nil"/>
            </w:tcBorders>
            <w:shd w:val="clear" w:color="auto" w:fill="auto"/>
            <w:vAlign w:val="center"/>
          </w:tcPr>
          <w:p w14:paraId="35B2A739">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0D2B386A">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459747C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37</w:t>
            </w:r>
          </w:p>
        </w:tc>
        <w:tc>
          <w:tcPr>
            <w:tcW w:w="714" w:type="pct"/>
            <w:tcBorders>
              <w:top w:val="nil"/>
              <w:left w:val="nil"/>
              <w:bottom w:val="single" w:color="auto" w:sz="8" w:space="0"/>
              <w:right w:val="single" w:color="auto" w:sz="8" w:space="0"/>
            </w:tcBorders>
            <w:shd w:val="clear" w:color="auto" w:fill="auto"/>
            <w:vAlign w:val="center"/>
          </w:tcPr>
          <w:p w14:paraId="57AAA4C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w:t>
            </w:r>
            <w:r>
              <w:rPr>
                <w:rFonts w:hint="eastAsia" w:ascii="宋体" w:hAnsi="宋体" w:cs="Times New Roman"/>
                <w:color w:val="000000"/>
                <w:kern w:val="0"/>
                <w:sz w:val="21"/>
                <w:szCs w:val="21"/>
              </w:rPr>
              <w:t>氯酚</w:t>
            </w:r>
          </w:p>
        </w:tc>
        <w:tc>
          <w:tcPr>
            <w:tcW w:w="714" w:type="pct"/>
            <w:tcBorders>
              <w:top w:val="nil"/>
              <w:left w:val="nil"/>
              <w:bottom w:val="single" w:color="auto" w:sz="8" w:space="0"/>
              <w:right w:val="single" w:color="auto" w:sz="8" w:space="0"/>
            </w:tcBorders>
            <w:shd w:val="clear" w:color="auto" w:fill="auto"/>
            <w:vAlign w:val="center"/>
          </w:tcPr>
          <w:p w14:paraId="4880DC5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95-57-8</w:t>
            </w:r>
          </w:p>
        </w:tc>
        <w:tc>
          <w:tcPr>
            <w:tcW w:w="714" w:type="pct"/>
            <w:tcBorders>
              <w:top w:val="nil"/>
              <w:left w:val="nil"/>
              <w:bottom w:val="single" w:color="auto" w:sz="8" w:space="0"/>
              <w:right w:val="single" w:color="auto" w:sz="8" w:space="0"/>
            </w:tcBorders>
            <w:shd w:val="clear" w:color="auto" w:fill="auto"/>
            <w:vAlign w:val="center"/>
          </w:tcPr>
          <w:p w14:paraId="12927C6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18BA6F9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358430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2256</w:t>
            </w:r>
          </w:p>
        </w:tc>
        <w:tc>
          <w:tcPr>
            <w:tcW w:w="714" w:type="pct"/>
            <w:tcBorders>
              <w:top w:val="nil"/>
              <w:left w:val="nil"/>
              <w:bottom w:val="single" w:color="auto" w:sz="8" w:space="0"/>
              <w:right w:val="nil"/>
            </w:tcBorders>
            <w:shd w:val="clear" w:color="auto" w:fill="auto"/>
            <w:vAlign w:val="center"/>
          </w:tcPr>
          <w:p w14:paraId="2C106CD0">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7FB3F667">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4E1FED9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38</w:t>
            </w:r>
          </w:p>
        </w:tc>
        <w:tc>
          <w:tcPr>
            <w:tcW w:w="714" w:type="pct"/>
            <w:tcBorders>
              <w:top w:val="nil"/>
              <w:left w:val="nil"/>
              <w:bottom w:val="single" w:color="auto" w:sz="8" w:space="0"/>
              <w:right w:val="single" w:color="auto" w:sz="8" w:space="0"/>
            </w:tcBorders>
            <w:shd w:val="clear" w:color="auto" w:fill="auto"/>
            <w:vAlign w:val="center"/>
          </w:tcPr>
          <w:p w14:paraId="39EB4EDE">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苯并</w:t>
            </w:r>
            <w:r>
              <w:rPr>
                <w:rFonts w:cs="Times New Roman"/>
                <w:color w:val="000000"/>
                <w:kern w:val="0"/>
                <w:sz w:val="21"/>
                <w:szCs w:val="21"/>
              </w:rPr>
              <w:t>[a]</w:t>
            </w:r>
            <w:r>
              <w:rPr>
                <w:rFonts w:hint="eastAsia" w:ascii="宋体" w:hAnsi="宋体" w:cs="宋体"/>
                <w:color w:val="000000"/>
                <w:kern w:val="0"/>
                <w:sz w:val="21"/>
                <w:szCs w:val="21"/>
              </w:rPr>
              <w:t>蒽</w:t>
            </w:r>
          </w:p>
        </w:tc>
        <w:tc>
          <w:tcPr>
            <w:tcW w:w="714" w:type="pct"/>
            <w:tcBorders>
              <w:top w:val="nil"/>
              <w:left w:val="nil"/>
              <w:bottom w:val="single" w:color="auto" w:sz="8" w:space="0"/>
              <w:right w:val="single" w:color="auto" w:sz="8" w:space="0"/>
            </w:tcBorders>
            <w:shd w:val="clear" w:color="auto" w:fill="auto"/>
            <w:vAlign w:val="center"/>
          </w:tcPr>
          <w:p w14:paraId="133D624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56-55-3</w:t>
            </w:r>
          </w:p>
        </w:tc>
        <w:tc>
          <w:tcPr>
            <w:tcW w:w="714" w:type="pct"/>
            <w:tcBorders>
              <w:top w:val="nil"/>
              <w:left w:val="nil"/>
              <w:bottom w:val="single" w:color="auto" w:sz="8" w:space="0"/>
              <w:right w:val="single" w:color="auto" w:sz="8" w:space="0"/>
            </w:tcBorders>
            <w:shd w:val="clear" w:color="auto" w:fill="auto"/>
            <w:vAlign w:val="center"/>
          </w:tcPr>
          <w:p w14:paraId="34F0308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D81C89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6F908C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14" w:type="pct"/>
            <w:tcBorders>
              <w:top w:val="nil"/>
              <w:left w:val="nil"/>
              <w:bottom w:val="single" w:color="auto" w:sz="8" w:space="0"/>
              <w:right w:val="nil"/>
            </w:tcBorders>
            <w:shd w:val="clear" w:color="auto" w:fill="auto"/>
            <w:vAlign w:val="center"/>
          </w:tcPr>
          <w:p w14:paraId="4AD24528">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40903245">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3600DCA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39</w:t>
            </w:r>
          </w:p>
        </w:tc>
        <w:tc>
          <w:tcPr>
            <w:tcW w:w="714" w:type="pct"/>
            <w:tcBorders>
              <w:top w:val="nil"/>
              <w:left w:val="nil"/>
              <w:bottom w:val="single" w:color="auto" w:sz="8" w:space="0"/>
              <w:right w:val="single" w:color="auto" w:sz="8" w:space="0"/>
            </w:tcBorders>
            <w:shd w:val="clear" w:color="auto" w:fill="auto"/>
            <w:vAlign w:val="center"/>
          </w:tcPr>
          <w:p w14:paraId="5A1EE470">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苯并</w:t>
            </w:r>
            <w:r>
              <w:rPr>
                <w:rFonts w:cs="Times New Roman"/>
                <w:color w:val="000000"/>
                <w:kern w:val="0"/>
                <w:sz w:val="21"/>
                <w:szCs w:val="21"/>
              </w:rPr>
              <w:t>[a]</w:t>
            </w:r>
            <w:r>
              <w:rPr>
                <w:rFonts w:hint="eastAsia" w:ascii="宋体" w:hAnsi="宋体" w:cs="宋体"/>
                <w:color w:val="000000"/>
                <w:kern w:val="0"/>
                <w:sz w:val="21"/>
                <w:szCs w:val="21"/>
              </w:rPr>
              <w:t>芘</w:t>
            </w:r>
          </w:p>
        </w:tc>
        <w:tc>
          <w:tcPr>
            <w:tcW w:w="714" w:type="pct"/>
            <w:tcBorders>
              <w:top w:val="nil"/>
              <w:left w:val="nil"/>
              <w:bottom w:val="single" w:color="auto" w:sz="8" w:space="0"/>
              <w:right w:val="single" w:color="auto" w:sz="8" w:space="0"/>
            </w:tcBorders>
            <w:shd w:val="clear" w:color="auto" w:fill="auto"/>
            <w:vAlign w:val="center"/>
          </w:tcPr>
          <w:p w14:paraId="6E2E85B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50-32-8</w:t>
            </w:r>
          </w:p>
        </w:tc>
        <w:tc>
          <w:tcPr>
            <w:tcW w:w="714" w:type="pct"/>
            <w:tcBorders>
              <w:top w:val="nil"/>
              <w:left w:val="nil"/>
              <w:bottom w:val="single" w:color="auto" w:sz="8" w:space="0"/>
              <w:right w:val="single" w:color="auto" w:sz="8" w:space="0"/>
            </w:tcBorders>
            <w:shd w:val="clear" w:color="auto" w:fill="auto"/>
            <w:vAlign w:val="center"/>
          </w:tcPr>
          <w:p w14:paraId="09CD707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9603FC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C7A7D4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14" w:type="pct"/>
            <w:tcBorders>
              <w:top w:val="nil"/>
              <w:left w:val="nil"/>
              <w:bottom w:val="single" w:color="auto" w:sz="8" w:space="0"/>
              <w:right w:val="nil"/>
            </w:tcBorders>
            <w:shd w:val="clear" w:color="auto" w:fill="auto"/>
            <w:vAlign w:val="center"/>
          </w:tcPr>
          <w:p w14:paraId="322495B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210B68DB">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76E5620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40</w:t>
            </w:r>
          </w:p>
        </w:tc>
        <w:tc>
          <w:tcPr>
            <w:tcW w:w="714" w:type="pct"/>
            <w:tcBorders>
              <w:top w:val="nil"/>
              <w:left w:val="nil"/>
              <w:bottom w:val="single" w:color="auto" w:sz="8" w:space="0"/>
              <w:right w:val="single" w:color="auto" w:sz="8" w:space="0"/>
            </w:tcBorders>
            <w:shd w:val="clear" w:color="auto" w:fill="auto"/>
            <w:vAlign w:val="center"/>
          </w:tcPr>
          <w:p w14:paraId="58EE5BAA">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苯并</w:t>
            </w:r>
            <w:r>
              <w:rPr>
                <w:rFonts w:cs="Times New Roman"/>
                <w:color w:val="000000"/>
                <w:kern w:val="0"/>
                <w:sz w:val="21"/>
                <w:szCs w:val="21"/>
              </w:rPr>
              <w:t>[b]</w:t>
            </w:r>
            <w:r>
              <w:rPr>
                <w:rFonts w:hint="eastAsia" w:ascii="宋体" w:hAnsi="宋体" w:cs="宋体"/>
                <w:color w:val="000000"/>
                <w:kern w:val="0"/>
                <w:sz w:val="21"/>
                <w:szCs w:val="21"/>
              </w:rPr>
              <w:t>荧蒽</w:t>
            </w:r>
          </w:p>
        </w:tc>
        <w:tc>
          <w:tcPr>
            <w:tcW w:w="714" w:type="pct"/>
            <w:tcBorders>
              <w:top w:val="nil"/>
              <w:left w:val="nil"/>
              <w:bottom w:val="single" w:color="auto" w:sz="8" w:space="0"/>
              <w:right w:val="single" w:color="auto" w:sz="8" w:space="0"/>
            </w:tcBorders>
            <w:shd w:val="clear" w:color="auto" w:fill="auto"/>
            <w:vAlign w:val="center"/>
          </w:tcPr>
          <w:p w14:paraId="4B3F80B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205-99-2</w:t>
            </w:r>
          </w:p>
        </w:tc>
        <w:tc>
          <w:tcPr>
            <w:tcW w:w="714" w:type="pct"/>
            <w:tcBorders>
              <w:top w:val="nil"/>
              <w:left w:val="nil"/>
              <w:bottom w:val="single" w:color="auto" w:sz="8" w:space="0"/>
              <w:right w:val="single" w:color="auto" w:sz="8" w:space="0"/>
            </w:tcBorders>
            <w:shd w:val="clear" w:color="auto" w:fill="auto"/>
            <w:vAlign w:val="center"/>
          </w:tcPr>
          <w:p w14:paraId="5E39E54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E1D340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7162A21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14" w:type="pct"/>
            <w:tcBorders>
              <w:top w:val="nil"/>
              <w:left w:val="nil"/>
              <w:bottom w:val="single" w:color="auto" w:sz="8" w:space="0"/>
              <w:right w:val="nil"/>
            </w:tcBorders>
            <w:shd w:val="clear" w:color="auto" w:fill="auto"/>
            <w:vAlign w:val="center"/>
          </w:tcPr>
          <w:p w14:paraId="6FF18F17">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6EA47762">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4DC26B0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41</w:t>
            </w:r>
          </w:p>
        </w:tc>
        <w:tc>
          <w:tcPr>
            <w:tcW w:w="714" w:type="pct"/>
            <w:tcBorders>
              <w:top w:val="nil"/>
              <w:left w:val="nil"/>
              <w:bottom w:val="single" w:color="auto" w:sz="8" w:space="0"/>
              <w:right w:val="single" w:color="auto" w:sz="8" w:space="0"/>
            </w:tcBorders>
            <w:shd w:val="clear" w:color="auto" w:fill="auto"/>
            <w:vAlign w:val="center"/>
          </w:tcPr>
          <w:p w14:paraId="368FF03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苯并</w:t>
            </w:r>
            <w:r>
              <w:rPr>
                <w:rFonts w:cs="Times New Roman"/>
                <w:color w:val="000000"/>
                <w:kern w:val="0"/>
                <w:sz w:val="21"/>
                <w:szCs w:val="21"/>
              </w:rPr>
              <w:t>[k]</w:t>
            </w:r>
            <w:r>
              <w:rPr>
                <w:rFonts w:hint="eastAsia" w:ascii="宋体" w:hAnsi="宋体" w:cs="宋体"/>
                <w:color w:val="000000"/>
                <w:kern w:val="0"/>
                <w:sz w:val="21"/>
                <w:szCs w:val="21"/>
              </w:rPr>
              <w:t>荧蒽</w:t>
            </w:r>
          </w:p>
        </w:tc>
        <w:tc>
          <w:tcPr>
            <w:tcW w:w="714" w:type="pct"/>
            <w:tcBorders>
              <w:top w:val="nil"/>
              <w:left w:val="nil"/>
              <w:bottom w:val="single" w:color="auto" w:sz="8" w:space="0"/>
              <w:right w:val="single" w:color="auto" w:sz="8" w:space="0"/>
            </w:tcBorders>
            <w:shd w:val="clear" w:color="auto" w:fill="auto"/>
            <w:vAlign w:val="center"/>
          </w:tcPr>
          <w:p w14:paraId="4AFF223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207-08-9</w:t>
            </w:r>
          </w:p>
        </w:tc>
        <w:tc>
          <w:tcPr>
            <w:tcW w:w="714" w:type="pct"/>
            <w:tcBorders>
              <w:top w:val="nil"/>
              <w:left w:val="nil"/>
              <w:bottom w:val="single" w:color="auto" w:sz="8" w:space="0"/>
              <w:right w:val="single" w:color="auto" w:sz="8" w:space="0"/>
            </w:tcBorders>
            <w:shd w:val="clear" w:color="auto" w:fill="auto"/>
            <w:vAlign w:val="center"/>
          </w:tcPr>
          <w:p w14:paraId="38D015E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1E455A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FB66CE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151</w:t>
            </w:r>
          </w:p>
        </w:tc>
        <w:tc>
          <w:tcPr>
            <w:tcW w:w="714" w:type="pct"/>
            <w:tcBorders>
              <w:top w:val="nil"/>
              <w:left w:val="nil"/>
              <w:bottom w:val="single" w:color="auto" w:sz="8" w:space="0"/>
              <w:right w:val="nil"/>
            </w:tcBorders>
            <w:shd w:val="clear" w:color="auto" w:fill="auto"/>
            <w:vAlign w:val="center"/>
          </w:tcPr>
          <w:p w14:paraId="247D1BE9">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75184760">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3684DE3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42</w:t>
            </w:r>
          </w:p>
        </w:tc>
        <w:tc>
          <w:tcPr>
            <w:tcW w:w="714" w:type="pct"/>
            <w:tcBorders>
              <w:top w:val="nil"/>
              <w:left w:val="nil"/>
              <w:bottom w:val="single" w:color="auto" w:sz="8" w:space="0"/>
              <w:right w:val="single" w:color="auto" w:sz="8" w:space="0"/>
            </w:tcBorders>
            <w:shd w:val="clear" w:color="auto" w:fill="auto"/>
            <w:vAlign w:val="center"/>
          </w:tcPr>
          <w:p w14:paraId="224DC850">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䓛</w:t>
            </w:r>
          </w:p>
        </w:tc>
        <w:tc>
          <w:tcPr>
            <w:tcW w:w="714" w:type="pct"/>
            <w:tcBorders>
              <w:top w:val="nil"/>
              <w:left w:val="nil"/>
              <w:bottom w:val="single" w:color="auto" w:sz="8" w:space="0"/>
              <w:right w:val="single" w:color="auto" w:sz="8" w:space="0"/>
            </w:tcBorders>
            <w:shd w:val="clear" w:color="auto" w:fill="auto"/>
            <w:vAlign w:val="center"/>
          </w:tcPr>
          <w:p w14:paraId="1D0A60D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218-01-9</w:t>
            </w:r>
          </w:p>
        </w:tc>
        <w:tc>
          <w:tcPr>
            <w:tcW w:w="714" w:type="pct"/>
            <w:tcBorders>
              <w:top w:val="nil"/>
              <w:left w:val="nil"/>
              <w:bottom w:val="single" w:color="auto" w:sz="8" w:space="0"/>
              <w:right w:val="single" w:color="auto" w:sz="8" w:space="0"/>
            </w:tcBorders>
            <w:shd w:val="clear" w:color="auto" w:fill="auto"/>
            <w:vAlign w:val="center"/>
          </w:tcPr>
          <w:p w14:paraId="3232897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57CFDD1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5C618CC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1293</w:t>
            </w:r>
          </w:p>
        </w:tc>
        <w:tc>
          <w:tcPr>
            <w:tcW w:w="714" w:type="pct"/>
            <w:tcBorders>
              <w:top w:val="nil"/>
              <w:left w:val="nil"/>
              <w:bottom w:val="single" w:color="auto" w:sz="8" w:space="0"/>
              <w:right w:val="nil"/>
            </w:tcBorders>
            <w:shd w:val="clear" w:color="auto" w:fill="auto"/>
            <w:vAlign w:val="center"/>
          </w:tcPr>
          <w:p w14:paraId="25637F53">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0013BBC1">
        <w:tblPrEx>
          <w:tblCellMar>
            <w:top w:w="0" w:type="dxa"/>
            <w:left w:w="108" w:type="dxa"/>
            <w:bottom w:w="0" w:type="dxa"/>
            <w:right w:w="108" w:type="dxa"/>
          </w:tblCellMar>
        </w:tblPrEx>
        <w:trPr>
          <w:trHeight w:val="560" w:hRule="atLeast"/>
        </w:trPr>
        <w:tc>
          <w:tcPr>
            <w:tcW w:w="714" w:type="pct"/>
            <w:tcBorders>
              <w:top w:val="nil"/>
              <w:left w:val="nil"/>
              <w:bottom w:val="single" w:color="auto" w:sz="8" w:space="0"/>
              <w:right w:val="single" w:color="auto" w:sz="8" w:space="0"/>
            </w:tcBorders>
            <w:shd w:val="clear" w:color="auto" w:fill="auto"/>
            <w:vAlign w:val="center"/>
          </w:tcPr>
          <w:p w14:paraId="3F771ED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43</w:t>
            </w:r>
          </w:p>
        </w:tc>
        <w:tc>
          <w:tcPr>
            <w:tcW w:w="714" w:type="pct"/>
            <w:tcBorders>
              <w:top w:val="nil"/>
              <w:left w:val="nil"/>
              <w:bottom w:val="single" w:color="auto" w:sz="8" w:space="0"/>
              <w:right w:val="single" w:color="auto" w:sz="8" w:space="0"/>
            </w:tcBorders>
            <w:shd w:val="clear" w:color="auto" w:fill="auto"/>
            <w:vAlign w:val="center"/>
          </w:tcPr>
          <w:p w14:paraId="57E80131">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二苯并</w:t>
            </w:r>
            <w:r>
              <w:rPr>
                <w:rFonts w:cs="Times New Roman"/>
                <w:color w:val="000000"/>
                <w:kern w:val="0"/>
                <w:sz w:val="21"/>
                <w:szCs w:val="21"/>
              </w:rPr>
              <w:t>[a</w:t>
            </w:r>
            <w:r>
              <w:rPr>
                <w:rFonts w:hint="eastAsia" w:ascii="宋体" w:hAnsi="宋体" w:cs="宋体"/>
                <w:color w:val="000000"/>
                <w:kern w:val="0"/>
                <w:sz w:val="21"/>
                <w:szCs w:val="21"/>
              </w:rPr>
              <w:t>，</w:t>
            </w:r>
            <w:r>
              <w:rPr>
                <w:rFonts w:cs="Times New Roman"/>
                <w:color w:val="000000"/>
                <w:kern w:val="0"/>
                <w:sz w:val="21"/>
                <w:szCs w:val="21"/>
              </w:rPr>
              <w:t>h]</w:t>
            </w:r>
            <w:r>
              <w:rPr>
                <w:rFonts w:hint="eastAsia" w:ascii="宋体" w:hAnsi="宋体" w:cs="宋体"/>
                <w:color w:val="000000"/>
                <w:kern w:val="0"/>
                <w:sz w:val="21"/>
                <w:szCs w:val="21"/>
              </w:rPr>
              <w:t>蒽</w:t>
            </w:r>
          </w:p>
        </w:tc>
        <w:tc>
          <w:tcPr>
            <w:tcW w:w="714" w:type="pct"/>
            <w:tcBorders>
              <w:top w:val="nil"/>
              <w:left w:val="nil"/>
              <w:bottom w:val="single" w:color="auto" w:sz="8" w:space="0"/>
              <w:right w:val="single" w:color="auto" w:sz="8" w:space="0"/>
            </w:tcBorders>
            <w:shd w:val="clear" w:color="auto" w:fill="auto"/>
            <w:vAlign w:val="center"/>
          </w:tcPr>
          <w:p w14:paraId="7A8286C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53-70-3</w:t>
            </w:r>
          </w:p>
        </w:tc>
        <w:tc>
          <w:tcPr>
            <w:tcW w:w="714" w:type="pct"/>
            <w:tcBorders>
              <w:top w:val="nil"/>
              <w:left w:val="nil"/>
              <w:bottom w:val="single" w:color="auto" w:sz="8" w:space="0"/>
              <w:right w:val="single" w:color="auto" w:sz="8" w:space="0"/>
            </w:tcBorders>
            <w:shd w:val="clear" w:color="auto" w:fill="auto"/>
            <w:vAlign w:val="center"/>
          </w:tcPr>
          <w:p w14:paraId="7C7928D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F20313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10C1F7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14" w:type="pct"/>
            <w:tcBorders>
              <w:top w:val="nil"/>
              <w:left w:val="nil"/>
              <w:bottom w:val="single" w:color="auto" w:sz="8" w:space="0"/>
              <w:right w:val="nil"/>
            </w:tcBorders>
            <w:shd w:val="clear" w:color="auto" w:fill="auto"/>
            <w:vAlign w:val="center"/>
          </w:tcPr>
          <w:p w14:paraId="691FB29A">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55A39CA6">
        <w:tblPrEx>
          <w:tblCellMar>
            <w:top w:w="0" w:type="dxa"/>
            <w:left w:w="108" w:type="dxa"/>
            <w:bottom w:w="0" w:type="dxa"/>
            <w:right w:w="108" w:type="dxa"/>
          </w:tblCellMar>
        </w:tblPrEx>
        <w:trPr>
          <w:trHeight w:val="820" w:hRule="atLeast"/>
        </w:trPr>
        <w:tc>
          <w:tcPr>
            <w:tcW w:w="714" w:type="pct"/>
            <w:tcBorders>
              <w:top w:val="nil"/>
              <w:left w:val="nil"/>
              <w:bottom w:val="single" w:color="auto" w:sz="8" w:space="0"/>
              <w:right w:val="single" w:color="auto" w:sz="8" w:space="0"/>
            </w:tcBorders>
            <w:shd w:val="clear" w:color="auto" w:fill="auto"/>
            <w:vAlign w:val="center"/>
          </w:tcPr>
          <w:p w14:paraId="10168D9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44</w:t>
            </w:r>
          </w:p>
        </w:tc>
        <w:tc>
          <w:tcPr>
            <w:tcW w:w="714" w:type="pct"/>
            <w:tcBorders>
              <w:top w:val="nil"/>
              <w:left w:val="nil"/>
              <w:bottom w:val="single" w:color="auto" w:sz="8" w:space="0"/>
              <w:right w:val="single" w:color="auto" w:sz="8" w:space="0"/>
            </w:tcBorders>
            <w:shd w:val="clear" w:color="auto" w:fill="auto"/>
            <w:vAlign w:val="center"/>
          </w:tcPr>
          <w:p w14:paraId="4C43AA36">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茚并</w:t>
            </w:r>
            <w:r>
              <w:rPr>
                <w:rFonts w:cs="Times New Roman"/>
                <w:color w:val="000000"/>
                <w:kern w:val="0"/>
                <w:sz w:val="21"/>
                <w:szCs w:val="21"/>
              </w:rPr>
              <w:t>[1,2,3-cd]</w:t>
            </w:r>
            <w:r>
              <w:rPr>
                <w:rFonts w:hint="eastAsia" w:ascii="宋体" w:hAnsi="宋体" w:cs="宋体"/>
                <w:color w:val="000000"/>
                <w:kern w:val="0"/>
                <w:sz w:val="21"/>
                <w:szCs w:val="21"/>
              </w:rPr>
              <w:t>芘</w:t>
            </w:r>
          </w:p>
        </w:tc>
        <w:tc>
          <w:tcPr>
            <w:tcW w:w="714" w:type="pct"/>
            <w:tcBorders>
              <w:top w:val="nil"/>
              <w:left w:val="nil"/>
              <w:bottom w:val="single" w:color="auto" w:sz="8" w:space="0"/>
              <w:right w:val="single" w:color="auto" w:sz="8" w:space="0"/>
            </w:tcBorders>
            <w:shd w:val="clear" w:color="auto" w:fill="auto"/>
            <w:vAlign w:val="center"/>
          </w:tcPr>
          <w:p w14:paraId="5AE5A98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193-39-5</w:t>
            </w:r>
          </w:p>
        </w:tc>
        <w:tc>
          <w:tcPr>
            <w:tcW w:w="714" w:type="pct"/>
            <w:tcBorders>
              <w:top w:val="nil"/>
              <w:left w:val="nil"/>
              <w:bottom w:val="single" w:color="auto" w:sz="8" w:space="0"/>
              <w:right w:val="single" w:color="auto" w:sz="8" w:space="0"/>
            </w:tcBorders>
            <w:shd w:val="clear" w:color="auto" w:fill="auto"/>
            <w:vAlign w:val="center"/>
          </w:tcPr>
          <w:p w14:paraId="37A4CA5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7F2B3C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44E7F37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w:t>
            </w:r>
          </w:p>
        </w:tc>
        <w:tc>
          <w:tcPr>
            <w:tcW w:w="714" w:type="pct"/>
            <w:tcBorders>
              <w:top w:val="nil"/>
              <w:left w:val="nil"/>
              <w:bottom w:val="single" w:color="auto" w:sz="8" w:space="0"/>
              <w:right w:val="nil"/>
            </w:tcBorders>
            <w:shd w:val="clear" w:color="auto" w:fill="auto"/>
            <w:vAlign w:val="center"/>
          </w:tcPr>
          <w:p w14:paraId="117521F0">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r w14:paraId="45931840">
        <w:tblPrEx>
          <w:tblCellMar>
            <w:top w:w="0" w:type="dxa"/>
            <w:left w:w="108" w:type="dxa"/>
            <w:bottom w:w="0" w:type="dxa"/>
            <w:right w:w="108" w:type="dxa"/>
          </w:tblCellMar>
        </w:tblPrEx>
        <w:trPr>
          <w:trHeight w:val="290" w:hRule="atLeast"/>
        </w:trPr>
        <w:tc>
          <w:tcPr>
            <w:tcW w:w="714" w:type="pct"/>
            <w:tcBorders>
              <w:top w:val="nil"/>
              <w:left w:val="nil"/>
              <w:bottom w:val="single" w:color="auto" w:sz="8" w:space="0"/>
              <w:right w:val="single" w:color="auto" w:sz="8" w:space="0"/>
            </w:tcBorders>
            <w:shd w:val="clear" w:color="auto" w:fill="auto"/>
            <w:vAlign w:val="center"/>
          </w:tcPr>
          <w:p w14:paraId="00BD697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45</w:t>
            </w:r>
          </w:p>
        </w:tc>
        <w:tc>
          <w:tcPr>
            <w:tcW w:w="714" w:type="pct"/>
            <w:tcBorders>
              <w:top w:val="nil"/>
              <w:left w:val="nil"/>
              <w:bottom w:val="single" w:color="auto" w:sz="8" w:space="0"/>
              <w:right w:val="single" w:color="auto" w:sz="8" w:space="0"/>
            </w:tcBorders>
            <w:shd w:val="clear" w:color="auto" w:fill="auto"/>
            <w:vAlign w:val="center"/>
          </w:tcPr>
          <w:p w14:paraId="7D82E56B">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萘</w:t>
            </w:r>
          </w:p>
        </w:tc>
        <w:tc>
          <w:tcPr>
            <w:tcW w:w="714" w:type="pct"/>
            <w:tcBorders>
              <w:top w:val="nil"/>
              <w:left w:val="nil"/>
              <w:bottom w:val="single" w:color="auto" w:sz="8" w:space="0"/>
              <w:right w:val="single" w:color="auto" w:sz="8" w:space="0"/>
            </w:tcBorders>
            <w:shd w:val="clear" w:color="auto" w:fill="auto"/>
            <w:vAlign w:val="center"/>
          </w:tcPr>
          <w:p w14:paraId="21A8441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91-20-3</w:t>
            </w:r>
          </w:p>
        </w:tc>
        <w:tc>
          <w:tcPr>
            <w:tcW w:w="714" w:type="pct"/>
            <w:tcBorders>
              <w:top w:val="nil"/>
              <w:left w:val="nil"/>
              <w:bottom w:val="single" w:color="auto" w:sz="8" w:space="0"/>
              <w:right w:val="single" w:color="auto" w:sz="8" w:space="0"/>
            </w:tcBorders>
            <w:shd w:val="clear" w:color="auto" w:fill="auto"/>
            <w:vAlign w:val="center"/>
          </w:tcPr>
          <w:p w14:paraId="4F49F6D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6390261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ND</w:t>
            </w:r>
          </w:p>
        </w:tc>
        <w:tc>
          <w:tcPr>
            <w:tcW w:w="714" w:type="pct"/>
            <w:tcBorders>
              <w:top w:val="nil"/>
              <w:left w:val="nil"/>
              <w:bottom w:val="single" w:color="auto" w:sz="8" w:space="0"/>
              <w:right w:val="single" w:color="auto" w:sz="8" w:space="0"/>
            </w:tcBorders>
            <w:shd w:val="clear" w:color="auto" w:fill="auto"/>
            <w:vAlign w:val="center"/>
          </w:tcPr>
          <w:p w14:paraId="2C124E3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70</w:t>
            </w:r>
          </w:p>
        </w:tc>
        <w:tc>
          <w:tcPr>
            <w:tcW w:w="714" w:type="pct"/>
            <w:tcBorders>
              <w:top w:val="nil"/>
              <w:left w:val="nil"/>
              <w:bottom w:val="single" w:color="auto" w:sz="8" w:space="0"/>
              <w:right w:val="nil"/>
            </w:tcBorders>
            <w:shd w:val="clear" w:color="auto" w:fill="auto"/>
            <w:vAlign w:val="center"/>
          </w:tcPr>
          <w:p w14:paraId="554EA815">
            <w:pPr>
              <w:widowControl/>
              <w:spacing w:line="240" w:lineRule="auto"/>
              <w:ind w:firstLine="0" w:firstLineChars="0"/>
              <w:jc w:val="center"/>
              <w:rPr>
                <w:rFonts w:hint="eastAsia" w:ascii="宋体" w:hAnsi="宋体" w:cs="宋体"/>
                <w:color w:val="000000"/>
                <w:kern w:val="0"/>
                <w:sz w:val="21"/>
                <w:szCs w:val="21"/>
              </w:rPr>
            </w:pPr>
            <w:r>
              <w:rPr>
                <w:rFonts w:hint="eastAsia" w:ascii="宋体" w:hAnsi="宋体" w:cs="宋体"/>
                <w:color w:val="000000"/>
                <w:kern w:val="0"/>
                <w:sz w:val="21"/>
                <w:szCs w:val="21"/>
              </w:rPr>
              <w:t>达标</w:t>
            </w:r>
          </w:p>
        </w:tc>
      </w:tr>
    </w:tbl>
    <w:p w14:paraId="720BD935">
      <w:pPr>
        <w:spacing w:before="120" w:beforeLines="50" w:line="240" w:lineRule="auto"/>
        <w:ind w:firstLine="0" w:firstLineChars="0"/>
        <w:jc w:val="center"/>
        <w:rPr>
          <w:rFonts w:cs="Times New Roman"/>
          <w:b/>
          <w:bCs/>
          <w:szCs w:val="24"/>
        </w:rPr>
      </w:pPr>
      <w:r>
        <w:rPr>
          <w:rFonts w:hint="eastAsia" w:cs="Times New Roman"/>
          <w:b/>
          <w:bCs/>
          <w:szCs w:val="24"/>
        </w:rPr>
        <w:t>表4.4-20</w:t>
      </w:r>
      <w:r>
        <w:rPr>
          <w:rFonts w:cs="Times New Roman"/>
          <w:b/>
          <w:bCs/>
          <w:szCs w:val="24"/>
        </w:rPr>
        <w:t xml:space="preserve"> </w:t>
      </w:r>
      <w:r>
        <w:rPr>
          <w:rFonts w:hint="eastAsia" w:cs="Times New Roman"/>
          <w:b/>
          <w:bCs/>
          <w:szCs w:val="24"/>
        </w:rPr>
        <w:t>项目场地外TR8、TR</w:t>
      </w:r>
      <w:r>
        <w:rPr>
          <w:rFonts w:cs="Times New Roman"/>
          <w:b/>
          <w:bCs/>
          <w:szCs w:val="24"/>
        </w:rPr>
        <w:t>9</w:t>
      </w:r>
      <w:r>
        <w:rPr>
          <w:rFonts w:hint="eastAsia" w:cs="Times New Roman"/>
          <w:b/>
          <w:bCs/>
          <w:szCs w:val="24"/>
        </w:rPr>
        <w:t>、TR</w:t>
      </w:r>
      <w:r>
        <w:rPr>
          <w:rFonts w:cs="Times New Roman"/>
          <w:b/>
          <w:bCs/>
          <w:szCs w:val="24"/>
        </w:rPr>
        <w:t>10</w:t>
      </w:r>
      <w:r>
        <w:rPr>
          <w:rFonts w:hint="eastAsia" w:cs="Times New Roman"/>
          <w:b/>
          <w:bCs/>
          <w:szCs w:val="24"/>
        </w:rPr>
        <w:t>、TR</w:t>
      </w:r>
      <w:r>
        <w:rPr>
          <w:rFonts w:cs="Times New Roman"/>
          <w:b/>
          <w:bCs/>
          <w:szCs w:val="24"/>
        </w:rPr>
        <w:t>11</w:t>
      </w:r>
      <w:r>
        <w:rPr>
          <w:rFonts w:hint="eastAsia" w:cs="Times New Roman"/>
          <w:b/>
          <w:bCs/>
          <w:szCs w:val="24"/>
        </w:rPr>
        <w:t>土壤环境质量监测结果</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3"/>
        <w:gridCol w:w="521"/>
        <w:gridCol w:w="1046"/>
        <w:gridCol w:w="1144"/>
        <w:gridCol w:w="1144"/>
        <w:gridCol w:w="1144"/>
        <w:gridCol w:w="1144"/>
        <w:gridCol w:w="1133"/>
        <w:gridCol w:w="739"/>
      </w:tblGrid>
      <w:tr w14:paraId="6C8E9D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Merge w:val="restart"/>
            <w:vAlign w:val="center"/>
          </w:tcPr>
          <w:p w14:paraId="4B98AF87">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序号</w:t>
            </w:r>
          </w:p>
        </w:tc>
        <w:tc>
          <w:tcPr>
            <w:tcW w:w="925" w:type="pct"/>
            <w:gridSpan w:val="2"/>
            <w:vMerge w:val="restart"/>
            <w:vAlign w:val="center"/>
          </w:tcPr>
          <w:p w14:paraId="3B92AFD3">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污染物项目</w:t>
            </w:r>
          </w:p>
        </w:tc>
        <w:tc>
          <w:tcPr>
            <w:tcW w:w="2668" w:type="pct"/>
            <w:gridSpan w:val="4"/>
            <w:vAlign w:val="center"/>
          </w:tcPr>
          <w:p w14:paraId="05700D12">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监测结果（单位：</w:t>
            </w:r>
            <w:r>
              <w:rPr>
                <w:rFonts w:cs="Times New Roman"/>
                <w:b/>
                <w:bCs/>
                <w:kern w:val="0"/>
                <w:sz w:val="21"/>
                <w:szCs w:val="21"/>
              </w:rPr>
              <w:t>mg/kg</w:t>
            </w:r>
            <w:r>
              <w:rPr>
                <w:rFonts w:hint="eastAsia" w:cs="Times New Roman"/>
                <w:b/>
                <w:bCs/>
                <w:kern w:val="0"/>
                <w:sz w:val="21"/>
                <w:szCs w:val="21"/>
              </w:rPr>
              <w:t>）</w:t>
            </w:r>
          </w:p>
        </w:tc>
        <w:tc>
          <w:tcPr>
            <w:tcW w:w="667" w:type="pct"/>
            <w:vAlign w:val="center"/>
          </w:tcPr>
          <w:p w14:paraId="36B20FBB">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评价标准</w:t>
            </w:r>
          </w:p>
          <w:p w14:paraId="68124881">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（风险筛选值）</w:t>
            </w:r>
          </w:p>
        </w:tc>
        <w:tc>
          <w:tcPr>
            <w:tcW w:w="436" w:type="pct"/>
            <w:vMerge w:val="restart"/>
            <w:vAlign w:val="center"/>
          </w:tcPr>
          <w:p w14:paraId="20747952">
            <w:pPr>
              <w:spacing w:line="240" w:lineRule="auto"/>
              <w:ind w:firstLine="0" w:firstLineChars="0"/>
              <w:jc w:val="center"/>
              <w:rPr>
                <w:rFonts w:cs="Times New Roman"/>
                <w:b/>
                <w:bCs/>
                <w:sz w:val="21"/>
                <w:szCs w:val="21"/>
              </w:rPr>
            </w:pPr>
            <w:r>
              <w:rPr>
                <w:rFonts w:hint="eastAsia" w:cs="Times New Roman"/>
                <w:b/>
                <w:bCs/>
                <w:sz w:val="21"/>
                <w:szCs w:val="21"/>
              </w:rPr>
              <w:t>达标</w:t>
            </w:r>
          </w:p>
          <w:p w14:paraId="2F5F0D51">
            <w:pPr>
              <w:spacing w:line="240" w:lineRule="auto"/>
              <w:ind w:firstLine="0" w:firstLineChars="0"/>
              <w:jc w:val="center"/>
              <w:rPr>
                <w:rFonts w:cs="Times New Roman"/>
                <w:b/>
                <w:bCs/>
                <w:sz w:val="21"/>
                <w:szCs w:val="21"/>
              </w:rPr>
            </w:pPr>
            <w:r>
              <w:rPr>
                <w:rFonts w:hint="eastAsia" w:cs="Times New Roman"/>
                <w:b/>
                <w:bCs/>
                <w:sz w:val="21"/>
                <w:szCs w:val="21"/>
              </w:rPr>
              <w:t>情况</w:t>
            </w:r>
          </w:p>
        </w:tc>
      </w:tr>
      <w:tr w14:paraId="6FEEBF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Merge w:val="continue"/>
            <w:vAlign w:val="center"/>
          </w:tcPr>
          <w:p w14:paraId="36444ACB">
            <w:pPr>
              <w:widowControl/>
              <w:spacing w:line="240" w:lineRule="auto"/>
              <w:ind w:firstLine="0" w:firstLineChars="0"/>
              <w:jc w:val="center"/>
              <w:rPr>
                <w:rFonts w:cs="Times New Roman"/>
                <w:b/>
                <w:bCs/>
                <w:kern w:val="0"/>
                <w:sz w:val="21"/>
                <w:szCs w:val="21"/>
              </w:rPr>
            </w:pPr>
          </w:p>
        </w:tc>
        <w:tc>
          <w:tcPr>
            <w:tcW w:w="925" w:type="pct"/>
            <w:gridSpan w:val="2"/>
            <w:vMerge w:val="continue"/>
            <w:vAlign w:val="center"/>
          </w:tcPr>
          <w:p w14:paraId="74F63046">
            <w:pPr>
              <w:widowControl/>
              <w:spacing w:line="240" w:lineRule="auto"/>
              <w:ind w:firstLine="0" w:firstLineChars="0"/>
              <w:jc w:val="center"/>
              <w:rPr>
                <w:rFonts w:cs="Times New Roman"/>
                <w:b/>
                <w:bCs/>
                <w:kern w:val="0"/>
                <w:sz w:val="21"/>
                <w:szCs w:val="21"/>
              </w:rPr>
            </w:pPr>
          </w:p>
        </w:tc>
        <w:tc>
          <w:tcPr>
            <w:tcW w:w="667" w:type="pct"/>
            <w:vAlign w:val="center"/>
          </w:tcPr>
          <w:p w14:paraId="23A6E82A">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TR7</w:t>
            </w:r>
          </w:p>
          <w:p w14:paraId="55255B1D">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0m-0.</w:t>
            </w:r>
            <w:r>
              <w:rPr>
                <w:rFonts w:cs="Times New Roman"/>
                <w:b/>
                <w:bCs/>
                <w:kern w:val="0"/>
                <w:sz w:val="21"/>
                <w:szCs w:val="21"/>
              </w:rPr>
              <w:t>2</w:t>
            </w:r>
            <w:r>
              <w:rPr>
                <w:rFonts w:hint="eastAsia" w:cs="Times New Roman"/>
                <w:b/>
                <w:bCs/>
                <w:kern w:val="0"/>
                <w:sz w:val="21"/>
                <w:szCs w:val="21"/>
              </w:rPr>
              <w:t>m</w:t>
            </w:r>
            <w:r>
              <w:rPr>
                <w:rFonts w:cs="Times New Roman"/>
                <w:b/>
                <w:bCs/>
                <w:kern w:val="0"/>
                <w:sz w:val="21"/>
                <w:szCs w:val="21"/>
              </w:rPr>
              <w:t>)</w:t>
            </w:r>
          </w:p>
        </w:tc>
        <w:tc>
          <w:tcPr>
            <w:tcW w:w="667" w:type="pct"/>
            <w:vAlign w:val="center"/>
          </w:tcPr>
          <w:p w14:paraId="152548CC">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TR8</w:t>
            </w:r>
          </w:p>
          <w:p w14:paraId="526664BE">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w:t>
            </w:r>
            <w:r>
              <w:rPr>
                <w:rFonts w:cs="Times New Roman"/>
                <w:b/>
                <w:bCs/>
                <w:kern w:val="0"/>
                <w:sz w:val="21"/>
                <w:szCs w:val="21"/>
              </w:rPr>
              <w:t>m</w:t>
            </w:r>
            <w:r>
              <w:rPr>
                <w:rFonts w:hint="eastAsia" w:cs="Times New Roman"/>
                <w:b/>
                <w:bCs/>
                <w:kern w:val="0"/>
                <w:sz w:val="21"/>
                <w:szCs w:val="21"/>
              </w:rPr>
              <w:t>-</w:t>
            </w:r>
            <w:r>
              <w:rPr>
                <w:rFonts w:cs="Times New Roman"/>
                <w:b/>
                <w:bCs/>
                <w:kern w:val="0"/>
                <w:sz w:val="21"/>
                <w:szCs w:val="21"/>
              </w:rPr>
              <w:t>0.2</w:t>
            </w:r>
            <w:r>
              <w:rPr>
                <w:rFonts w:hint="eastAsia" w:cs="Times New Roman"/>
                <w:b/>
                <w:bCs/>
                <w:kern w:val="0"/>
                <w:sz w:val="21"/>
                <w:szCs w:val="21"/>
              </w:rPr>
              <w:t>m</w:t>
            </w:r>
            <w:r>
              <w:rPr>
                <w:rFonts w:cs="Times New Roman"/>
                <w:b/>
                <w:bCs/>
                <w:kern w:val="0"/>
                <w:sz w:val="21"/>
                <w:szCs w:val="21"/>
              </w:rPr>
              <w:t>)</w:t>
            </w:r>
          </w:p>
        </w:tc>
        <w:tc>
          <w:tcPr>
            <w:tcW w:w="667" w:type="pct"/>
            <w:vAlign w:val="center"/>
          </w:tcPr>
          <w:p w14:paraId="3D33B46D">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TR9</w:t>
            </w:r>
          </w:p>
          <w:p w14:paraId="039D868E">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w:t>
            </w:r>
            <w:r>
              <w:rPr>
                <w:rFonts w:cs="Times New Roman"/>
                <w:b/>
                <w:bCs/>
                <w:kern w:val="0"/>
                <w:sz w:val="21"/>
                <w:szCs w:val="21"/>
              </w:rPr>
              <w:t>m</w:t>
            </w:r>
            <w:r>
              <w:rPr>
                <w:rFonts w:hint="eastAsia" w:cs="Times New Roman"/>
                <w:b/>
                <w:bCs/>
                <w:kern w:val="0"/>
                <w:sz w:val="21"/>
                <w:szCs w:val="21"/>
              </w:rPr>
              <w:t>-</w:t>
            </w:r>
            <w:r>
              <w:rPr>
                <w:rFonts w:cs="Times New Roman"/>
                <w:b/>
                <w:bCs/>
                <w:kern w:val="0"/>
                <w:sz w:val="21"/>
                <w:szCs w:val="21"/>
              </w:rPr>
              <w:t>0.2</w:t>
            </w:r>
            <w:r>
              <w:rPr>
                <w:rFonts w:hint="eastAsia" w:cs="Times New Roman"/>
                <w:b/>
                <w:bCs/>
                <w:kern w:val="0"/>
                <w:sz w:val="21"/>
                <w:szCs w:val="21"/>
              </w:rPr>
              <w:t>m</w:t>
            </w:r>
            <w:r>
              <w:rPr>
                <w:rFonts w:cs="Times New Roman"/>
                <w:b/>
                <w:bCs/>
                <w:kern w:val="0"/>
                <w:sz w:val="21"/>
                <w:szCs w:val="21"/>
              </w:rPr>
              <w:t>)</w:t>
            </w:r>
          </w:p>
        </w:tc>
        <w:tc>
          <w:tcPr>
            <w:tcW w:w="667" w:type="pct"/>
            <w:vAlign w:val="center"/>
          </w:tcPr>
          <w:p w14:paraId="4D3F979A">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TR</w:t>
            </w:r>
            <w:r>
              <w:rPr>
                <w:rFonts w:cs="Times New Roman"/>
                <w:b/>
                <w:bCs/>
                <w:kern w:val="0"/>
                <w:sz w:val="21"/>
                <w:szCs w:val="21"/>
              </w:rPr>
              <w:t>1</w:t>
            </w:r>
            <w:r>
              <w:rPr>
                <w:rFonts w:hint="eastAsia" w:cs="Times New Roman"/>
                <w:b/>
                <w:bCs/>
                <w:kern w:val="0"/>
                <w:sz w:val="21"/>
                <w:szCs w:val="21"/>
              </w:rPr>
              <w:t>0</w:t>
            </w:r>
          </w:p>
          <w:p w14:paraId="1BA7DA9F">
            <w:pPr>
              <w:widowControl/>
              <w:spacing w:line="240" w:lineRule="auto"/>
              <w:ind w:firstLine="0" w:firstLineChars="0"/>
              <w:jc w:val="center"/>
              <w:rPr>
                <w:rFonts w:cs="Times New Roman"/>
                <w:b/>
                <w:bCs/>
                <w:kern w:val="0"/>
                <w:sz w:val="21"/>
                <w:szCs w:val="21"/>
              </w:rPr>
            </w:pPr>
            <w:r>
              <w:rPr>
                <w:rFonts w:cs="Times New Roman"/>
                <w:b/>
                <w:bCs/>
                <w:kern w:val="0"/>
                <w:sz w:val="21"/>
                <w:szCs w:val="21"/>
              </w:rPr>
              <w:t>(</w:t>
            </w:r>
            <w:r>
              <w:rPr>
                <w:rFonts w:hint="eastAsia" w:cs="Times New Roman"/>
                <w:b/>
                <w:bCs/>
                <w:kern w:val="0"/>
                <w:sz w:val="21"/>
                <w:szCs w:val="21"/>
              </w:rPr>
              <w:t>0</w:t>
            </w:r>
            <w:r>
              <w:rPr>
                <w:rFonts w:cs="Times New Roman"/>
                <w:b/>
                <w:bCs/>
                <w:kern w:val="0"/>
                <w:sz w:val="21"/>
                <w:szCs w:val="21"/>
              </w:rPr>
              <w:t>m</w:t>
            </w:r>
            <w:r>
              <w:rPr>
                <w:rFonts w:hint="eastAsia" w:cs="Times New Roman"/>
                <w:b/>
                <w:bCs/>
                <w:kern w:val="0"/>
                <w:sz w:val="21"/>
                <w:szCs w:val="21"/>
              </w:rPr>
              <w:t>-</w:t>
            </w:r>
            <w:r>
              <w:rPr>
                <w:rFonts w:cs="Times New Roman"/>
                <w:b/>
                <w:bCs/>
                <w:kern w:val="0"/>
                <w:sz w:val="21"/>
                <w:szCs w:val="21"/>
              </w:rPr>
              <w:t>0.2</w:t>
            </w:r>
            <w:r>
              <w:rPr>
                <w:rFonts w:hint="eastAsia" w:cs="Times New Roman"/>
                <w:b/>
                <w:bCs/>
                <w:kern w:val="0"/>
                <w:sz w:val="21"/>
                <w:szCs w:val="21"/>
              </w:rPr>
              <w:t>m</w:t>
            </w:r>
            <w:r>
              <w:rPr>
                <w:rFonts w:cs="Times New Roman"/>
                <w:b/>
                <w:bCs/>
                <w:kern w:val="0"/>
                <w:sz w:val="21"/>
                <w:szCs w:val="21"/>
              </w:rPr>
              <w:t>)</w:t>
            </w:r>
          </w:p>
        </w:tc>
        <w:tc>
          <w:tcPr>
            <w:tcW w:w="667" w:type="pct"/>
            <w:vAlign w:val="center"/>
          </w:tcPr>
          <w:p w14:paraId="117AB9EA">
            <w:pPr>
              <w:widowControl/>
              <w:spacing w:line="240" w:lineRule="auto"/>
              <w:ind w:firstLine="0" w:firstLineChars="0"/>
              <w:jc w:val="center"/>
              <w:rPr>
                <w:rFonts w:cs="Times New Roman"/>
                <w:b/>
                <w:bCs/>
                <w:kern w:val="0"/>
                <w:sz w:val="21"/>
                <w:szCs w:val="21"/>
              </w:rPr>
            </w:pPr>
            <w:r>
              <w:rPr>
                <w:rFonts w:hint="eastAsia" w:cs="Times New Roman"/>
                <w:b/>
                <w:bCs/>
                <w:kern w:val="0"/>
                <w:sz w:val="21"/>
                <w:szCs w:val="21"/>
              </w:rPr>
              <w:t>p</w:t>
            </w:r>
            <w:r>
              <w:rPr>
                <w:rFonts w:cs="Times New Roman"/>
                <w:b/>
                <w:bCs/>
                <w:kern w:val="0"/>
                <w:sz w:val="21"/>
                <w:szCs w:val="21"/>
              </w:rPr>
              <w:t>H</w:t>
            </w:r>
            <w:r>
              <w:rPr>
                <w:rFonts w:hint="eastAsia" w:cs="Times New Roman"/>
                <w:b/>
                <w:bCs/>
                <w:kern w:val="0"/>
                <w:sz w:val="21"/>
                <w:szCs w:val="21"/>
              </w:rPr>
              <w:t>＞7</w:t>
            </w:r>
            <w:r>
              <w:rPr>
                <w:rFonts w:cs="Times New Roman"/>
                <w:b/>
                <w:bCs/>
                <w:kern w:val="0"/>
                <w:sz w:val="21"/>
                <w:szCs w:val="21"/>
              </w:rPr>
              <w:t>.5</w:t>
            </w:r>
          </w:p>
        </w:tc>
        <w:tc>
          <w:tcPr>
            <w:tcW w:w="436" w:type="pct"/>
            <w:vMerge w:val="continue"/>
            <w:vAlign w:val="center"/>
          </w:tcPr>
          <w:p w14:paraId="2C3B09AB">
            <w:pPr>
              <w:spacing w:line="240" w:lineRule="auto"/>
              <w:ind w:firstLine="0" w:firstLineChars="0"/>
              <w:jc w:val="center"/>
              <w:rPr>
                <w:rFonts w:cs="Times New Roman"/>
                <w:b/>
                <w:bCs/>
                <w:sz w:val="21"/>
                <w:szCs w:val="21"/>
              </w:rPr>
            </w:pPr>
          </w:p>
        </w:tc>
      </w:tr>
      <w:tr w14:paraId="6874D8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Align w:val="center"/>
          </w:tcPr>
          <w:p w14:paraId="3540539E">
            <w:pPr>
              <w:widowControl/>
              <w:spacing w:line="240" w:lineRule="auto"/>
              <w:ind w:firstLine="0" w:firstLineChars="0"/>
              <w:jc w:val="center"/>
              <w:rPr>
                <w:rFonts w:cs="Times New Roman"/>
                <w:kern w:val="0"/>
                <w:sz w:val="21"/>
                <w:szCs w:val="21"/>
              </w:rPr>
            </w:pPr>
            <w:r>
              <w:rPr>
                <w:rFonts w:cs="Times New Roman"/>
                <w:kern w:val="0"/>
                <w:sz w:val="21"/>
                <w:szCs w:val="21"/>
              </w:rPr>
              <w:t>1</w:t>
            </w:r>
          </w:p>
        </w:tc>
        <w:tc>
          <w:tcPr>
            <w:tcW w:w="309" w:type="pct"/>
            <w:vAlign w:val="center"/>
          </w:tcPr>
          <w:p w14:paraId="7FD4A6E4">
            <w:pPr>
              <w:widowControl/>
              <w:spacing w:line="240" w:lineRule="auto"/>
              <w:ind w:firstLine="0" w:firstLineChars="0"/>
              <w:jc w:val="center"/>
              <w:rPr>
                <w:rFonts w:cs="Times New Roman"/>
                <w:kern w:val="0"/>
                <w:sz w:val="21"/>
                <w:szCs w:val="21"/>
              </w:rPr>
            </w:pPr>
            <w:r>
              <w:rPr>
                <w:rFonts w:hint="eastAsia" w:cs="Times New Roman"/>
                <w:kern w:val="0"/>
                <w:sz w:val="21"/>
                <w:szCs w:val="21"/>
              </w:rPr>
              <w:t>水田</w:t>
            </w:r>
          </w:p>
        </w:tc>
        <w:tc>
          <w:tcPr>
            <w:tcW w:w="616" w:type="pct"/>
            <w:vAlign w:val="center"/>
          </w:tcPr>
          <w:p w14:paraId="1C137882">
            <w:pPr>
              <w:widowControl/>
              <w:spacing w:line="240" w:lineRule="auto"/>
              <w:ind w:firstLine="0" w:firstLineChars="0"/>
              <w:jc w:val="center"/>
              <w:rPr>
                <w:rFonts w:cs="Times New Roman"/>
                <w:kern w:val="0"/>
                <w:sz w:val="21"/>
                <w:szCs w:val="21"/>
              </w:rPr>
            </w:pPr>
            <w:r>
              <w:rPr>
                <w:rFonts w:hint="eastAsia" w:cs="Times New Roman"/>
                <w:kern w:val="0"/>
                <w:sz w:val="21"/>
                <w:szCs w:val="21"/>
              </w:rPr>
              <w:t>砷</w:t>
            </w:r>
          </w:p>
        </w:tc>
        <w:tc>
          <w:tcPr>
            <w:tcW w:w="667" w:type="pct"/>
            <w:vAlign w:val="center"/>
          </w:tcPr>
          <w:p w14:paraId="3202DA7C">
            <w:pPr>
              <w:widowControl/>
              <w:spacing w:line="240" w:lineRule="auto"/>
              <w:ind w:firstLine="0" w:firstLineChars="0"/>
              <w:jc w:val="center"/>
              <w:rPr>
                <w:rFonts w:cs="Times New Roman"/>
                <w:kern w:val="0"/>
                <w:sz w:val="21"/>
                <w:szCs w:val="21"/>
              </w:rPr>
            </w:pPr>
            <w:r>
              <w:rPr>
                <w:rFonts w:hint="eastAsia" w:cs="Times New Roman"/>
                <w:spacing w:val="-5"/>
                <w:kern w:val="0"/>
                <w:sz w:val="21"/>
                <w:szCs w:val="21"/>
              </w:rPr>
              <w:t>11.1</w:t>
            </w:r>
          </w:p>
        </w:tc>
        <w:tc>
          <w:tcPr>
            <w:tcW w:w="667" w:type="pct"/>
            <w:vAlign w:val="center"/>
          </w:tcPr>
          <w:p w14:paraId="328496EC">
            <w:pPr>
              <w:widowControl/>
              <w:spacing w:line="240" w:lineRule="auto"/>
              <w:ind w:firstLine="0" w:firstLineChars="0"/>
              <w:jc w:val="center"/>
              <w:rPr>
                <w:rFonts w:cs="Times New Roman"/>
                <w:kern w:val="0"/>
                <w:sz w:val="21"/>
                <w:szCs w:val="21"/>
              </w:rPr>
            </w:pPr>
            <w:r>
              <w:rPr>
                <w:rFonts w:hint="eastAsia" w:cs="Times New Roman"/>
                <w:spacing w:val="-5"/>
                <w:kern w:val="0"/>
                <w:sz w:val="21"/>
                <w:szCs w:val="21"/>
              </w:rPr>
              <w:t>11.0</w:t>
            </w:r>
          </w:p>
        </w:tc>
        <w:tc>
          <w:tcPr>
            <w:tcW w:w="667" w:type="pct"/>
            <w:vAlign w:val="center"/>
          </w:tcPr>
          <w:p w14:paraId="239EA757">
            <w:pPr>
              <w:widowControl/>
              <w:spacing w:line="240" w:lineRule="auto"/>
              <w:ind w:firstLine="0" w:firstLineChars="0"/>
              <w:jc w:val="center"/>
              <w:rPr>
                <w:rFonts w:cs="Times New Roman"/>
                <w:kern w:val="0"/>
                <w:sz w:val="21"/>
                <w:szCs w:val="21"/>
              </w:rPr>
            </w:pPr>
            <w:r>
              <w:rPr>
                <w:rFonts w:hint="eastAsia" w:cs="Times New Roman"/>
                <w:kern w:val="0"/>
                <w:sz w:val="21"/>
                <w:szCs w:val="21"/>
              </w:rPr>
              <w:t>8.24</w:t>
            </w:r>
          </w:p>
        </w:tc>
        <w:tc>
          <w:tcPr>
            <w:tcW w:w="667" w:type="pct"/>
            <w:vAlign w:val="center"/>
          </w:tcPr>
          <w:p w14:paraId="188672A6">
            <w:pPr>
              <w:spacing w:line="240" w:lineRule="auto"/>
              <w:ind w:firstLine="0" w:firstLineChars="0"/>
              <w:jc w:val="center"/>
              <w:rPr>
                <w:rFonts w:cs="Times New Roman"/>
                <w:sz w:val="21"/>
                <w:szCs w:val="21"/>
              </w:rPr>
            </w:pPr>
            <w:r>
              <w:rPr>
                <w:rFonts w:hint="eastAsia" w:cs="Times New Roman"/>
                <w:sz w:val="21"/>
                <w:szCs w:val="21"/>
              </w:rPr>
              <w:t>8.75</w:t>
            </w:r>
          </w:p>
        </w:tc>
        <w:tc>
          <w:tcPr>
            <w:tcW w:w="667" w:type="pct"/>
            <w:vAlign w:val="center"/>
          </w:tcPr>
          <w:p w14:paraId="78E90D10">
            <w:pPr>
              <w:spacing w:line="240" w:lineRule="auto"/>
              <w:ind w:firstLine="0" w:firstLineChars="0"/>
              <w:jc w:val="center"/>
              <w:rPr>
                <w:rFonts w:cs="Times New Roman"/>
                <w:sz w:val="21"/>
                <w:szCs w:val="21"/>
              </w:rPr>
            </w:pPr>
            <w:r>
              <w:rPr>
                <w:rFonts w:hint="eastAsia" w:cs="Times New Roman"/>
                <w:sz w:val="21"/>
                <w:szCs w:val="21"/>
              </w:rPr>
              <w:t>2</w:t>
            </w:r>
            <w:r>
              <w:rPr>
                <w:rFonts w:cs="Times New Roman"/>
                <w:sz w:val="21"/>
                <w:szCs w:val="21"/>
              </w:rPr>
              <w:t>0</w:t>
            </w:r>
          </w:p>
        </w:tc>
        <w:tc>
          <w:tcPr>
            <w:tcW w:w="436" w:type="pct"/>
            <w:vAlign w:val="center"/>
          </w:tcPr>
          <w:p w14:paraId="1FA718F3">
            <w:pPr>
              <w:widowControl/>
              <w:spacing w:line="240" w:lineRule="auto"/>
              <w:ind w:firstLine="0" w:firstLineChars="0"/>
              <w:jc w:val="center"/>
              <w:rPr>
                <w:rFonts w:cs="Times New Roman"/>
                <w:kern w:val="0"/>
                <w:sz w:val="21"/>
                <w:szCs w:val="21"/>
              </w:rPr>
            </w:pPr>
            <w:r>
              <w:rPr>
                <w:rFonts w:hint="eastAsia" w:cs="Times New Roman"/>
                <w:kern w:val="0"/>
                <w:sz w:val="21"/>
                <w:szCs w:val="21"/>
              </w:rPr>
              <w:t>达标</w:t>
            </w:r>
          </w:p>
        </w:tc>
      </w:tr>
      <w:tr w14:paraId="205F62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Align w:val="center"/>
          </w:tcPr>
          <w:p w14:paraId="65AC199C">
            <w:pPr>
              <w:widowControl/>
              <w:spacing w:line="240" w:lineRule="auto"/>
              <w:ind w:firstLine="0" w:firstLineChars="0"/>
              <w:jc w:val="center"/>
              <w:rPr>
                <w:rFonts w:cs="Times New Roman"/>
                <w:kern w:val="0"/>
                <w:sz w:val="21"/>
                <w:szCs w:val="21"/>
              </w:rPr>
            </w:pPr>
            <w:r>
              <w:rPr>
                <w:rFonts w:cs="Times New Roman"/>
                <w:kern w:val="0"/>
                <w:sz w:val="21"/>
                <w:szCs w:val="21"/>
              </w:rPr>
              <w:t>2</w:t>
            </w:r>
          </w:p>
        </w:tc>
        <w:tc>
          <w:tcPr>
            <w:tcW w:w="309" w:type="pct"/>
          </w:tcPr>
          <w:p w14:paraId="165F6A0A">
            <w:pPr>
              <w:widowControl/>
              <w:spacing w:line="240" w:lineRule="auto"/>
              <w:ind w:firstLine="0" w:firstLineChars="0"/>
              <w:jc w:val="center"/>
              <w:rPr>
                <w:rFonts w:cs="Times New Roman"/>
                <w:kern w:val="0"/>
                <w:sz w:val="21"/>
                <w:szCs w:val="21"/>
              </w:rPr>
            </w:pPr>
            <w:r>
              <w:rPr>
                <w:rFonts w:hint="eastAsia" w:cs="Times New Roman"/>
                <w:kern w:val="0"/>
                <w:sz w:val="21"/>
                <w:szCs w:val="21"/>
              </w:rPr>
              <w:t>水田</w:t>
            </w:r>
          </w:p>
        </w:tc>
        <w:tc>
          <w:tcPr>
            <w:tcW w:w="616" w:type="pct"/>
            <w:vAlign w:val="center"/>
          </w:tcPr>
          <w:p w14:paraId="6573B87A">
            <w:pPr>
              <w:widowControl/>
              <w:spacing w:line="240" w:lineRule="auto"/>
              <w:ind w:firstLine="0" w:firstLineChars="0"/>
              <w:jc w:val="center"/>
              <w:rPr>
                <w:rFonts w:cs="Times New Roman"/>
                <w:kern w:val="0"/>
                <w:sz w:val="21"/>
                <w:szCs w:val="21"/>
              </w:rPr>
            </w:pPr>
            <w:r>
              <w:rPr>
                <w:rFonts w:hint="eastAsia" w:cs="Times New Roman"/>
                <w:kern w:val="0"/>
                <w:sz w:val="21"/>
                <w:szCs w:val="21"/>
              </w:rPr>
              <w:t>镉</w:t>
            </w:r>
          </w:p>
        </w:tc>
        <w:tc>
          <w:tcPr>
            <w:tcW w:w="667" w:type="pct"/>
            <w:vAlign w:val="center"/>
          </w:tcPr>
          <w:p w14:paraId="23791F07">
            <w:pPr>
              <w:widowControl/>
              <w:spacing w:line="240" w:lineRule="auto"/>
              <w:ind w:firstLine="0" w:firstLineChars="0"/>
              <w:jc w:val="center"/>
              <w:rPr>
                <w:rFonts w:cs="Times New Roman"/>
                <w:kern w:val="0"/>
                <w:sz w:val="21"/>
                <w:szCs w:val="21"/>
              </w:rPr>
            </w:pPr>
            <w:r>
              <w:rPr>
                <w:rFonts w:hint="eastAsia" w:cs="Times New Roman"/>
                <w:kern w:val="0"/>
                <w:sz w:val="21"/>
                <w:szCs w:val="21"/>
              </w:rPr>
              <w:t>0.12</w:t>
            </w:r>
          </w:p>
        </w:tc>
        <w:tc>
          <w:tcPr>
            <w:tcW w:w="667" w:type="pct"/>
            <w:vAlign w:val="center"/>
          </w:tcPr>
          <w:p w14:paraId="78A808EF">
            <w:pPr>
              <w:widowControl/>
              <w:spacing w:line="240" w:lineRule="auto"/>
              <w:ind w:firstLine="0" w:firstLineChars="0"/>
              <w:jc w:val="center"/>
              <w:rPr>
                <w:rFonts w:cs="Times New Roman"/>
                <w:kern w:val="0"/>
                <w:sz w:val="21"/>
                <w:szCs w:val="21"/>
              </w:rPr>
            </w:pPr>
            <w:r>
              <w:rPr>
                <w:rFonts w:hint="eastAsia" w:cs="Times New Roman"/>
                <w:kern w:val="0"/>
                <w:sz w:val="21"/>
                <w:szCs w:val="21"/>
              </w:rPr>
              <w:t>0.16</w:t>
            </w:r>
          </w:p>
        </w:tc>
        <w:tc>
          <w:tcPr>
            <w:tcW w:w="667" w:type="pct"/>
            <w:vAlign w:val="center"/>
          </w:tcPr>
          <w:p w14:paraId="616BBE45">
            <w:pPr>
              <w:widowControl/>
              <w:spacing w:line="240" w:lineRule="auto"/>
              <w:ind w:firstLine="0" w:firstLineChars="0"/>
              <w:jc w:val="center"/>
              <w:rPr>
                <w:rFonts w:cs="Times New Roman"/>
                <w:kern w:val="0"/>
                <w:sz w:val="21"/>
                <w:szCs w:val="21"/>
              </w:rPr>
            </w:pPr>
            <w:r>
              <w:rPr>
                <w:rFonts w:hint="eastAsia" w:cs="Times New Roman"/>
                <w:kern w:val="0"/>
                <w:sz w:val="21"/>
                <w:szCs w:val="21"/>
              </w:rPr>
              <w:t>0.12</w:t>
            </w:r>
          </w:p>
        </w:tc>
        <w:tc>
          <w:tcPr>
            <w:tcW w:w="667" w:type="pct"/>
            <w:vAlign w:val="center"/>
          </w:tcPr>
          <w:p w14:paraId="7D6F4A3C">
            <w:pPr>
              <w:spacing w:line="240" w:lineRule="auto"/>
              <w:ind w:firstLine="0" w:firstLineChars="0"/>
              <w:jc w:val="center"/>
              <w:rPr>
                <w:rFonts w:cs="Times New Roman"/>
                <w:sz w:val="21"/>
                <w:szCs w:val="21"/>
              </w:rPr>
            </w:pPr>
            <w:r>
              <w:rPr>
                <w:rFonts w:hint="eastAsia" w:cs="Times New Roman"/>
                <w:sz w:val="21"/>
                <w:szCs w:val="21"/>
              </w:rPr>
              <w:t>0.16</w:t>
            </w:r>
          </w:p>
        </w:tc>
        <w:tc>
          <w:tcPr>
            <w:tcW w:w="667" w:type="pct"/>
            <w:vAlign w:val="center"/>
          </w:tcPr>
          <w:p w14:paraId="317FD297">
            <w:pPr>
              <w:spacing w:line="240" w:lineRule="auto"/>
              <w:ind w:firstLine="0" w:firstLineChars="0"/>
              <w:jc w:val="center"/>
              <w:rPr>
                <w:rFonts w:cs="Times New Roman"/>
                <w:sz w:val="21"/>
                <w:szCs w:val="21"/>
              </w:rPr>
            </w:pPr>
            <w:r>
              <w:rPr>
                <w:rFonts w:hint="eastAsia" w:cs="Times New Roman"/>
                <w:sz w:val="21"/>
                <w:szCs w:val="21"/>
              </w:rPr>
              <w:t>0</w:t>
            </w:r>
            <w:r>
              <w:rPr>
                <w:rFonts w:cs="Times New Roman"/>
                <w:sz w:val="21"/>
                <w:szCs w:val="21"/>
              </w:rPr>
              <w:t>.8</w:t>
            </w:r>
          </w:p>
        </w:tc>
        <w:tc>
          <w:tcPr>
            <w:tcW w:w="436" w:type="pct"/>
            <w:vAlign w:val="center"/>
          </w:tcPr>
          <w:p w14:paraId="0FBEA8D3">
            <w:pPr>
              <w:spacing w:line="240" w:lineRule="auto"/>
              <w:ind w:firstLine="0" w:firstLineChars="0"/>
              <w:jc w:val="center"/>
              <w:rPr>
                <w:rFonts w:cs="Times New Roman"/>
                <w:szCs w:val="24"/>
              </w:rPr>
            </w:pPr>
            <w:r>
              <w:rPr>
                <w:rFonts w:hint="eastAsia" w:cs="Times New Roman"/>
                <w:sz w:val="21"/>
                <w:szCs w:val="21"/>
              </w:rPr>
              <w:t>达标</w:t>
            </w:r>
          </w:p>
        </w:tc>
      </w:tr>
      <w:tr w14:paraId="40282D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Align w:val="center"/>
          </w:tcPr>
          <w:p w14:paraId="0650874F">
            <w:pPr>
              <w:widowControl/>
              <w:spacing w:line="240" w:lineRule="auto"/>
              <w:ind w:firstLine="0" w:firstLineChars="0"/>
              <w:jc w:val="center"/>
              <w:rPr>
                <w:rFonts w:cs="Times New Roman"/>
                <w:kern w:val="0"/>
                <w:sz w:val="21"/>
                <w:szCs w:val="21"/>
              </w:rPr>
            </w:pPr>
            <w:r>
              <w:rPr>
                <w:rFonts w:cs="Times New Roman"/>
                <w:kern w:val="0"/>
                <w:sz w:val="21"/>
                <w:szCs w:val="21"/>
              </w:rPr>
              <w:t>3</w:t>
            </w:r>
          </w:p>
        </w:tc>
        <w:tc>
          <w:tcPr>
            <w:tcW w:w="309" w:type="pct"/>
          </w:tcPr>
          <w:p w14:paraId="5A6397A5">
            <w:pPr>
              <w:widowControl/>
              <w:spacing w:line="240" w:lineRule="auto"/>
              <w:ind w:firstLine="0" w:firstLineChars="0"/>
              <w:jc w:val="center"/>
              <w:rPr>
                <w:rFonts w:cs="Times New Roman"/>
                <w:kern w:val="0"/>
                <w:sz w:val="21"/>
                <w:szCs w:val="21"/>
              </w:rPr>
            </w:pPr>
            <w:r>
              <w:rPr>
                <w:rFonts w:hint="eastAsia" w:cs="Times New Roman"/>
                <w:kern w:val="0"/>
                <w:sz w:val="21"/>
                <w:szCs w:val="21"/>
              </w:rPr>
              <w:t>水田</w:t>
            </w:r>
          </w:p>
        </w:tc>
        <w:tc>
          <w:tcPr>
            <w:tcW w:w="616" w:type="pct"/>
            <w:vAlign w:val="center"/>
          </w:tcPr>
          <w:p w14:paraId="39BD8CC1">
            <w:pPr>
              <w:widowControl/>
              <w:spacing w:line="240" w:lineRule="auto"/>
              <w:ind w:firstLine="0" w:firstLineChars="0"/>
              <w:jc w:val="center"/>
              <w:rPr>
                <w:rFonts w:cs="Times New Roman"/>
                <w:kern w:val="0"/>
                <w:sz w:val="21"/>
                <w:szCs w:val="21"/>
              </w:rPr>
            </w:pPr>
            <w:r>
              <w:rPr>
                <w:rFonts w:hint="eastAsia" w:cs="Times New Roman"/>
                <w:kern w:val="0"/>
                <w:sz w:val="21"/>
                <w:szCs w:val="21"/>
              </w:rPr>
              <w:t>铬</w:t>
            </w:r>
          </w:p>
        </w:tc>
        <w:tc>
          <w:tcPr>
            <w:tcW w:w="667" w:type="pct"/>
            <w:vAlign w:val="center"/>
          </w:tcPr>
          <w:p w14:paraId="37CD8C99">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667" w:type="pct"/>
            <w:vAlign w:val="center"/>
          </w:tcPr>
          <w:p w14:paraId="6397A42B">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667" w:type="pct"/>
            <w:vAlign w:val="center"/>
          </w:tcPr>
          <w:p w14:paraId="4B81F69D">
            <w:pPr>
              <w:widowControl/>
              <w:spacing w:line="240" w:lineRule="auto"/>
              <w:ind w:firstLine="0" w:firstLineChars="0"/>
              <w:jc w:val="center"/>
              <w:rPr>
                <w:rFonts w:cs="Times New Roman"/>
                <w:kern w:val="0"/>
                <w:sz w:val="21"/>
                <w:szCs w:val="21"/>
              </w:rPr>
            </w:pPr>
            <w:r>
              <w:rPr>
                <w:rFonts w:hint="eastAsia" w:cs="Times New Roman"/>
                <w:kern w:val="0"/>
                <w:sz w:val="21"/>
                <w:szCs w:val="21"/>
              </w:rPr>
              <w:t>ND</w:t>
            </w:r>
          </w:p>
        </w:tc>
        <w:tc>
          <w:tcPr>
            <w:tcW w:w="667" w:type="pct"/>
            <w:vAlign w:val="center"/>
          </w:tcPr>
          <w:p w14:paraId="53DEBB94">
            <w:pPr>
              <w:spacing w:line="240" w:lineRule="auto"/>
              <w:ind w:firstLine="0" w:firstLineChars="0"/>
              <w:jc w:val="center"/>
              <w:rPr>
                <w:rFonts w:cs="Times New Roman"/>
                <w:sz w:val="21"/>
                <w:szCs w:val="21"/>
              </w:rPr>
            </w:pPr>
            <w:r>
              <w:rPr>
                <w:rFonts w:hint="eastAsia" w:cs="Times New Roman"/>
                <w:sz w:val="21"/>
                <w:szCs w:val="21"/>
              </w:rPr>
              <w:t>ND</w:t>
            </w:r>
          </w:p>
        </w:tc>
        <w:tc>
          <w:tcPr>
            <w:tcW w:w="667" w:type="pct"/>
            <w:vAlign w:val="center"/>
          </w:tcPr>
          <w:p w14:paraId="22CEEEBD">
            <w:pPr>
              <w:spacing w:line="240" w:lineRule="auto"/>
              <w:ind w:firstLine="0" w:firstLineChars="0"/>
              <w:jc w:val="center"/>
              <w:rPr>
                <w:rFonts w:cs="Times New Roman"/>
                <w:sz w:val="21"/>
                <w:szCs w:val="21"/>
              </w:rPr>
            </w:pPr>
            <w:r>
              <w:rPr>
                <w:rFonts w:hint="eastAsia" w:cs="Times New Roman"/>
                <w:sz w:val="21"/>
                <w:szCs w:val="21"/>
              </w:rPr>
              <w:t>3</w:t>
            </w:r>
            <w:r>
              <w:rPr>
                <w:rFonts w:cs="Times New Roman"/>
                <w:sz w:val="21"/>
                <w:szCs w:val="21"/>
              </w:rPr>
              <w:t>50</w:t>
            </w:r>
          </w:p>
        </w:tc>
        <w:tc>
          <w:tcPr>
            <w:tcW w:w="436" w:type="pct"/>
            <w:vAlign w:val="center"/>
          </w:tcPr>
          <w:p w14:paraId="77A9978E">
            <w:pPr>
              <w:spacing w:line="240" w:lineRule="auto"/>
              <w:ind w:firstLine="0" w:firstLineChars="0"/>
              <w:jc w:val="center"/>
              <w:rPr>
                <w:rFonts w:cs="Times New Roman"/>
                <w:szCs w:val="24"/>
              </w:rPr>
            </w:pPr>
            <w:r>
              <w:rPr>
                <w:rFonts w:hint="eastAsia" w:cs="Times New Roman"/>
                <w:sz w:val="21"/>
                <w:szCs w:val="21"/>
              </w:rPr>
              <w:t>达标</w:t>
            </w:r>
          </w:p>
        </w:tc>
      </w:tr>
      <w:tr w14:paraId="3CD059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Align w:val="center"/>
          </w:tcPr>
          <w:p w14:paraId="60553F56">
            <w:pPr>
              <w:widowControl/>
              <w:spacing w:line="240" w:lineRule="auto"/>
              <w:ind w:firstLine="0" w:firstLineChars="0"/>
              <w:jc w:val="center"/>
              <w:rPr>
                <w:rFonts w:cs="Times New Roman"/>
                <w:kern w:val="0"/>
                <w:sz w:val="21"/>
                <w:szCs w:val="21"/>
              </w:rPr>
            </w:pPr>
            <w:r>
              <w:rPr>
                <w:rFonts w:cs="Times New Roman"/>
                <w:kern w:val="0"/>
                <w:sz w:val="21"/>
                <w:szCs w:val="21"/>
              </w:rPr>
              <w:t>4</w:t>
            </w:r>
          </w:p>
        </w:tc>
        <w:tc>
          <w:tcPr>
            <w:tcW w:w="309" w:type="pct"/>
            <w:vAlign w:val="center"/>
          </w:tcPr>
          <w:p w14:paraId="416BAA7F">
            <w:pPr>
              <w:widowControl/>
              <w:spacing w:line="240" w:lineRule="auto"/>
              <w:ind w:firstLine="0" w:firstLineChars="0"/>
              <w:jc w:val="center"/>
              <w:rPr>
                <w:rFonts w:cs="Times New Roman"/>
                <w:kern w:val="0"/>
                <w:sz w:val="21"/>
                <w:szCs w:val="21"/>
              </w:rPr>
            </w:pPr>
            <w:r>
              <w:rPr>
                <w:rFonts w:hint="eastAsia" w:cs="Times New Roman"/>
                <w:kern w:val="0"/>
                <w:sz w:val="21"/>
                <w:szCs w:val="21"/>
              </w:rPr>
              <w:t>其他</w:t>
            </w:r>
          </w:p>
        </w:tc>
        <w:tc>
          <w:tcPr>
            <w:tcW w:w="616" w:type="pct"/>
            <w:vAlign w:val="center"/>
          </w:tcPr>
          <w:p w14:paraId="5A78A553">
            <w:pPr>
              <w:widowControl/>
              <w:spacing w:line="240" w:lineRule="auto"/>
              <w:ind w:firstLine="0" w:firstLineChars="0"/>
              <w:jc w:val="center"/>
              <w:rPr>
                <w:rFonts w:cs="Times New Roman"/>
                <w:kern w:val="0"/>
                <w:sz w:val="21"/>
                <w:szCs w:val="21"/>
              </w:rPr>
            </w:pPr>
            <w:r>
              <w:rPr>
                <w:rFonts w:hint="eastAsia" w:cs="Times New Roman"/>
                <w:kern w:val="0"/>
                <w:sz w:val="21"/>
                <w:szCs w:val="21"/>
              </w:rPr>
              <w:t>铜</w:t>
            </w:r>
          </w:p>
        </w:tc>
        <w:tc>
          <w:tcPr>
            <w:tcW w:w="667" w:type="pct"/>
            <w:vAlign w:val="center"/>
          </w:tcPr>
          <w:p w14:paraId="616B3D2A">
            <w:pPr>
              <w:widowControl/>
              <w:spacing w:line="240" w:lineRule="auto"/>
              <w:ind w:firstLine="0" w:firstLineChars="0"/>
              <w:jc w:val="center"/>
              <w:rPr>
                <w:rFonts w:cs="Times New Roman"/>
                <w:kern w:val="0"/>
                <w:sz w:val="21"/>
                <w:szCs w:val="21"/>
              </w:rPr>
            </w:pPr>
            <w:r>
              <w:rPr>
                <w:rFonts w:hint="eastAsia" w:cs="Times New Roman"/>
                <w:kern w:val="0"/>
                <w:sz w:val="21"/>
                <w:szCs w:val="21"/>
              </w:rPr>
              <w:t>18</w:t>
            </w:r>
          </w:p>
        </w:tc>
        <w:tc>
          <w:tcPr>
            <w:tcW w:w="667" w:type="pct"/>
            <w:vAlign w:val="center"/>
          </w:tcPr>
          <w:p w14:paraId="6A165031">
            <w:pPr>
              <w:widowControl/>
              <w:spacing w:line="240" w:lineRule="auto"/>
              <w:ind w:firstLine="0" w:firstLineChars="0"/>
              <w:jc w:val="center"/>
              <w:rPr>
                <w:rFonts w:cs="Times New Roman"/>
                <w:kern w:val="0"/>
                <w:sz w:val="21"/>
                <w:szCs w:val="21"/>
              </w:rPr>
            </w:pPr>
            <w:r>
              <w:rPr>
                <w:rFonts w:hint="eastAsia" w:cs="Times New Roman"/>
                <w:kern w:val="0"/>
                <w:sz w:val="21"/>
                <w:szCs w:val="21"/>
              </w:rPr>
              <w:t>14</w:t>
            </w:r>
          </w:p>
        </w:tc>
        <w:tc>
          <w:tcPr>
            <w:tcW w:w="667" w:type="pct"/>
            <w:vAlign w:val="center"/>
          </w:tcPr>
          <w:p w14:paraId="750F6321">
            <w:pPr>
              <w:widowControl/>
              <w:spacing w:line="240" w:lineRule="auto"/>
              <w:ind w:firstLine="0" w:firstLineChars="0"/>
              <w:jc w:val="center"/>
              <w:rPr>
                <w:rFonts w:cs="Times New Roman"/>
                <w:kern w:val="0"/>
                <w:sz w:val="21"/>
                <w:szCs w:val="21"/>
              </w:rPr>
            </w:pPr>
            <w:r>
              <w:rPr>
                <w:rFonts w:hint="eastAsia" w:cs="Times New Roman"/>
                <w:kern w:val="0"/>
                <w:sz w:val="21"/>
                <w:szCs w:val="21"/>
              </w:rPr>
              <w:t>15</w:t>
            </w:r>
          </w:p>
        </w:tc>
        <w:tc>
          <w:tcPr>
            <w:tcW w:w="667" w:type="pct"/>
            <w:vAlign w:val="center"/>
          </w:tcPr>
          <w:p w14:paraId="6A5AE870">
            <w:pPr>
              <w:spacing w:line="240" w:lineRule="auto"/>
              <w:ind w:firstLine="0" w:firstLineChars="0"/>
              <w:jc w:val="center"/>
              <w:rPr>
                <w:rFonts w:cs="Times New Roman"/>
                <w:sz w:val="21"/>
                <w:szCs w:val="21"/>
              </w:rPr>
            </w:pPr>
            <w:r>
              <w:rPr>
                <w:rFonts w:hint="eastAsia" w:cs="Times New Roman"/>
                <w:sz w:val="21"/>
                <w:szCs w:val="21"/>
              </w:rPr>
              <w:t>16</w:t>
            </w:r>
          </w:p>
        </w:tc>
        <w:tc>
          <w:tcPr>
            <w:tcW w:w="667" w:type="pct"/>
            <w:vAlign w:val="center"/>
          </w:tcPr>
          <w:p w14:paraId="3C940FD7">
            <w:pPr>
              <w:spacing w:line="240" w:lineRule="auto"/>
              <w:ind w:firstLine="0" w:firstLineChars="0"/>
              <w:jc w:val="center"/>
              <w:rPr>
                <w:rFonts w:cs="Times New Roman"/>
                <w:sz w:val="21"/>
                <w:szCs w:val="21"/>
              </w:rPr>
            </w:pPr>
            <w:r>
              <w:rPr>
                <w:rFonts w:hint="eastAsia" w:cs="Times New Roman"/>
                <w:sz w:val="21"/>
                <w:szCs w:val="21"/>
              </w:rPr>
              <w:t>1</w:t>
            </w:r>
            <w:r>
              <w:rPr>
                <w:rFonts w:cs="Times New Roman"/>
                <w:sz w:val="21"/>
                <w:szCs w:val="21"/>
              </w:rPr>
              <w:t>00</w:t>
            </w:r>
          </w:p>
        </w:tc>
        <w:tc>
          <w:tcPr>
            <w:tcW w:w="436" w:type="pct"/>
            <w:vAlign w:val="center"/>
          </w:tcPr>
          <w:p w14:paraId="17308E50">
            <w:pPr>
              <w:spacing w:line="240" w:lineRule="auto"/>
              <w:ind w:firstLine="0" w:firstLineChars="0"/>
              <w:jc w:val="center"/>
              <w:rPr>
                <w:rFonts w:cs="Times New Roman"/>
                <w:szCs w:val="24"/>
              </w:rPr>
            </w:pPr>
            <w:r>
              <w:rPr>
                <w:rFonts w:hint="eastAsia" w:cs="Times New Roman"/>
                <w:sz w:val="21"/>
                <w:szCs w:val="21"/>
              </w:rPr>
              <w:t>达标</w:t>
            </w:r>
          </w:p>
        </w:tc>
      </w:tr>
      <w:tr w14:paraId="1F80D4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Align w:val="center"/>
          </w:tcPr>
          <w:p w14:paraId="20034D38">
            <w:pPr>
              <w:widowControl/>
              <w:spacing w:line="240" w:lineRule="auto"/>
              <w:ind w:firstLine="0" w:firstLineChars="0"/>
              <w:jc w:val="center"/>
              <w:rPr>
                <w:rFonts w:cs="Times New Roman"/>
                <w:kern w:val="0"/>
                <w:sz w:val="21"/>
                <w:szCs w:val="21"/>
              </w:rPr>
            </w:pPr>
            <w:r>
              <w:rPr>
                <w:rFonts w:cs="Times New Roman"/>
                <w:kern w:val="0"/>
                <w:sz w:val="21"/>
                <w:szCs w:val="21"/>
              </w:rPr>
              <w:t>5</w:t>
            </w:r>
          </w:p>
        </w:tc>
        <w:tc>
          <w:tcPr>
            <w:tcW w:w="309" w:type="pct"/>
          </w:tcPr>
          <w:p w14:paraId="39B60DAC">
            <w:pPr>
              <w:widowControl/>
              <w:spacing w:line="240" w:lineRule="auto"/>
              <w:ind w:firstLine="0" w:firstLineChars="0"/>
              <w:jc w:val="center"/>
              <w:rPr>
                <w:rFonts w:cs="Times New Roman"/>
                <w:kern w:val="0"/>
                <w:sz w:val="21"/>
                <w:szCs w:val="21"/>
              </w:rPr>
            </w:pPr>
            <w:r>
              <w:rPr>
                <w:rFonts w:hint="eastAsia" w:cs="Times New Roman"/>
                <w:kern w:val="0"/>
                <w:sz w:val="21"/>
                <w:szCs w:val="21"/>
              </w:rPr>
              <w:t>水田</w:t>
            </w:r>
          </w:p>
        </w:tc>
        <w:tc>
          <w:tcPr>
            <w:tcW w:w="616" w:type="pct"/>
            <w:vAlign w:val="center"/>
          </w:tcPr>
          <w:p w14:paraId="18375F65">
            <w:pPr>
              <w:widowControl/>
              <w:spacing w:line="240" w:lineRule="auto"/>
              <w:ind w:firstLine="0" w:firstLineChars="0"/>
              <w:jc w:val="center"/>
              <w:rPr>
                <w:rFonts w:cs="Times New Roman"/>
                <w:kern w:val="0"/>
                <w:sz w:val="21"/>
                <w:szCs w:val="21"/>
              </w:rPr>
            </w:pPr>
            <w:r>
              <w:rPr>
                <w:rFonts w:hint="eastAsia" w:cs="Times New Roman"/>
                <w:kern w:val="0"/>
                <w:sz w:val="21"/>
                <w:szCs w:val="21"/>
              </w:rPr>
              <w:t>铅</w:t>
            </w:r>
          </w:p>
        </w:tc>
        <w:tc>
          <w:tcPr>
            <w:tcW w:w="667" w:type="pct"/>
            <w:vAlign w:val="center"/>
          </w:tcPr>
          <w:p w14:paraId="1F536C5A">
            <w:pPr>
              <w:widowControl/>
              <w:spacing w:line="240" w:lineRule="auto"/>
              <w:ind w:firstLine="0" w:firstLineChars="0"/>
              <w:jc w:val="center"/>
              <w:rPr>
                <w:rFonts w:cs="Times New Roman"/>
                <w:kern w:val="0"/>
                <w:sz w:val="21"/>
                <w:szCs w:val="21"/>
              </w:rPr>
            </w:pPr>
            <w:r>
              <w:rPr>
                <w:rFonts w:hint="eastAsia" w:cs="Times New Roman"/>
                <w:kern w:val="0"/>
                <w:sz w:val="21"/>
                <w:szCs w:val="21"/>
              </w:rPr>
              <w:t>20.1</w:t>
            </w:r>
          </w:p>
        </w:tc>
        <w:tc>
          <w:tcPr>
            <w:tcW w:w="667" w:type="pct"/>
            <w:vAlign w:val="center"/>
          </w:tcPr>
          <w:p w14:paraId="5E70772F">
            <w:pPr>
              <w:widowControl/>
              <w:spacing w:line="240" w:lineRule="auto"/>
              <w:ind w:firstLine="0" w:firstLineChars="0"/>
              <w:jc w:val="center"/>
              <w:rPr>
                <w:rFonts w:cs="Times New Roman"/>
                <w:kern w:val="0"/>
                <w:sz w:val="21"/>
                <w:szCs w:val="21"/>
              </w:rPr>
            </w:pPr>
            <w:r>
              <w:rPr>
                <w:rFonts w:hint="eastAsia" w:cs="Times New Roman"/>
                <w:kern w:val="0"/>
                <w:sz w:val="21"/>
                <w:szCs w:val="21"/>
              </w:rPr>
              <w:t>20.0</w:t>
            </w:r>
          </w:p>
        </w:tc>
        <w:tc>
          <w:tcPr>
            <w:tcW w:w="667" w:type="pct"/>
            <w:vAlign w:val="center"/>
          </w:tcPr>
          <w:p w14:paraId="1B9932A6">
            <w:pPr>
              <w:widowControl/>
              <w:spacing w:line="240" w:lineRule="auto"/>
              <w:ind w:firstLine="0" w:firstLineChars="0"/>
              <w:jc w:val="center"/>
              <w:rPr>
                <w:rFonts w:cs="Times New Roman"/>
                <w:kern w:val="0"/>
                <w:sz w:val="21"/>
                <w:szCs w:val="21"/>
              </w:rPr>
            </w:pPr>
            <w:r>
              <w:rPr>
                <w:rFonts w:hint="eastAsia" w:cs="Times New Roman"/>
                <w:kern w:val="0"/>
                <w:sz w:val="21"/>
                <w:szCs w:val="21"/>
              </w:rPr>
              <w:t>23.1</w:t>
            </w:r>
          </w:p>
        </w:tc>
        <w:tc>
          <w:tcPr>
            <w:tcW w:w="667" w:type="pct"/>
            <w:vAlign w:val="center"/>
          </w:tcPr>
          <w:p w14:paraId="5F38C559">
            <w:pPr>
              <w:spacing w:line="240" w:lineRule="auto"/>
              <w:ind w:firstLine="0" w:firstLineChars="0"/>
              <w:jc w:val="center"/>
              <w:rPr>
                <w:rFonts w:cs="Times New Roman"/>
                <w:sz w:val="21"/>
                <w:szCs w:val="21"/>
              </w:rPr>
            </w:pPr>
            <w:r>
              <w:rPr>
                <w:rFonts w:hint="eastAsia" w:cs="Times New Roman"/>
                <w:sz w:val="21"/>
                <w:szCs w:val="21"/>
              </w:rPr>
              <w:t>21.6</w:t>
            </w:r>
          </w:p>
        </w:tc>
        <w:tc>
          <w:tcPr>
            <w:tcW w:w="667" w:type="pct"/>
            <w:vAlign w:val="center"/>
          </w:tcPr>
          <w:p w14:paraId="1FF7C645">
            <w:pPr>
              <w:spacing w:line="240" w:lineRule="auto"/>
              <w:ind w:firstLine="0" w:firstLineChars="0"/>
              <w:jc w:val="center"/>
              <w:rPr>
                <w:rFonts w:cs="Times New Roman"/>
                <w:sz w:val="21"/>
                <w:szCs w:val="21"/>
              </w:rPr>
            </w:pPr>
            <w:r>
              <w:rPr>
                <w:rFonts w:hint="eastAsia" w:cs="Times New Roman"/>
                <w:sz w:val="21"/>
                <w:szCs w:val="21"/>
              </w:rPr>
              <w:t>2</w:t>
            </w:r>
            <w:r>
              <w:rPr>
                <w:rFonts w:cs="Times New Roman"/>
                <w:sz w:val="21"/>
                <w:szCs w:val="21"/>
              </w:rPr>
              <w:t>40</w:t>
            </w:r>
          </w:p>
        </w:tc>
        <w:tc>
          <w:tcPr>
            <w:tcW w:w="436" w:type="pct"/>
            <w:vAlign w:val="center"/>
          </w:tcPr>
          <w:p w14:paraId="7F7DFDDC">
            <w:pPr>
              <w:spacing w:line="240" w:lineRule="auto"/>
              <w:ind w:firstLine="0" w:firstLineChars="0"/>
              <w:jc w:val="center"/>
              <w:rPr>
                <w:rFonts w:cs="Times New Roman"/>
                <w:szCs w:val="24"/>
              </w:rPr>
            </w:pPr>
            <w:r>
              <w:rPr>
                <w:rFonts w:hint="eastAsia" w:cs="Times New Roman"/>
                <w:sz w:val="21"/>
                <w:szCs w:val="21"/>
              </w:rPr>
              <w:t>达标</w:t>
            </w:r>
          </w:p>
        </w:tc>
      </w:tr>
      <w:tr w14:paraId="7E8E7A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Align w:val="center"/>
          </w:tcPr>
          <w:p w14:paraId="2C77AF53">
            <w:pPr>
              <w:widowControl/>
              <w:spacing w:line="240" w:lineRule="auto"/>
              <w:ind w:firstLine="0" w:firstLineChars="0"/>
              <w:jc w:val="center"/>
              <w:rPr>
                <w:rFonts w:cs="Times New Roman"/>
                <w:kern w:val="0"/>
                <w:sz w:val="21"/>
                <w:szCs w:val="21"/>
              </w:rPr>
            </w:pPr>
            <w:r>
              <w:rPr>
                <w:rFonts w:cs="Times New Roman"/>
                <w:kern w:val="0"/>
                <w:sz w:val="21"/>
                <w:szCs w:val="21"/>
              </w:rPr>
              <w:t>6</w:t>
            </w:r>
          </w:p>
        </w:tc>
        <w:tc>
          <w:tcPr>
            <w:tcW w:w="309" w:type="pct"/>
          </w:tcPr>
          <w:p w14:paraId="068DCC96">
            <w:pPr>
              <w:widowControl/>
              <w:spacing w:line="240" w:lineRule="auto"/>
              <w:ind w:firstLine="0" w:firstLineChars="0"/>
              <w:jc w:val="center"/>
              <w:rPr>
                <w:rFonts w:cs="Times New Roman"/>
                <w:kern w:val="0"/>
                <w:sz w:val="21"/>
                <w:szCs w:val="21"/>
              </w:rPr>
            </w:pPr>
            <w:r>
              <w:rPr>
                <w:rFonts w:hint="eastAsia" w:cs="Times New Roman"/>
                <w:kern w:val="0"/>
                <w:sz w:val="21"/>
                <w:szCs w:val="21"/>
              </w:rPr>
              <w:t>水田</w:t>
            </w:r>
          </w:p>
        </w:tc>
        <w:tc>
          <w:tcPr>
            <w:tcW w:w="616" w:type="pct"/>
            <w:vAlign w:val="center"/>
          </w:tcPr>
          <w:p w14:paraId="08EE4A45">
            <w:pPr>
              <w:widowControl/>
              <w:spacing w:line="240" w:lineRule="auto"/>
              <w:ind w:firstLine="0" w:firstLineChars="0"/>
              <w:jc w:val="center"/>
              <w:rPr>
                <w:rFonts w:cs="Times New Roman"/>
                <w:kern w:val="0"/>
                <w:sz w:val="21"/>
                <w:szCs w:val="21"/>
              </w:rPr>
            </w:pPr>
            <w:r>
              <w:rPr>
                <w:rFonts w:hint="eastAsia" w:cs="Times New Roman"/>
                <w:kern w:val="0"/>
                <w:sz w:val="21"/>
                <w:szCs w:val="21"/>
              </w:rPr>
              <w:t>汞</w:t>
            </w:r>
          </w:p>
        </w:tc>
        <w:tc>
          <w:tcPr>
            <w:tcW w:w="667" w:type="pct"/>
            <w:vAlign w:val="center"/>
          </w:tcPr>
          <w:p w14:paraId="38A40040">
            <w:pPr>
              <w:widowControl/>
              <w:spacing w:line="240" w:lineRule="auto"/>
              <w:ind w:firstLine="0" w:firstLineChars="0"/>
              <w:jc w:val="center"/>
              <w:rPr>
                <w:rFonts w:cs="Times New Roman"/>
                <w:kern w:val="0"/>
                <w:sz w:val="21"/>
                <w:szCs w:val="21"/>
              </w:rPr>
            </w:pPr>
            <w:r>
              <w:rPr>
                <w:rFonts w:hint="eastAsia" w:cs="Times New Roman"/>
                <w:kern w:val="0"/>
                <w:sz w:val="21"/>
                <w:szCs w:val="21"/>
              </w:rPr>
              <w:t>0.183</w:t>
            </w:r>
          </w:p>
        </w:tc>
        <w:tc>
          <w:tcPr>
            <w:tcW w:w="667" w:type="pct"/>
            <w:vAlign w:val="center"/>
          </w:tcPr>
          <w:p w14:paraId="06AA6029">
            <w:pPr>
              <w:widowControl/>
              <w:spacing w:line="240" w:lineRule="auto"/>
              <w:ind w:firstLine="0" w:firstLineChars="0"/>
              <w:jc w:val="center"/>
              <w:rPr>
                <w:rFonts w:cs="Times New Roman"/>
                <w:kern w:val="0"/>
                <w:sz w:val="21"/>
                <w:szCs w:val="21"/>
              </w:rPr>
            </w:pPr>
            <w:r>
              <w:rPr>
                <w:rFonts w:hint="eastAsia" w:cs="Times New Roman"/>
                <w:kern w:val="0"/>
                <w:sz w:val="21"/>
                <w:szCs w:val="21"/>
              </w:rPr>
              <w:t>0.166</w:t>
            </w:r>
          </w:p>
        </w:tc>
        <w:tc>
          <w:tcPr>
            <w:tcW w:w="667" w:type="pct"/>
            <w:vAlign w:val="center"/>
          </w:tcPr>
          <w:p w14:paraId="5137AE41">
            <w:pPr>
              <w:widowControl/>
              <w:spacing w:line="240" w:lineRule="auto"/>
              <w:ind w:firstLine="0" w:firstLineChars="0"/>
              <w:jc w:val="center"/>
              <w:rPr>
                <w:rFonts w:cs="Times New Roman"/>
                <w:kern w:val="0"/>
                <w:sz w:val="21"/>
                <w:szCs w:val="21"/>
              </w:rPr>
            </w:pPr>
            <w:r>
              <w:rPr>
                <w:rFonts w:hint="eastAsia" w:cs="Times New Roman"/>
                <w:kern w:val="0"/>
                <w:sz w:val="21"/>
                <w:szCs w:val="21"/>
              </w:rPr>
              <w:t>0.168</w:t>
            </w:r>
          </w:p>
        </w:tc>
        <w:tc>
          <w:tcPr>
            <w:tcW w:w="667" w:type="pct"/>
            <w:vAlign w:val="center"/>
          </w:tcPr>
          <w:p w14:paraId="6024D7A4">
            <w:pPr>
              <w:spacing w:line="240" w:lineRule="auto"/>
              <w:ind w:firstLine="0" w:firstLineChars="0"/>
              <w:jc w:val="center"/>
              <w:rPr>
                <w:rFonts w:cs="Times New Roman"/>
                <w:sz w:val="21"/>
                <w:szCs w:val="21"/>
              </w:rPr>
            </w:pPr>
            <w:r>
              <w:rPr>
                <w:rFonts w:hint="eastAsia" w:cs="Times New Roman"/>
                <w:sz w:val="21"/>
                <w:szCs w:val="21"/>
              </w:rPr>
              <w:t>0.184</w:t>
            </w:r>
          </w:p>
        </w:tc>
        <w:tc>
          <w:tcPr>
            <w:tcW w:w="667" w:type="pct"/>
            <w:vAlign w:val="center"/>
          </w:tcPr>
          <w:p w14:paraId="00719B3A">
            <w:pPr>
              <w:spacing w:line="240" w:lineRule="auto"/>
              <w:ind w:firstLine="0" w:firstLineChars="0"/>
              <w:jc w:val="center"/>
              <w:rPr>
                <w:rFonts w:cs="Times New Roman"/>
                <w:sz w:val="21"/>
                <w:szCs w:val="21"/>
              </w:rPr>
            </w:pPr>
            <w:r>
              <w:rPr>
                <w:rFonts w:hint="eastAsia" w:cs="Times New Roman"/>
                <w:sz w:val="21"/>
                <w:szCs w:val="21"/>
              </w:rPr>
              <w:t>1</w:t>
            </w:r>
            <w:r>
              <w:rPr>
                <w:rFonts w:cs="Times New Roman"/>
                <w:sz w:val="21"/>
                <w:szCs w:val="21"/>
              </w:rPr>
              <w:t>.0</w:t>
            </w:r>
          </w:p>
        </w:tc>
        <w:tc>
          <w:tcPr>
            <w:tcW w:w="436" w:type="pct"/>
            <w:vAlign w:val="center"/>
          </w:tcPr>
          <w:p w14:paraId="215CC216">
            <w:pPr>
              <w:spacing w:line="240" w:lineRule="auto"/>
              <w:ind w:firstLine="0" w:firstLineChars="0"/>
              <w:jc w:val="center"/>
              <w:rPr>
                <w:rFonts w:cs="Times New Roman"/>
                <w:szCs w:val="24"/>
              </w:rPr>
            </w:pPr>
            <w:r>
              <w:rPr>
                <w:rFonts w:hint="eastAsia" w:cs="Times New Roman"/>
                <w:sz w:val="21"/>
                <w:szCs w:val="21"/>
              </w:rPr>
              <w:t>达标</w:t>
            </w:r>
          </w:p>
        </w:tc>
      </w:tr>
      <w:tr w14:paraId="4B3819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Align w:val="center"/>
          </w:tcPr>
          <w:p w14:paraId="3AFC2C16">
            <w:pPr>
              <w:widowControl/>
              <w:spacing w:line="240" w:lineRule="auto"/>
              <w:ind w:firstLine="0" w:firstLineChars="0"/>
              <w:jc w:val="center"/>
              <w:rPr>
                <w:rFonts w:cs="Times New Roman"/>
                <w:kern w:val="0"/>
                <w:sz w:val="21"/>
                <w:szCs w:val="21"/>
              </w:rPr>
            </w:pPr>
            <w:r>
              <w:rPr>
                <w:rFonts w:cs="Times New Roman"/>
                <w:kern w:val="0"/>
                <w:sz w:val="21"/>
                <w:szCs w:val="21"/>
              </w:rPr>
              <w:t>7</w:t>
            </w:r>
          </w:p>
        </w:tc>
        <w:tc>
          <w:tcPr>
            <w:tcW w:w="925" w:type="pct"/>
            <w:gridSpan w:val="2"/>
            <w:vAlign w:val="center"/>
          </w:tcPr>
          <w:p w14:paraId="773420EE">
            <w:pPr>
              <w:widowControl/>
              <w:spacing w:line="240" w:lineRule="auto"/>
              <w:ind w:firstLine="0" w:firstLineChars="0"/>
              <w:jc w:val="center"/>
              <w:rPr>
                <w:rFonts w:cs="Times New Roman"/>
                <w:kern w:val="0"/>
                <w:sz w:val="21"/>
                <w:szCs w:val="21"/>
              </w:rPr>
            </w:pPr>
            <w:r>
              <w:rPr>
                <w:rFonts w:hint="eastAsia" w:cs="Times New Roman"/>
                <w:kern w:val="0"/>
                <w:sz w:val="21"/>
                <w:szCs w:val="21"/>
              </w:rPr>
              <w:t>镍</w:t>
            </w:r>
          </w:p>
        </w:tc>
        <w:tc>
          <w:tcPr>
            <w:tcW w:w="667" w:type="pct"/>
            <w:vAlign w:val="center"/>
          </w:tcPr>
          <w:p w14:paraId="25E03B9B">
            <w:pPr>
              <w:widowControl/>
              <w:spacing w:line="240" w:lineRule="auto"/>
              <w:ind w:firstLine="0" w:firstLineChars="0"/>
              <w:jc w:val="center"/>
              <w:rPr>
                <w:rFonts w:cs="Times New Roman"/>
                <w:kern w:val="0"/>
                <w:sz w:val="21"/>
                <w:szCs w:val="21"/>
              </w:rPr>
            </w:pPr>
            <w:r>
              <w:rPr>
                <w:rFonts w:hint="eastAsia" w:cs="Times New Roman"/>
                <w:kern w:val="0"/>
                <w:sz w:val="21"/>
                <w:szCs w:val="21"/>
              </w:rPr>
              <w:t>32</w:t>
            </w:r>
          </w:p>
        </w:tc>
        <w:tc>
          <w:tcPr>
            <w:tcW w:w="667" w:type="pct"/>
            <w:vAlign w:val="center"/>
          </w:tcPr>
          <w:p w14:paraId="265B6793">
            <w:pPr>
              <w:widowControl/>
              <w:spacing w:line="240" w:lineRule="auto"/>
              <w:ind w:firstLine="0" w:firstLineChars="0"/>
              <w:jc w:val="center"/>
              <w:rPr>
                <w:rFonts w:cs="Times New Roman"/>
                <w:kern w:val="0"/>
                <w:sz w:val="21"/>
                <w:szCs w:val="21"/>
              </w:rPr>
            </w:pPr>
            <w:r>
              <w:rPr>
                <w:rFonts w:hint="eastAsia" w:cs="Times New Roman"/>
                <w:kern w:val="0"/>
                <w:sz w:val="21"/>
                <w:szCs w:val="21"/>
              </w:rPr>
              <w:t>17</w:t>
            </w:r>
          </w:p>
        </w:tc>
        <w:tc>
          <w:tcPr>
            <w:tcW w:w="667" w:type="pct"/>
            <w:vAlign w:val="center"/>
          </w:tcPr>
          <w:p w14:paraId="1BA14A12">
            <w:pPr>
              <w:widowControl/>
              <w:spacing w:line="240" w:lineRule="auto"/>
              <w:ind w:firstLine="0" w:firstLineChars="0"/>
              <w:jc w:val="center"/>
              <w:rPr>
                <w:rFonts w:cs="Times New Roman"/>
                <w:kern w:val="0"/>
                <w:sz w:val="21"/>
                <w:szCs w:val="21"/>
              </w:rPr>
            </w:pPr>
            <w:r>
              <w:rPr>
                <w:rFonts w:hint="eastAsia" w:cs="Times New Roman"/>
                <w:kern w:val="0"/>
                <w:sz w:val="21"/>
                <w:szCs w:val="21"/>
              </w:rPr>
              <w:t>18</w:t>
            </w:r>
          </w:p>
        </w:tc>
        <w:tc>
          <w:tcPr>
            <w:tcW w:w="667" w:type="pct"/>
            <w:vAlign w:val="center"/>
          </w:tcPr>
          <w:p w14:paraId="15A35BF3">
            <w:pPr>
              <w:spacing w:line="240" w:lineRule="auto"/>
              <w:ind w:firstLine="0" w:firstLineChars="0"/>
              <w:jc w:val="center"/>
              <w:rPr>
                <w:rFonts w:cs="Times New Roman"/>
                <w:sz w:val="21"/>
                <w:szCs w:val="21"/>
              </w:rPr>
            </w:pPr>
            <w:r>
              <w:rPr>
                <w:rFonts w:hint="eastAsia" w:cs="Times New Roman"/>
                <w:sz w:val="21"/>
                <w:szCs w:val="21"/>
              </w:rPr>
              <w:t>18</w:t>
            </w:r>
          </w:p>
        </w:tc>
        <w:tc>
          <w:tcPr>
            <w:tcW w:w="667" w:type="pct"/>
            <w:vAlign w:val="center"/>
          </w:tcPr>
          <w:p w14:paraId="370B30BA">
            <w:pPr>
              <w:spacing w:line="240" w:lineRule="auto"/>
              <w:ind w:firstLine="0" w:firstLineChars="0"/>
              <w:jc w:val="center"/>
              <w:rPr>
                <w:rFonts w:cs="Times New Roman"/>
                <w:sz w:val="21"/>
                <w:szCs w:val="21"/>
              </w:rPr>
            </w:pPr>
            <w:r>
              <w:rPr>
                <w:rFonts w:hint="eastAsia" w:cs="Times New Roman"/>
                <w:sz w:val="21"/>
                <w:szCs w:val="21"/>
              </w:rPr>
              <w:t>1</w:t>
            </w:r>
            <w:r>
              <w:rPr>
                <w:rFonts w:cs="Times New Roman"/>
                <w:sz w:val="21"/>
                <w:szCs w:val="21"/>
              </w:rPr>
              <w:t>90</w:t>
            </w:r>
          </w:p>
        </w:tc>
        <w:tc>
          <w:tcPr>
            <w:tcW w:w="436" w:type="pct"/>
            <w:vAlign w:val="center"/>
          </w:tcPr>
          <w:p w14:paraId="435912EE">
            <w:pPr>
              <w:spacing w:line="240" w:lineRule="auto"/>
              <w:ind w:firstLine="0" w:firstLineChars="0"/>
              <w:jc w:val="center"/>
              <w:rPr>
                <w:rFonts w:cs="Times New Roman"/>
                <w:szCs w:val="24"/>
              </w:rPr>
            </w:pPr>
            <w:r>
              <w:rPr>
                <w:rFonts w:hint="eastAsia" w:cs="Times New Roman"/>
                <w:sz w:val="21"/>
                <w:szCs w:val="21"/>
              </w:rPr>
              <w:t>达标</w:t>
            </w:r>
          </w:p>
        </w:tc>
      </w:tr>
      <w:tr w14:paraId="22B6BE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304" w:type="pct"/>
            <w:vAlign w:val="center"/>
          </w:tcPr>
          <w:p w14:paraId="423B7E1E">
            <w:pPr>
              <w:widowControl/>
              <w:spacing w:line="240" w:lineRule="auto"/>
              <w:ind w:firstLine="0" w:firstLineChars="0"/>
              <w:jc w:val="center"/>
              <w:rPr>
                <w:rFonts w:cs="Times New Roman"/>
                <w:kern w:val="0"/>
                <w:sz w:val="21"/>
                <w:szCs w:val="21"/>
              </w:rPr>
            </w:pPr>
            <w:r>
              <w:rPr>
                <w:rFonts w:hint="eastAsia" w:cs="Times New Roman"/>
                <w:kern w:val="0"/>
                <w:sz w:val="21"/>
                <w:szCs w:val="21"/>
              </w:rPr>
              <w:t>8</w:t>
            </w:r>
          </w:p>
        </w:tc>
        <w:tc>
          <w:tcPr>
            <w:tcW w:w="925" w:type="pct"/>
            <w:gridSpan w:val="2"/>
            <w:vAlign w:val="center"/>
          </w:tcPr>
          <w:p w14:paraId="7F6215D1">
            <w:pPr>
              <w:widowControl/>
              <w:spacing w:line="240" w:lineRule="auto"/>
              <w:ind w:firstLine="0" w:firstLineChars="0"/>
              <w:jc w:val="center"/>
              <w:rPr>
                <w:rFonts w:cs="Times New Roman"/>
                <w:kern w:val="0"/>
                <w:sz w:val="21"/>
                <w:szCs w:val="21"/>
              </w:rPr>
            </w:pPr>
            <w:r>
              <w:rPr>
                <w:rFonts w:hint="eastAsia" w:cs="Times New Roman"/>
                <w:kern w:val="0"/>
                <w:sz w:val="21"/>
                <w:szCs w:val="21"/>
              </w:rPr>
              <w:t>锌</w:t>
            </w:r>
          </w:p>
        </w:tc>
        <w:tc>
          <w:tcPr>
            <w:tcW w:w="667" w:type="pct"/>
            <w:vAlign w:val="center"/>
          </w:tcPr>
          <w:p w14:paraId="70EBF9B8">
            <w:pPr>
              <w:widowControl/>
              <w:spacing w:line="240" w:lineRule="auto"/>
              <w:ind w:firstLine="0" w:firstLineChars="0"/>
              <w:jc w:val="center"/>
              <w:rPr>
                <w:rFonts w:cs="Times New Roman"/>
                <w:kern w:val="0"/>
                <w:sz w:val="21"/>
                <w:szCs w:val="21"/>
              </w:rPr>
            </w:pPr>
            <w:r>
              <w:rPr>
                <w:rFonts w:hint="eastAsia" w:cs="Times New Roman"/>
                <w:kern w:val="0"/>
                <w:sz w:val="21"/>
                <w:szCs w:val="21"/>
              </w:rPr>
              <w:t>52</w:t>
            </w:r>
          </w:p>
        </w:tc>
        <w:tc>
          <w:tcPr>
            <w:tcW w:w="667" w:type="pct"/>
            <w:vAlign w:val="center"/>
          </w:tcPr>
          <w:p w14:paraId="27D7FF5B">
            <w:pPr>
              <w:widowControl/>
              <w:spacing w:line="240" w:lineRule="auto"/>
              <w:ind w:firstLine="0" w:firstLineChars="0"/>
              <w:jc w:val="center"/>
              <w:rPr>
                <w:rFonts w:cs="Times New Roman"/>
                <w:kern w:val="0"/>
                <w:sz w:val="21"/>
                <w:szCs w:val="21"/>
              </w:rPr>
            </w:pPr>
            <w:r>
              <w:rPr>
                <w:rFonts w:hint="eastAsia" w:cs="Times New Roman"/>
                <w:kern w:val="0"/>
                <w:sz w:val="21"/>
                <w:szCs w:val="21"/>
              </w:rPr>
              <w:t>52</w:t>
            </w:r>
          </w:p>
        </w:tc>
        <w:tc>
          <w:tcPr>
            <w:tcW w:w="667" w:type="pct"/>
            <w:vAlign w:val="center"/>
          </w:tcPr>
          <w:p w14:paraId="246C151C">
            <w:pPr>
              <w:widowControl/>
              <w:spacing w:line="240" w:lineRule="auto"/>
              <w:ind w:firstLine="0" w:firstLineChars="0"/>
              <w:jc w:val="center"/>
              <w:rPr>
                <w:rFonts w:cs="Times New Roman"/>
                <w:kern w:val="0"/>
                <w:sz w:val="21"/>
                <w:szCs w:val="21"/>
              </w:rPr>
            </w:pPr>
            <w:r>
              <w:rPr>
                <w:rFonts w:hint="eastAsia" w:cs="Times New Roman"/>
                <w:kern w:val="0"/>
                <w:sz w:val="21"/>
                <w:szCs w:val="21"/>
              </w:rPr>
              <w:t>54</w:t>
            </w:r>
          </w:p>
        </w:tc>
        <w:tc>
          <w:tcPr>
            <w:tcW w:w="667" w:type="pct"/>
            <w:vAlign w:val="center"/>
          </w:tcPr>
          <w:p w14:paraId="61729ED9">
            <w:pPr>
              <w:spacing w:line="240" w:lineRule="auto"/>
              <w:ind w:firstLine="0" w:firstLineChars="0"/>
              <w:jc w:val="center"/>
              <w:rPr>
                <w:rFonts w:cs="Times New Roman"/>
                <w:sz w:val="21"/>
                <w:szCs w:val="21"/>
              </w:rPr>
            </w:pPr>
            <w:r>
              <w:rPr>
                <w:rFonts w:hint="eastAsia" w:cs="Times New Roman"/>
                <w:sz w:val="21"/>
                <w:szCs w:val="21"/>
              </w:rPr>
              <w:t>53</w:t>
            </w:r>
          </w:p>
        </w:tc>
        <w:tc>
          <w:tcPr>
            <w:tcW w:w="667" w:type="pct"/>
            <w:vAlign w:val="center"/>
          </w:tcPr>
          <w:p w14:paraId="0544D635">
            <w:pPr>
              <w:spacing w:line="240" w:lineRule="auto"/>
              <w:ind w:firstLine="0" w:firstLineChars="0"/>
              <w:jc w:val="center"/>
              <w:rPr>
                <w:rFonts w:cs="Times New Roman"/>
                <w:sz w:val="21"/>
                <w:szCs w:val="21"/>
              </w:rPr>
            </w:pPr>
            <w:r>
              <w:rPr>
                <w:rFonts w:hint="eastAsia" w:cs="Times New Roman"/>
                <w:sz w:val="21"/>
                <w:szCs w:val="21"/>
              </w:rPr>
              <w:t>3</w:t>
            </w:r>
            <w:r>
              <w:rPr>
                <w:rFonts w:cs="Times New Roman"/>
                <w:sz w:val="21"/>
                <w:szCs w:val="21"/>
              </w:rPr>
              <w:t>00</w:t>
            </w:r>
          </w:p>
        </w:tc>
        <w:tc>
          <w:tcPr>
            <w:tcW w:w="436" w:type="pct"/>
            <w:vAlign w:val="center"/>
          </w:tcPr>
          <w:p w14:paraId="3CDA6DE5">
            <w:pPr>
              <w:spacing w:line="240" w:lineRule="auto"/>
              <w:ind w:firstLine="0" w:firstLineChars="0"/>
              <w:jc w:val="center"/>
              <w:rPr>
                <w:rFonts w:cs="Times New Roman"/>
                <w:sz w:val="21"/>
                <w:szCs w:val="21"/>
              </w:rPr>
            </w:pPr>
            <w:r>
              <w:rPr>
                <w:rFonts w:hint="eastAsia" w:cs="Times New Roman"/>
                <w:sz w:val="21"/>
                <w:szCs w:val="21"/>
              </w:rPr>
              <w:t>达标</w:t>
            </w:r>
          </w:p>
        </w:tc>
      </w:tr>
    </w:tbl>
    <w:p w14:paraId="57B0C268">
      <w:pPr>
        <w:tabs>
          <w:tab w:val="left" w:pos="567"/>
        </w:tabs>
        <w:ind w:firstLine="420"/>
        <w:rPr>
          <w:rFonts w:cs="Times New Roman"/>
          <w:b/>
          <w:bCs/>
          <w:sz w:val="21"/>
          <w:szCs w:val="21"/>
        </w:rPr>
      </w:pPr>
      <w:r>
        <w:rPr>
          <w:rFonts w:hint="eastAsia" w:cs="Times New Roman"/>
          <w:sz w:val="21"/>
          <w:szCs w:val="21"/>
        </w:rPr>
        <w:t>注： ND表示该检测结果低于方法检出限。</w:t>
      </w:r>
    </w:p>
    <w:p w14:paraId="2FB07229">
      <w:pPr>
        <w:ind w:firstLine="480"/>
        <w:rPr>
          <w:rFonts w:cs="Times New Roman"/>
          <w:szCs w:val="24"/>
        </w:rPr>
      </w:pPr>
      <w:r>
        <w:rPr>
          <w:rFonts w:hint="eastAsia" w:cs="Times New Roman"/>
          <w:szCs w:val="24"/>
        </w:rPr>
        <w:t>由上表可知，在场地范围采集的土壤样品的各监测因子均满足《</w:t>
      </w:r>
      <w:r>
        <w:rPr>
          <w:rFonts w:cs="Times New Roman"/>
          <w:bCs/>
          <w:szCs w:val="24"/>
        </w:rPr>
        <w:t>土壤环境质量建设用地土壤污染风险管控标准》（GB 36600-2018）（试行）中第二类用地筛选值标准</w:t>
      </w:r>
      <w:r>
        <w:rPr>
          <w:rFonts w:hint="eastAsia" w:cs="Times New Roman"/>
          <w:bCs/>
          <w:szCs w:val="24"/>
        </w:rPr>
        <w:t>要求</w:t>
      </w:r>
      <w:r>
        <w:rPr>
          <w:rFonts w:hint="eastAsia" w:cs="Times New Roman"/>
          <w:szCs w:val="24"/>
        </w:rPr>
        <w:t>。选矿厂</w:t>
      </w:r>
      <w:r>
        <w:rPr>
          <w:rFonts w:hint="eastAsia" w:cs="Times New Roman"/>
          <w:bCs/>
          <w:szCs w:val="24"/>
        </w:rPr>
        <w:t>工业场地周边区域土壤均能满足</w:t>
      </w:r>
      <w:r>
        <w:rPr>
          <w:rFonts w:cs="Times New Roman"/>
          <w:bCs/>
          <w:szCs w:val="24"/>
        </w:rPr>
        <w:t>《土壤环境质量</w:t>
      </w:r>
      <w:r>
        <w:rPr>
          <w:rFonts w:hint="eastAsia" w:cs="Times New Roman"/>
          <w:bCs/>
          <w:szCs w:val="24"/>
        </w:rPr>
        <w:t>农用地</w:t>
      </w:r>
      <w:r>
        <w:rPr>
          <w:rFonts w:cs="Times New Roman"/>
          <w:bCs/>
          <w:szCs w:val="24"/>
        </w:rPr>
        <w:t>土壤污染风险管控标准》（GB 15618-2018）（试行）</w:t>
      </w:r>
      <w:r>
        <w:rPr>
          <w:rFonts w:hint="eastAsia" w:cs="Times New Roman"/>
          <w:bCs/>
          <w:szCs w:val="24"/>
        </w:rPr>
        <w:t>中农用地土壤污染风险筛选值标准。</w:t>
      </w:r>
      <w:r>
        <w:rPr>
          <w:rFonts w:hint="eastAsia" w:cs="Times New Roman"/>
          <w:szCs w:val="24"/>
        </w:rPr>
        <w:t>项目区域内土壤环境质量良好。</w:t>
      </w:r>
    </w:p>
    <w:p w14:paraId="3E8F979B">
      <w:pPr>
        <w:ind w:firstLine="480"/>
      </w:pPr>
    </w:p>
    <w:p w14:paraId="5A032482">
      <w:pPr>
        <w:widowControl/>
        <w:spacing w:line="240" w:lineRule="auto"/>
        <w:ind w:firstLine="0" w:firstLineChars="0"/>
        <w:jc w:val="left"/>
      </w:pPr>
      <w:r>
        <w:br w:type="page"/>
      </w:r>
    </w:p>
    <w:p w14:paraId="459C6CD0">
      <w:pPr>
        <w:pStyle w:val="2"/>
        <w:ind w:firstLine="0" w:firstLineChars="0"/>
      </w:pPr>
      <w:bookmarkStart w:id="43" w:name="_Toc85213505"/>
      <w:r>
        <w:t xml:space="preserve">5 </w:t>
      </w:r>
      <w:r>
        <w:rPr>
          <w:rFonts w:hint="eastAsia"/>
        </w:rPr>
        <w:t>环境保护措施有效性评价</w:t>
      </w:r>
      <w:bookmarkEnd w:id="43"/>
    </w:p>
    <w:p w14:paraId="1D073C62">
      <w:pPr>
        <w:pStyle w:val="3"/>
      </w:pPr>
      <w:bookmarkStart w:id="44" w:name="_Toc85213506"/>
      <w:r>
        <w:t>5</w:t>
      </w:r>
      <w:r>
        <w:rPr>
          <w:rFonts w:hint="eastAsia"/>
        </w:rPr>
        <w:t>.1</w:t>
      </w:r>
      <w:r>
        <w:t xml:space="preserve"> </w:t>
      </w:r>
      <w:r>
        <w:rPr>
          <w:rFonts w:hint="eastAsia"/>
        </w:rPr>
        <w:t>生态环境保护措施有效性评价</w:t>
      </w:r>
      <w:bookmarkEnd w:id="44"/>
    </w:p>
    <w:p w14:paraId="39A446C1">
      <w:pPr>
        <w:pStyle w:val="4"/>
      </w:pPr>
      <w:r>
        <w:t>5</w:t>
      </w:r>
      <w:r>
        <w:rPr>
          <w:rFonts w:hint="eastAsia"/>
        </w:rPr>
        <w:t>.1.1</w:t>
      </w:r>
      <w:r>
        <w:t xml:space="preserve"> </w:t>
      </w:r>
      <w:r>
        <w:rPr>
          <w:rFonts w:hint="eastAsia"/>
        </w:rPr>
        <w:t>已采取的生态保护措施</w:t>
      </w:r>
    </w:p>
    <w:p w14:paraId="6849A44E">
      <w:pPr>
        <w:ind w:firstLine="480"/>
        <w:rPr>
          <w:rFonts w:cs="Times New Roman"/>
          <w:bCs/>
          <w:szCs w:val="24"/>
        </w:rPr>
      </w:pPr>
      <w:r>
        <w:rPr>
          <w:rFonts w:cs="Times New Roman"/>
          <w:bCs/>
          <w:szCs w:val="24"/>
        </w:rPr>
        <w:t>（1）尾矿坝复垦</w:t>
      </w:r>
    </w:p>
    <w:p w14:paraId="6C313FD1">
      <w:pPr>
        <w:ind w:firstLine="480"/>
        <w:rPr>
          <w:rFonts w:cs="Times New Roman"/>
          <w:bCs/>
          <w:szCs w:val="24"/>
        </w:rPr>
      </w:pPr>
      <w:r>
        <w:rPr>
          <w:rFonts w:cs="Times New Roman"/>
          <w:bCs/>
          <w:szCs w:val="24"/>
        </w:rPr>
        <w:t>尾矿库永久性边坡平台回复了覆土，覆土厚度超过 50cm。在覆土上撒播了狗尾草等草本植物。待尾矿库服役期满后，及时复垦，恢复植被，并制定复垦计划。</w:t>
      </w:r>
    </w:p>
    <w:p w14:paraId="386A1BF4">
      <w:pPr>
        <w:ind w:firstLine="480"/>
        <w:rPr>
          <w:rFonts w:cs="Times New Roman"/>
          <w:bCs/>
          <w:szCs w:val="24"/>
        </w:rPr>
      </w:pPr>
      <w:r>
        <w:rPr>
          <w:rFonts w:cs="Times New Roman"/>
          <w:bCs/>
          <w:szCs w:val="24"/>
        </w:rPr>
        <w:t>（2）充填作业</w:t>
      </w:r>
    </w:p>
    <w:p w14:paraId="59BF3030">
      <w:pPr>
        <w:ind w:firstLine="480"/>
        <w:rPr>
          <w:rFonts w:cs="Times New Roman"/>
          <w:bCs/>
          <w:szCs w:val="24"/>
        </w:rPr>
      </w:pPr>
      <w:r>
        <w:rPr>
          <w:rFonts w:cs="Times New Roman"/>
          <w:bCs/>
          <w:szCs w:val="24"/>
        </w:rPr>
        <w:t>本项目采用阶段空场嗣后充填采矿法，主要特点是地下采空区形成后，用尾矿砂充填地下采空区，很大程度上避免了地表沉陷造成的生态环境破坏。</w:t>
      </w:r>
    </w:p>
    <w:p w14:paraId="16A88565">
      <w:pPr>
        <w:ind w:firstLine="480"/>
        <w:rPr>
          <w:rFonts w:cs="Times New Roman"/>
          <w:bCs/>
          <w:szCs w:val="24"/>
        </w:rPr>
      </w:pPr>
      <w:r>
        <w:rPr>
          <w:rFonts w:cs="Times New Roman"/>
          <w:bCs/>
          <w:szCs w:val="24"/>
        </w:rPr>
        <w:t>（3）地表变形的动态观测</w:t>
      </w:r>
    </w:p>
    <w:p w14:paraId="5A123301">
      <w:pPr>
        <w:ind w:firstLine="480"/>
        <w:rPr>
          <w:rFonts w:cs="Times New Roman"/>
          <w:bCs/>
          <w:szCs w:val="24"/>
        </w:rPr>
      </w:pPr>
      <w:r>
        <w:rPr>
          <w:rFonts w:cs="Times New Roman"/>
          <w:bCs/>
          <w:szCs w:val="24"/>
        </w:rPr>
        <w:t>建立矿区地表变形观测网，对地表变形进行长期动态观测，及时评估，如发现地表变形影响地表农田耕作、村庄房屋安全，及时采取措施，恢复到正常状态。</w:t>
      </w:r>
    </w:p>
    <w:p w14:paraId="073B99DD">
      <w:pPr>
        <w:ind w:firstLine="480"/>
        <w:rPr>
          <w:rFonts w:cs="Times New Roman"/>
          <w:bCs/>
          <w:szCs w:val="24"/>
        </w:rPr>
      </w:pPr>
      <w:r>
        <w:rPr>
          <w:rFonts w:cs="Times New Roman"/>
          <w:bCs/>
          <w:szCs w:val="24"/>
        </w:rPr>
        <w:t>（4）选矿厂绿化</w:t>
      </w:r>
    </w:p>
    <w:p w14:paraId="148A675D">
      <w:pPr>
        <w:ind w:firstLine="480"/>
        <w:rPr>
          <w:rFonts w:cs="Times New Roman"/>
          <w:bCs/>
          <w:szCs w:val="24"/>
        </w:rPr>
      </w:pPr>
      <w:r>
        <w:rPr>
          <w:rFonts w:cs="Times New Roman"/>
          <w:bCs/>
          <w:szCs w:val="24"/>
        </w:rPr>
        <w:t>厂区种植具有清新空气及绿化美化作用的树、草；工业场地的专用场地、场内道路进行了硬化，办公楼建筑物楼前和厂内道路两侧进行了植树种草绿化。矿区实施整体绿化，选择适于当地生长的乔、灌、草木品种。</w:t>
      </w:r>
    </w:p>
    <w:p w14:paraId="37007FC5">
      <w:pPr>
        <w:pStyle w:val="4"/>
      </w:pPr>
      <w:r>
        <w:t>5</w:t>
      </w:r>
      <w:r>
        <w:rPr>
          <w:rFonts w:hint="eastAsia"/>
        </w:rPr>
        <w:t>.1.</w:t>
      </w:r>
      <w:r>
        <w:t xml:space="preserve">2 </w:t>
      </w:r>
      <w:r>
        <w:rPr>
          <w:rFonts w:hint="eastAsia"/>
        </w:rPr>
        <w:t>措施有效性评价</w:t>
      </w:r>
    </w:p>
    <w:p w14:paraId="7BCAC759">
      <w:pPr>
        <w:ind w:firstLine="480"/>
        <w:rPr>
          <w:rFonts w:cs="Times New Roman"/>
        </w:rPr>
      </w:pPr>
      <w:r>
        <w:rPr>
          <w:rFonts w:cs="Times New Roman"/>
        </w:rPr>
        <w:t>（1）尾矿坝复垦</w:t>
      </w:r>
    </w:p>
    <w:p w14:paraId="2D4EA488">
      <w:pPr>
        <w:ind w:firstLine="480"/>
        <w:rPr>
          <w:rFonts w:cs="Times New Roman"/>
        </w:rPr>
      </w:pPr>
      <w:r>
        <w:rPr>
          <w:rFonts w:cs="Times New Roman"/>
        </w:rPr>
        <w:t>前楼尾矿库是由四个坝体围堵而成，南部坝体采用粘土一次性堆筑成不透水均质土坝，北、西、东三面坝体初期坝采用废石堆筑，坝型为透水堆石坝，高度为 5～ 6m，后期坝采用尾砂上游式分散放矿筑坝，最终达到+50m 标高位置，并在外坡坝面 修建纵横排水沟及种植草皮，保护外坡。初期坝的坝顶标高分别为：西侧初期坝坝顶标高为+35.0m，坝高 6.0m；东侧初期坝坝顶标高为+38.0m，坝高 5.0m；北侧初期坝坝顶标高+35～38.0m，坝高 6.0m。</w:t>
      </w:r>
    </w:p>
    <w:p w14:paraId="3D0AD158">
      <w:pPr>
        <w:ind w:firstLine="480"/>
        <w:rPr>
          <w:rFonts w:cs="Times New Roman"/>
        </w:rPr>
      </w:pPr>
      <w:r>
        <w:rPr>
          <w:rFonts w:cs="Times New Roman"/>
        </w:rPr>
        <w:t>经现场踏勘，前楼尾矿库南部坝体外坡面植被护坡状况良好，下游坡面及坝脚表面无积水，无变形破坏迹象。北、西、东三面坝体绿化充足，坝体表土无严重裸露。</w:t>
      </w:r>
    </w:p>
    <w:p w14:paraId="143D1541">
      <w:pPr>
        <w:ind w:firstLine="480"/>
        <w:rPr>
          <w:rFonts w:cs="Times New Roman"/>
        </w:rPr>
      </w:pPr>
      <w:r>
        <w:rPr>
          <w:rFonts w:cs="Times New Roman"/>
        </w:rPr>
        <w:t>项目采取的尾矿坝复垦措施是可行有效的</w:t>
      </w:r>
      <w:r>
        <w:rPr>
          <w:rFonts w:hint="eastAsia" w:cs="Times New Roman"/>
        </w:rPr>
        <w:t>。</w:t>
      </w:r>
    </w:p>
    <w:tbl>
      <w:tblPr>
        <w:tblStyle w:val="139"/>
        <w:tblW w:w="9834" w:type="dxa"/>
        <w:tblInd w:w="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25"/>
        <w:gridCol w:w="4909"/>
      </w:tblGrid>
      <w:tr w14:paraId="10F37E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750" w:hRule="atLeast"/>
        </w:trPr>
        <w:tc>
          <w:tcPr>
            <w:tcW w:w="4925" w:type="dxa"/>
            <w:tcBorders>
              <w:left w:val="single" w:color="000000" w:sz="8" w:space="0"/>
              <w:right w:val="single" w:color="000000" w:sz="12" w:space="0"/>
            </w:tcBorders>
          </w:tcPr>
          <w:p w14:paraId="1823AC75">
            <w:pPr>
              <w:spacing w:before="59" w:line="3571" w:lineRule="exact"/>
              <w:ind w:firstLine="480"/>
              <w:textAlignment w:val="center"/>
              <w:rPr>
                <w:rFonts w:cs="Arial"/>
                <w:snapToGrid w:val="0"/>
                <w:color w:val="000000"/>
                <w:kern w:val="0"/>
                <w:szCs w:val="21"/>
              </w:rPr>
            </w:pPr>
            <w:r>
              <w:rPr>
                <w:rFonts w:cs="Arial"/>
                <w:snapToGrid w:val="0"/>
                <w:color w:val="000000"/>
                <w:kern w:val="0"/>
                <w:szCs w:val="21"/>
              </w:rPr>
              <w:drawing>
                <wp:inline distT="0" distB="0" distL="0" distR="0">
                  <wp:extent cx="3023235" cy="226758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61"/>
                          <a:stretch>
                            <a:fillRect/>
                          </a:stretch>
                        </pic:blipFill>
                        <pic:spPr>
                          <a:xfrm>
                            <a:off x="0" y="0"/>
                            <a:ext cx="3023615" cy="2267711"/>
                          </a:xfrm>
                          <a:prstGeom prst="rect">
                            <a:avLst/>
                          </a:prstGeom>
                        </pic:spPr>
                      </pic:pic>
                    </a:graphicData>
                  </a:graphic>
                </wp:inline>
              </w:drawing>
            </w:r>
          </w:p>
        </w:tc>
        <w:tc>
          <w:tcPr>
            <w:tcW w:w="4909" w:type="dxa"/>
            <w:tcBorders>
              <w:left w:val="single" w:color="000000" w:sz="12" w:space="0"/>
              <w:right w:val="single" w:color="000000" w:sz="8" w:space="0"/>
            </w:tcBorders>
          </w:tcPr>
          <w:p w14:paraId="2B9BBECD">
            <w:pPr>
              <w:spacing w:before="71" w:line="3528" w:lineRule="exact"/>
              <w:ind w:firstLine="480"/>
              <w:textAlignment w:val="center"/>
              <w:rPr>
                <w:rFonts w:cs="Arial"/>
                <w:snapToGrid w:val="0"/>
                <w:color w:val="000000"/>
                <w:kern w:val="0"/>
                <w:szCs w:val="21"/>
              </w:rPr>
            </w:pPr>
            <w:r>
              <w:rPr>
                <w:rFonts w:cs="Arial"/>
                <w:snapToGrid w:val="0"/>
                <w:color w:val="000000"/>
                <w:kern w:val="0"/>
                <w:szCs w:val="21"/>
              </w:rPr>
              <w:drawing>
                <wp:inline distT="0" distB="0" distL="0" distR="0">
                  <wp:extent cx="2988310" cy="2239645"/>
                  <wp:effectExtent l="0" t="0" r="0" b="0"/>
                  <wp:docPr id="141" name="IM 141"/>
                  <wp:cNvGraphicFramePr/>
                  <a:graphic xmlns:a="http://schemas.openxmlformats.org/drawingml/2006/main">
                    <a:graphicData uri="http://schemas.openxmlformats.org/drawingml/2006/picture">
                      <pic:pic xmlns:pic="http://schemas.openxmlformats.org/drawingml/2006/picture">
                        <pic:nvPicPr>
                          <pic:cNvPr id="141" name="IM 141"/>
                          <pic:cNvPicPr/>
                        </pic:nvPicPr>
                        <pic:blipFill>
                          <a:blip r:embed="rId62"/>
                          <a:stretch>
                            <a:fillRect/>
                          </a:stretch>
                        </pic:blipFill>
                        <pic:spPr>
                          <a:xfrm>
                            <a:off x="0" y="0"/>
                            <a:ext cx="2988564" cy="2240279"/>
                          </a:xfrm>
                          <a:prstGeom prst="rect">
                            <a:avLst/>
                          </a:prstGeom>
                        </pic:spPr>
                      </pic:pic>
                    </a:graphicData>
                  </a:graphic>
                </wp:inline>
              </w:drawing>
            </w:r>
          </w:p>
        </w:tc>
      </w:tr>
      <w:tr w14:paraId="41880E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3" w:hRule="atLeast"/>
        </w:trPr>
        <w:tc>
          <w:tcPr>
            <w:tcW w:w="4925" w:type="dxa"/>
            <w:tcBorders>
              <w:left w:val="single" w:color="000000" w:sz="8" w:space="0"/>
              <w:right w:val="single" w:color="000000" w:sz="12" w:space="0"/>
            </w:tcBorders>
          </w:tcPr>
          <w:p w14:paraId="6838F3FF">
            <w:pPr>
              <w:spacing w:before="175" w:line="3586" w:lineRule="exact"/>
              <w:ind w:firstLine="480"/>
              <w:textAlignment w:val="center"/>
              <w:rPr>
                <w:rFonts w:cs="Arial"/>
                <w:snapToGrid w:val="0"/>
                <w:color w:val="000000"/>
                <w:kern w:val="0"/>
                <w:szCs w:val="21"/>
              </w:rPr>
            </w:pPr>
            <w:r>
              <w:rPr>
                <w:rFonts w:cs="Arial"/>
                <w:snapToGrid w:val="0"/>
                <w:color w:val="000000"/>
                <w:kern w:val="0"/>
                <w:szCs w:val="21"/>
              </w:rPr>
              <w:drawing>
                <wp:inline distT="0" distB="0" distL="0" distR="0">
                  <wp:extent cx="3037205" cy="227647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63"/>
                          <a:stretch>
                            <a:fillRect/>
                          </a:stretch>
                        </pic:blipFill>
                        <pic:spPr>
                          <a:xfrm>
                            <a:off x="0" y="0"/>
                            <a:ext cx="3037332" cy="2276856"/>
                          </a:xfrm>
                          <a:prstGeom prst="rect">
                            <a:avLst/>
                          </a:prstGeom>
                        </pic:spPr>
                      </pic:pic>
                    </a:graphicData>
                  </a:graphic>
                </wp:inline>
              </w:drawing>
            </w:r>
          </w:p>
        </w:tc>
        <w:tc>
          <w:tcPr>
            <w:tcW w:w="4909" w:type="dxa"/>
            <w:tcBorders>
              <w:left w:val="single" w:color="000000" w:sz="12" w:space="0"/>
              <w:right w:val="single" w:color="000000" w:sz="8" w:space="0"/>
            </w:tcBorders>
          </w:tcPr>
          <w:p w14:paraId="6BF56DF4">
            <w:pPr>
              <w:spacing w:before="182" w:line="3583" w:lineRule="exact"/>
              <w:ind w:firstLine="480"/>
              <w:textAlignment w:val="center"/>
              <w:rPr>
                <w:rFonts w:cs="Arial"/>
                <w:snapToGrid w:val="0"/>
                <w:color w:val="000000"/>
                <w:kern w:val="0"/>
                <w:szCs w:val="21"/>
              </w:rPr>
            </w:pPr>
            <w:r>
              <w:rPr>
                <w:rFonts w:cs="Arial"/>
                <w:snapToGrid w:val="0"/>
                <w:color w:val="000000"/>
                <w:kern w:val="0"/>
                <w:szCs w:val="21"/>
              </w:rPr>
              <w:drawing>
                <wp:inline distT="0" distB="0" distL="0" distR="0">
                  <wp:extent cx="3032760" cy="2275205"/>
                  <wp:effectExtent l="0" t="0" r="0" b="0"/>
                  <wp:docPr id="143" name="IM 143"/>
                  <wp:cNvGraphicFramePr/>
                  <a:graphic xmlns:a="http://schemas.openxmlformats.org/drawingml/2006/main">
                    <a:graphicData uri="http://schemas.openxmlformats.org/drawingml/2006/picture">
                      <pic:pic xmlns:pic="http://schemas.openxmlformats.org/drawingml/2006/picture">
                        <pic:nvPicPr>
                          <pic:cNvPr id="143" name="IM 143"/>
                          <pic:cNvPicPr/>
                        </pic:nvPicPr>
                        <pic:blipFill>
                          <a:blip r:embed="rId64"/>
                          <a:stretch>
                            <a:fillRect/>
                          </a:stretch>
                        </pic:blipFill>
                        <pic:spPr>
                          <a:xfrm>
                            <a:off x="0" y="0"/>
                            <a:ext cx="3032760" cy="2275332"/>
                          </a:xfrm>
                          <a:prstGeom prst="rect">
                            <a:avLst/>
                          </a:prstGeom>
                        </pic:spPr>
                      </pic:pic>
                    </a:graphicData>
                  </a:graphic>
                </wp:inline>
              </w:drawing>
            </w:r>
          </w:p>
        </w:tc>
      </w:tr>
    </w:tbl>
    <w:p w14:paraId="700BFBA9">
      <w:pPr>
        <w:spacing w:before="120" w:beforeLines="50" w:line="240" w:lineRule="auto"/>
        <w:ind w:firstLine="0" w:firstLineChars="0"/>
        <w:jc w:val="center"/>
        <w:rPr>
          <w:rFonts w:cs="Times New Roman"/>
          <w:b/>
          <w:bCs/>
          <w:szCs w:val="24"/>
        </w:rPr>
      </w:pPr>
      <w:r>
        <w:rPr>
          <w:rFonts w:cs="Times New Roman"/>
          <w:b/>
          <w:bCs/>
          <w:szCs w:val="24"/>
        </w:rPr>
        <w:t xml:space="preserve">图 </w:t>
      </w:r>
      <w:r>
        <w:rPr>
          <w:rFonts w:hint="eastAsia" w:cs="Times New Roman"/>
          <w:b/>
          <w:bCs/>
          <w:szCs w:val="24"/>
        </w:rPr>
        <w:t>5</w:t>
      </w:r>
      <w:r>
        <w:rPr>
          <w:rFonts w:cs="Times New Roman"/>
          <w:b/>
          <w:bCs/>
          <w:szCs w:val="24"/>
        </w:rPr>
        <w:t>.1-1  尾矿坝现状图</w:t>
      </w:r>
    </w:p>
    <w:p w14:paraId="48D8B26B">
      <w:pPr>
        <w:ind w:firstLine="480"/>
        <w:rPr>
          <w:rFonts w:cs="Times New Roman"/>
        </w:rPr>
      </w:pPr>
      <w:r>
        <w:rPr>
          <w:rFonts w:cs="Times New Roman"/>
        </w:rPr>
        <w:t>（2）充填作业</w:t>
      </w:r>
    </w:p>
    <w:p w14:paraId="3C418CC9">
      <w:pPr>
        <w:ind w:firstLine="480"/>
        <w:rPr>
          <w:rFonts w:cs="Times New Roman"/>
        </w:rPr>
      </w:pPr>
      <w:r>
        <w:rPr>
          <w:rFonts w:cs="Times New Roman"/>
        </w:rPr>
        <w:t>井下充填按照设计生产需要进行，充填接顶率约为 90%，符合生态保护措施要求。进行充填能有效对开采矿区周边地表居民房屋进行防护， 目前矿区周边居民房屋未 发生塌陷现象，项目采取的充填措施是可行有效的。</w:t>
      </w:r>
    </w:p>
    <w:p w14:paraId="39C2D3A9">
      <w:pPr>
        <w:ind w:firstLine="480"/>
        <w:rPr>
          <w:rFonts w:cs="Times New Roman"/>
        </w:rPr>
      </w:pPr>
      <w:r>
        <w:rPr>
          <w:rFonts w:cs="Times New Roman"/>
        </w:rPr>
        <w:t>（3）地表变形的动态观测</w:t>
      </w:r>
    </w:p>
    <w:p w14:paraId="023ECFAB">
      <w:pPr>
        <w:ind w:firstLine="480"/>
        <w:rPr>
          <w:rFonts w:cs="Times New Roman"/>
        </w:rPr>
      </w:pPr>
      <w:r>
        <w:rPr>
          <w:rFonts w:cs="Times New Roman"/>
        </w:rPr>
        <w:t>矿山建立矿区地表变形观测网，对地表变形进行长期动态观测并及时评估，  目前未发现地表变形影响地表农田耕作、村庄房屋安全等，说明通过有效的地下充填和生产管理，项目未发生明显的地表变形，采取有效的长期观测措施是有效的，可以及时了解周边地表变形情况，为可能出现的变形提供数据支撑。</w:t>
      </w:r>
    </w:p>
    <w:p w14:paraId="3D920AEB">
      <w:pPr>
        <w:ind w:firstLine="480"/>
        <w:rPr>
          <w:rFonts w:cs="Times New Roman"/>
        </w:rPr>
      </w:pPr>
      <w:r>
        <w:rPr>
          <w:rFonts w:cs="Times New Roman"/>
        </w:rPr>
        <w:t>综上所述，项目已采取的生态环保保护措施是有效的，但需要进一步完善保护措施，将项目运行对生态环境的影响降至最低。</w:t>
      </w:r>
    </w:p>
    <w:p w14:paraId="2F4E1CDE">
      <w:pPr>
        <w:pStyle w:val="3"/>
      </w:pPr>
      <w:bookmarkStart w:id="45" w:name="_Toc85213507"/>
      <w:r>
        <w:t>5</w:t>
      </w:r>
      <w:r>
        <w:rPr>
          <w:rFonts w:hint="eastAsia"/>
        </w:rPr>
        <w:t>.</w:t>
      </w:r>
      <w:r>
        <w:t xml:space="preserve">2 </w:t>
      </w:r>
      <w:r>
        <w:rPr>
          <w:rFonts w:hint="eastAsia"/>
        </w:rPr>
        <w:t>地下水环境保护措施有效性评价</w:t>
      </w:r>
      <w:bookmarkEnd w:id="45"/>
    </w:p>
    <w:p w14:paraId="62B63EB9">
      <w:pPr>
        <w:pStyle w:val="4"/>
      </w:pPr>
      <w:r>
        <w:t>5</w:t>
      </w:r>
      <w:r>
        <w:rPr>
          <w:rFonts w:hint="eastAsia"/>
        </w:rPr>
        <w:t>.</w:t>
      </w:r>
      <w:r>
        <w:t>2</w:t>
      </w:r>
      <w:r>
        <w:rPr>
          <w:rFonts w:hint="eastAsia"/>
        </w:rPr>
        <w:t>.1</w:t>
      </w:r>
      <w:r>
        <w:t xml:space="preserve"> </w:t>
      </w:r>
      <w:r>
        <w:rPr>
          <w:rFonts w:hint="eastAsia"/>
        </w:rPr>
        <w:t>已采取的地下水保护措施</w:t>
      </w:r>
    </w:p>
    <w:p w14:paraId="11891D0B">
      <w:pPr>
        <w:ind w:firstLine="480"/>
        <w:rPr>
          <w:rFonts w:cs="Times New Roman"/>
        </w:rPr>
      </w:pPr>
      <w:r>
        <w:rPr>
          <w:rFonts w:cs="Times New Roman"/>
        </w:rPr>
        <w:t>根据污染源实测数据综合分析污染防治措施的有效性针对评估结果，提出进一步改进的措施要求。</w:t>
      </w:r>
    </w:p>
    <w:p w14:paraId="542BF4E7">
      <w:pPr>
        <w:ind w:firstLine="480"/>
        <w:rPr>
          <w:rFonts w:cs="Times New Roman"/>
        </w:rPr>
      </w:pPr>
      <w:r>
        <w:rPr>
          <w:rFonts w:cs="Times New Roman"/>
        </w:rPr>
        <w:t>（1）采场地下涌水防治措施</w:t>
      </w:r>
    </w:p>
    <w:p w14:paraId="355F2DD1">
      <w:pPr>
        <w:ind w:firstLine="480"/>
        <w:rPr>
          <w:rFonts w:cs="Times New Roman"/>
        </w:rPr>
      </w:pPr>
      <w:r>
        <w:rPr>
          <w:rFonts w:cs="Times New Roman"/>
        </w:rPr>
        <w:t>1）探水：坚持超前探水，根据探水情况制定排水方案。</w:t>
      </w:r>
    </w:p>
    <w:p w14:paraId="1F6D73FC">
      <w:pPr>
        <w:ind w:firstLine="480"/>
        <w:rPr>
          <w:rFonts w:cs="Times New Roman"/>
        </w:rPr>
      </w:pPr>
      <w:r>
        <w:rPr>
          <w:rFonts w:cs="Times New Roman"/>
        </w:rPr>
        <w:t>2）防排水：对井下车场、排水泵房、变电所、破碎站均安装防水闸门，增设可靠的防排水设备，形成有效的排水系统。</w:t>
      </w:r>
    </w:p>
    <w:p w14:paraId="450741D8">
      <w:pPr>
        <w:ind w:firstLine="480"/>
        <w:rPr>
          <w:rFonts w:cs="Times New Roman"/>
        </w:rPr>
      </w:pPr>
      <w:r>
        <w:rPr>
          <w:rFonts w:cs="Times New Roman"/>
        </w:rPr>
        <w:t>3）堵水：采用工作面预注浆或壁后注浆等措施防水，遇到含水层可采取水泥喷浆进行护壁封堵，局部断层可考虑锚喷和喷浆相结合进行封堵。</w:t>
      </w:r>
    </w:p>
    <w:p w14:paraId="3DCFC602">
      <w:pPr>
        <w:ind w:firstLine="480"/>
        <w:rPr>
          <w:rFonts w:cs="Times New Roman"/>
        </w:rPr>
      </w:pPr>
      <w:r>
        <w:rPr>
          <w:rFonts w:cs="Times New Roman"/>
        </w:rPr>
        <w:t>4）截排水：对废弃钻孔进行排查，严格封堵，对新建井口做好截排水等防护措施，防止雨水、污水流入井内，造成地下水污染。</w:t>
      </w:r>
    </w:p>
    <w:p w14:paraId="66EC1C0E">
      <w:pPr>
        <w:ind w:firstLine="480"/>
        <w:rPr>
          <w:rFonts w:cs="Times New Roman"/>
        </w:rPr>
      </w:pPr>
      <w:r>
        <w:rPr>
          <w:rFonts w:cs="Times New Roman"/>
        </w:rPr>
        <w:t>（2）地下水监控措施</w:t>
      </w:r>
    </w:p>
    <w:p w14:paraId="541262D4">
      <w:pPr>
        <w:ind w:firstLine="480"/>
        <w:rPr>
          <w:rFonts w:cs="Times New Roman"/>
        </w:rPr>
      </w:pPr>
      <w:r>
        <w:rPr>
          <w:rFonts w:cs="Times New Roman"/>
        </w:rPr>
        <w:t>建立矿区地下水长期动态观测网，设置生产区 2 号水源井、尾矿库回水池水井、 冀老庄、孟家前楼、孟家后楼、王大庙、腰庄、薛圩、倪庄等九个监测点位。对地下水进行跟踪监测，随时掌握区域地下水动态和水质变化，将信息及时反馈到市、 县环保主管部门，及时采取相应的有效的保护措施</w:t>
      </w:r>
    </w:p>
    <w:p w14:paraId="6EC3CFBB">
      <w:pPr>
        <w:ind w:firstLine="480"/>
        <w:rPr>
          <w:rFonts w:cs="Times New Roman"/>
        </w:rPr>
      </w:pPr>
      <w:r>
        <w:rPr>
          <w:rFonts w:hint="eastAsia" w:cs="Times New Roman"/>
        </w:rPr>
        <w:t>将信息及时反馈到市、县环保主管部门，及时采取相应的有效的保护措施。</w:t>
      </w:r>
    </w:p>
    <w:p w14:paraId="690526C7">
      <w:pPr>
        <w:pStyle w:val="4"/>
      </w:pPr>
      <w:r>
        <w:t>5</w:t>
      </w:r>
      <w:r>
        <w:rPr>
          <w:rFonts w:hint="eastAsia"/>
        </w:rPr>
        <w:t>.</w:t>
      </w:r>
      <w:r>
        <w:t>2</w:t>
      </w:r>
      <w:r>
        <w:rPr>
          <w:rFonts w:hint="eastAsia"/>
        </w:rPr>
        <w:t>.</w:t>
      </w:r>
      <w:r>
        <w:t xml:space="preserve">2 </w:t>
      </w:r>
      <w:r>
        <w:rPr>
          <w:rFonts w:hint="eastAsia"/>
        </w:rPr>
        <w:t>措施有效性评价</w:t>
      </w:r>
    </w:p>
    <w:p w14:paraId="05AD853A">
      <w:pPr>
        <w:ind w:firstLine="0" w:firstLineChars="0"/>
        <w:rPr>
          <w:rFonts w:cs="Times New Roman"/>
        </w:rPr>
      </w:pPr>
      <w:r>
        <w:rPr>
          <w:rFonts w:cs="Times New Roman"/>
        </w:rPr>
        <w:t>5</w:t>
      </w:r>
      <w:r>
        <w:rPr>
          <w:rFonts w:hint="eastAsia" w:cs="Times New Roman"/>
        </w:rPr>
        <w:t>.</w:t>
      </w:r>
      <w:r>
        <w:rPr>
          <w:rFonts w:cs="Times New Roman"/>
        </w:rPr>
        <w:t>2</w:t>
      </w:r>
      <w:r>
        <w:rPr>
          <w:rFonts w:hint="eastAsia" w:cs="Times New Roman"/>
        </w:rPr>
        <w:t>.</w:t>
      </w:r>
      <w:r>
        <w:rPr>
          <w:rFonts w:cs="Times New Roman"/>
        </w:rPr>
        <w:t xml:space="preserve">2.1 </w:t>
      </w:r>
      <w:r>
        <w:rPr>
          <w:rFonts w:hint="eastAsia" w:cs="Times New Roman"/>
        </w:rPr>
        <w:t>水质变化情况分析</w:t>
      </w:r>
    </w:p>
    <w:p w14:paraId="6CDCA8E1">
      <w:pPr>
        <w:ind w:firstLine="480"/>
        <w:rPr>
          <w:rFonts w:cs="Times New Roman"/>
        </w:rPr>
      </w:pPr>
      <w:r>
        <w:rPr>
          <w:rFonts w:hint="eastAsia" w:cs="Times New Roman"/>
        </w:rPr>
        <w:t>根据《安徽金安矿业有限公司例行监测》报告中监测结果，项目区域选矿厂和尾矿库周边地下水质量能够满足《地下水质量标准》（</w:t>
      </w:r>
      <w:r>
        <w:rPr>
          <w:rFonts w:cs="Times New Roman"/>
        </w:rPr>
        <w:t>GB/T 14848-2017</w:t>
      </w:r>
      <w:r>
        <w:rPr>
          <w:rFonts w:hint="eastAsia" w:cs="Times New Roman"/>
        </w:rPr>
        <w:t>）中的Ⅲ类标准。</w:t>
      </w:r>
    </w:p>
    <w:p w14:paraId="6847C363">
      <w:pPr>
        <w:ind w:firstLine="0" w:firstLineChars="0"/>
        <w:rPr>
          <w:rFonts w:cs="Times New Roman"/>
        </w:rPr>
      </w:pPr>
      <w:r>
        <w:rPr>
          <w:rFonts w:cs="Times New Roman"/>
        </w:rPr>
        <w:t>5</w:t>
      </w:r>
      <w:r>
        <w:rPr>
          <w:rFonts w:hint="eastAsia" w:cs="Times New Roman"/>
        </w:rPr>
        <w:t>.</w:t>
      </w:r>
      <w:r>
        <w:rPr>
          <w:rFonts w:cs="Times New Roman"/>
        </w:rPr>
        <w:t>2</w:t>
      </w:r>
      <w:r>
        <w:rPr>
          <w:rFonts w:hint="eastAsia" w:cs="Times New Roman"/>
        </w:rPr>
        <w:t>.</w:t>
      </w:r>
      <w:r>
        <w:rPr>
          <w:rFonts w:cs="Times New Roman"/>
        </w:rPr>
        <w:t xml:space="preserve">2.2 </w:t>
      </w:r>
      <w:r>
        <w:rPr>
          <w:rFonts w:hint="eastAsia" w:cs="Times New Roman"/>
        </w:rPr>
        <w:t>水位变化情况分析</w:t>
      </w:r>
    </w:p>
    <w:p w14:paraId="241F8C5A">
      <w:pPr>
        <w:ind w:firstLine="480"/>
        <w:rPr>
          <w:rFonts w:cs="Times New Roman"/>
        </w:rPr>
      </w:pPr>
      <w:r>
        <w:rPr>
          <w:rFonts w:hint="eastAsia" w:cs="Times New Roman"/>
        </w:rPr>
        <w:t>与环评阶段相比，选矿区周边地下水监测井点的地下水水位埋深变浅，说明地下开采未造成水位埋深变深，项目地下采矿对周边地下水不产生明显影响。项目开采为深度开采，对区域浅层地下水的影响是不明显的。</w:t>
      </w:r>
    </w:p>
    <w:p w14:paraId="695814EF">
      <w:pPr>
        <w:ind w:firstLine="480"/>
        <w:rPr>
          <w:rFonts w:cs="Times New Roman"/>
        </w:rPr>
      </w:pPr>
      <w:r>
        <w:rPr>
          <w:rFonts w:hint="eastAsia" w:cs="Times New Roman"/>
        </w:rPr>
        <w:t>综上所述，与原环评相比，地下水质变化不大，水位埋深变浅，说明项目采取的地下水保护措施是有效的。</w:t>
      </w:r>
    </w:p>
    <w:p w14:paraId="73281686">
      <w:pPr>
        <w:pStyle w:val="3"/>
      </w:pPr>
      <w:bookmarkStart w:id="46" w:name="_Toc85213508"/>
      <w:r>
        <w:t>5</w:t>
      </w:r>
      <w:r>
        <w:rPr>
          <w:rFonts w:hint="eastAsia"/>
        </w:rPr>
        <w:t>.</w:t>
      </w:r>
      <w:r>
        <w:t xml:space="preserve">3 </w:t>
      </w:r>
      <w:r>
        <w:rPr>
          <w:rFonts w:hint="eastAsia"/>
        </w:rPr>
        <w:t>大气环境污染治理措施有效性评价</w:t>
      </w:r>
      <w:bookmarkEnd w:id="46"/>
    </w:p>
    <w:p w14:paraId="63F4FCA0">
      <w:pPr>
        <w:pStyle w:val="4"/>
      </w:pPr>
      <w:r>
        <w:t>5</w:t>
      </w:r>
      <w:r>
        <w:rPr>
          <w:rFonts w:hint="eastAsia"/>
        </w:rPr>
        <w:t>.</w:t>
      </w:r>
      <w:r>
        <w:t>3</w:t>
      </w:r>
      <w:r>
        <w:rPr>
          <w:rFonts w:hint="eastAsia"/>
        </w:rPr>
        <w:t>.1</w:t>
      </w:r>
      <w:r>
        <w:t xml:space="preserve"> </w:t>
      </w:r>
      <w:r>
        <w:rPr>
          <w:rFonts w:hint="eastAsia"/>
        </w:rPr>
        <w:t>已采取的大气污染防治设施</w:t>
      </w:r>
    </w:p>
    <w:p w14:paraId="488C8055">
      <w:pPr>
        <w:ind w:firstLine="480"/>
        <w:rPr>
          <w:rFonts w:cs="Times New Roman"/>
        </w:rPr>
      </w:pPr>
      <w:r>
        <w:rPr>
          <w:rFonts w:hint="eastAsia" w:cs="Times New Roman"/>
        </w:rPr>
        <w:t>（1）井下粉尘</w:t>
      </w:r>
    </w:p>
    <w:p w14:paraId="5A6FF472">
      <w:pPr>
        <w:ind w:firstLine="480"/>
        <w:rPr>
          <w:rFonts w:cs="Times New Roman"/>
        </w:rPr>
      </w:pPr>
      <w:r>
        <w:rPr>
          <w:rFonts w:cs="Times New Roman"/>
        </w:rPr>
        <w:t>粉尘防治对策主要是采用湿式作业、洒水、除尘局部通风和系统通风等。</w:t>
      </w:r>
    </w:p>
    <w:p w14:paraId="1401980D">
      <w:pPr>
        <w:ind w:firstLine="480"/>
        <w:rPr>
          <w:rFonts w:cs="Times New Roman"/>
        </w:rPr>
      </w:pPr>
      <w:r>
        <w:rPr>
          <w:rFonts w:cs="Times New Roman"/>
        </w:rPr>
        <w:t>（2）选矿厂粉尘</w:t>
      </w:r>
    </w:p>
    <w:p w14:paraId="1C32EE03">
      <w:pPr>
        <w:ind w:firstLine="480"/>
        <w:rPr>
          <w:rFonts w:cs="Times New Roman"/>
        </w:rPr>
      </w:pPr>
      <w:r>
        <w:rPr>
          <w:rFonts w:cs="Times New Roman"/>
        </w:rPr>
        <w:t>选厂中细碎车间、筛分车间、干抛车间等环节产生的粉尘，根据其位置，各自配备除尘设施，均采用低压脉冲布袋除尘器。</w:t>
      </w:r>
    </w:p>
    <w:p w14:paraId="68E1A0E9">
      <w:pPr>
        <w:ind w:firstLine="480"/>
        <w:rPr>
          <w:rFonts w:cs="Times New Roman"/>
        </w:rPr>
      </w:pPr>
      <w:r>
        <w:rPr>
          <w:rFonts w:cs="Times New Roman"/>
        </w:rPr>
        <w:t>（3）尾矿库扬尘</w:t>
      </w:r>
    </w:p>
    <w:p w14:paraId="32E6F0D9">
      <w:pPr>
        <w:ind w:firstLine="480"/>
        <w:rPr>
          <w:rFonts w:cs="Times New Roman"/>
        </w:rPr>
      </w:pPr>
      <w:r>
        <w:rPr>
          <w:rFonts w:cs="Times New Roman"/>
        </w:rPr>
        <w:t>合理调度放矿，采用多管放矿技术，减少干滩面积，控制干滩时间；尾矿库坝体永久性平台边坡进行覆土，播草绿化；尾矿库服务期满对库面及时覆土，及时复垦绿化。</w:t>
      </w:r>
    </w:p>
    <w:p w14:paraId="60B28561">
      <w:pPr>
        <w:ind w:firstLine="480"/>
        <w:rPr>
          <w:rFonts w:cs="Times New Roman"/>
        </w:rPr>
      </w:pPr>
      <w:r>
        <w:rPr>
          <w:rFonts w:cs="Times New Roman"/>
        </w:rPr>
        <w:t>（4）运输道路扬尘</w:t>
      </w:r>
    </w:p>
    <w:p w14:paraId="3BB3BE31">
      <w:pPr>
        <w:ind w:firstLine="480"/>
        <w:rPr>
          <w:rFonts w:cs="Times New Roman"/>
        </w:rPr>
      </w:pPr>
      <w:r>
        <w:rPr>
          <w:rFonts w:cs="Times New Roman"/>
        </w:rPr>
        <w:t>采用道路硬化、洒水抑尘、限制车速、车辆加盖篷布或使用带盖箱体密封车等道路扬尘防治技术。</w:t>
      </w:r>
    </w:p>
    <w:p w14:paraId="7994437A">
      <w:pPr>
        <w:ind w:firstLine="480"/>
        <w:rPr>
          <w:rFonts w:cs="Times New Roman"/>
        </w:rPr>
      </w:pPr>
      <w:r>
        <w:rPr>
          <w:rFonts w:cs="Times New Roman"/>
        </w:rPr>
        <w:t>（5）无组织粉尘</w:t>
      </w:r>
    </w:p>
    <w:p w14:paraId="3793432F">
      <w:pPr>
        <w:ind w:firstLine="480"/>
        <w:rPr>
          <w:rFonts w:cs="Times New Roman"/>
        </w:rPr>
      </w:pPr>
      <w:r>
        <w:rPr>
          <w:rFonts w:cs="Times New Roman"/>
        </w:rPr>
        <w:t>松散物料运输采用密闭车辆运输；松散物料的装卸进行洒水，使物料保持一定的湿度；避免松散物料露天堆放。</w:t>
      </w:r>
    </w:p>
    <w:p w14:paraId="77817907">
      <w:pPr>
        <w:pStyle w:val="4"/>
      </w:pPr>
      <w:r>
        <w:t>5</w:t>
      </w:r>
      <w:r>
        <w:rPr>
          <w:rFonts w:hint="eastAsia"/>
        </w:rPr>
        <w:t>.</w:t>
      </w:r>
      <w:r>
        <w:t>3</w:t>
      </w:r>
      <w:r>
        <w:rPr>
          <w:rFonts w:hint="eastAsia"/>
        </w:rPr>
        <w:t>.</w:t>
      </w:r>
      <w:r>
        <w:t xml:space="preserve">2 </w:t>
      </w:r>
      <w:r>
        <w:rPr>
          <w:rFonts w:hint="eastAsia"/>
        </w:rPr>
        <w:t>措施有效性分析</w:t>
      </w:r>
    </w:p>
    <w:p w14:paraId="781724D1">
      <w:pPr>
        <w:ind w:firstLine="480"/>
        <w:rPr>
          <w:rFonts w:cs="Times New Roman"/>
        </w:rPr>
      </w:pPr>
      <w:r>
        <w:rPr>
          <w:rFonts w:cs="Times New Roman"/>
        </w:rPr>
        <w:t>5</w:t>
      </w:r>
      <w:r>
        <w:rPr>
          <w:rFonts w:hint="eastAsia" w:cs="Times New Roman"/>
        </w:rPr>
        <w:t>.</w:t>
      </w:r>
      <w:r>
        <w:rPr>
          <w:rFonts w:cs="Times New Roman"/>
        </w:rPr>
        <w:t>3</w:t>
      </w:r>
      <w:r>
        <w:rPr>
          <w:rFonts w:hint="eastAsia" w:cs="Times New Roman"/>
        </w:rPr>
        <w:t>.</w:t>
      </w:r>
      <w:r>
        <w:rPr>
          <w:rFonts w:cs="Times New Roman"/>
        </w:rPr>
        <w:t xml:space="preserve">2.1 </w:t>
      </w:r>
      <w:r>
        <w:rPr>
          <w:rFonts w:hint="eastAsia" w:cs="Times New Roman"/>
        </w:rPr>
        <w:t>有组织粉尘防治措施有效性分析</w:t>
      </w:r>
    </w:p>
    <w:p w14:paraId="3664AF6D">
      <w:pPr>
        <w:ind w:firstLine="480"/>
        <w:rPr>
          <w:rFonts w:cs="Times New Roman"/>
        </w:rPr>
      </w:pPr>
      <w:r>
        <w:rPr>
          <w:rFonts w:cs="Times New Roman"/>
        </w:rPr>
        <w:t>根据安徽金安矿业有限公司例行监测报告，项目有组织粉尘污染物排放情况如下表</w:t>
      </w:r>
      <w:r>
        <w:rPr>
          <w:rFonts w:hint="eastAsia" w:cs="Times New Roman"/>
        </w:rPr>
        <w:t>。</w:t>
      </w:r>
    </w:p>
    <w:p w14:paraId="61886429">
      <w:pPr>
        <w:spacing w:before="120" w:beforeLines="50" w:line="240" w:lineRule="auto"/>
        <w:ind w:firstLine="0" w:firstLineChars="0"/>
        <w:jc w:val="center"/>
        <w:rPr>
          <w:rFonts w:cs="Times New Roman"/>
          <w:b/>
          <w:bCs/>
          <w:szCs w:val="24"/>
        </w:rPr>
      </w:pPr>
      <w:r>
        <w:rPr>
          <w:rFonts w:cs="Times New Roman"/>
          <w:b/>
          <w:bCs/>
          <w:szCs w:val="24"/>
        </w:rPr>
        <w:t xml:space="preserve">表 </w:t>
      </w:r>
      <w:r>
        <w:rPr>
          <w:rFonts w:hint="eastAsia" w:cs="Times New Roman"/>
          <w:b/>
          <w:bCs/>
          <w:szCs w:val="24"/>
        </w:rPr>
        <w:t>5</w:t>
      </w:r>
      <w:r>
        <w:rPr>
          <w:rFonts w:cs="Times New Roman"/>
          <w:b/>
          <w:bCs/>
          <w:szCs w:val="24"/>
        </w:rPr>
        <w:t>.3-1  有组织废气监测结果</w:t>
      </w:r>
    </w:p>
    <w:tbl>
      <w:tblPr>
        <w:tblStyle w:val="139"/>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64"/>
        <w:gridCol w:w="1144"/>
        <w:gridCol w:w="1161"/>
        <w:gridCol w:w="1156"/>
        <w:gridCol w:w="1102"/>
        <w:gridCol w:w="1257"/>
        <w:gridCol w:w="1354"/>
      </w:tblGrid>
      <w:tr w14:paraId="6327AF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4" w:hRule="atLeast"/>
          <w:jc w:val="center"/>
        </w:trPr>
        <w:tc>
          <w:tcPr>
            <w:tcW w:w="698" w:type="pct"/>
            <w:tcBorders>
              <w:left w:val="single" w:color="000000" w:sz="10" w:space="0"/>
            </w:tcBorders>
            <w:vAlign w:val="center"/>
          </w:tcPr>
          <w:p w14:paraId="3E446D9C">
            <w:pPr>
              <w:spacing w:line="240" w:lineRule="auto"/>
              <w:ind w:firstLine="0" w:firstLineChars="0"/>
              <w:jc w:val="center"/>
              <w:rPr>
                <w:rFonts w:cstheme="minorBidi"/>
                <w:b/>
                <w:snapToGrid w:val="0"/>
                <w:color w:val="000000"/>
                <w:kern w:val="0"/>
                <w:sz w:val="21"/>
                <w:szCs w:val="21"/>
              </w:rPr>
            </w:pPr>
            <w:r>
              <w:rPr>
                <w:rFonts w:cstheme="minorBidi"/>
                <w:b/>
                <w:snapToGrid w:val="0"/>
                <w:color w:val="000000"/>
                <w:kern w:val="0"/>
                <w:sz w:val="21"/>
                <w:szCs w:val="21"/>
              </w:rPr>
              <w:t>检测点位</w:t>
            </w:r>
          </w:p>
        </w:tc>
        <w:tc>
          <w:tcPr>
            <w:tcW w:w="686" w:type="pct"/>
            <w:vAlign w:val="center"/>
          </w:tcPr>
          <w:p w14:paraId="622DDADA">
            <w:pPr>
              <w:spacing w:line="240" w:lineRule="auto"/>
              <w:ind w:firstLine="0" w:firstLineChars="0"/>
              <w:jc w:val="center"/>
              <w:rPr>
                <w:rFonts w:cstheme="minorBidi"/>
                <w:b/>
                <w:snapToGrid w:val="0"/>
                <w:color w:val="000000"/>
                <w:kern w:val="0"/>
                <w:sz w:val="21"/>
                <w:szCs w:val="21"/>
              </w:rPr>
            </w:pPr>
            <w:r>
              <w:rPr>
                <w:rFonts w:cstheme="minorBidi"/>
                <w:b/>
                <w:snapToGrid w:val="0"/>
                <w:color w:val="000000"/>
                <w:kern w:val="0"/>
                <w:sz w:val="21"/>
                <w:szCs w:val="21"/>
              </w:rPr>
              <w:t>检测因子</w:t>
            </w:r>
          </w:p>
        </w:tc>
        <w:tc>
          <w:tcPr>
            <w:tcW w:w="696" w:type="pct"/>
            <w:vAlign w:val="center"/>
          </w:tcPr>
          <w:p w14:paraId="1431CD97">
            <w:pPr>
              <w:spacing w:line="240" w:lineRule="auto"/>
              <w:ind w:firstLine="0" w:firstLineChars="0"/>
              <w:jc w:val="center"/>
              <w:rPr>
                <w:rFonts w:cstheme="minorBidi"/>
                <w:b/>
                <w:snapToGrid w:val="0"/>
                <w:color w:val="000000"/>
                <w:kern w:val="0"/>
                <w:sz w:val="21"/>
                <w:szCs w:val="21"/>
              </w:rPr>
            </w:pPr>
            <w:r>
              <w:rPr>
                <w:rFonts w:cstheme="minorBidi"/>
                <w:b/>
                <w:snapToGrid w:val="0"/>
                <w:color w:val="000000"/>
                <w:kern w:val="0"/>
                <w:sz w:val="21"/>
                <w:szCs w:val="21"/>
              </w:rPr>
              <w:t>检测时间</w:t>
            </w:r>
          </w:p>
        </w:tc>
        <w:tc>
          <w:tcPr>
            <w:tcW w:w="693" w:type="pct"/>
            <w:vAlign w:val="center"/>
          </w:tcPr>
          <w:p w14:paraId="55A8DF03">
            <w:pPr>
              <w:spacing w:line="240" w:lineRule="auto"/>
              <w:ind w:left="239" w:right="203" w:firstLine="0" w:firstLineChars="0"/>
              <w:jc w:val="center"/>
              <w:rPr>
                <w:rFonts w:cstheme="minorBidi"/>
                <w:b/>
                <w:snapToGrid w:val="0"/>
                <w:color w:val="000000"/>
                <w:kern w:val="0"/>
                <w:sz w:val="21"/>
                <w:szCs w:val="21"/>
              </w:rPr>
            </w:pPr>
            <w:r>
              <w:rPr>
                <w:rFonts w:cstheme="minorBidi"/>
                <w:b/>
                <w:snapToGrid w:val="0"/>
                <w:color w:val="000000"/>
                <w:kern w:val="0"/>
                <w:sz w:val="21"/>
                <w:szCs w:val="21"/>
              </w:rPr>
              <w:t>标干烟气量(m</w:t>
            </w:r>
            <w:r>
              <w:rPr>
                <w:rFonts w:cstheme="minorBidi"/>
                <w:b/>
                <w:snapToGrid w:val="0"/>
                <w:color w:val="000000"/>
                <w:kern w:val="0"/>
                <w:sz w:val="21"/>
                <w:szCs w:val="21"/>
                <w:vertAlign w:val="superscript"/>
              </w:rPr>
              <w:t>3</w:t>
            </w:r>
            <w:r>
              <w:rPr>
                <w:rFonts w:cstheme="minorBidi"/>
                <w:b/>
                <w:snapToGrid w:val="0"/>
                <w:color w:val="000000"/>
                <w:kern w:val="0"/>
                <w:sz w:val="21"/>
                <w:szCs w:val="21"/>
              </w:rPr>
              <w:t>/h)</w:t>
            </w:r>
          </w:p>
        </w:tc>
        <w:tc>
          <w:tcPr>
            <w:tcW w:w="661" w:type="pct"/>
            <w:vAlign w:val="center"/>
          </w:tcPr>
          <w:p w14:paraId="4A806908">
            <w:pPr>
              <w:spacing w:line="240" w:lineRule="auto"/>
              <w:ind w:left="329" w:right="170" w:firstLine="0" w:firstLineChars="0"/>
              <w:jc w:val="center"/>
              <w:rPr>
                <w:rFonts w:cstheme="minorBidi"/>
                <w:b/>
                <w:snapToGrid w:val="0"/>
                <w:color w:val="000000"/>
                <w:kern w:val="0"/>
                <w:sz w:val="21"/>
                <w:szCs w:val="21"/>
              </w:rPr>
            </w:pPr>
            <w:r>
              <w:rPr>
                <w:rFonts w:cstheme="minorBidi"/>
                <w:b/>
                <w:snapToGrid w:val="0"/>
                <w:color w:val="000000"/>
                <w:kern w:val="0"/>
                <w:sz w:val="21"/>
                <w:szCs w:val="21"/>
              </w:rPr>
              <w:t>排放速率 (kg/h)</w:t>
            </w:r>
          </w:p>
        </w:tc>
        <w:tc>
          <w:tcPr>
            <w:tcW w:w="754" w:type="pct"/>
            <w:vAlign w:val="center"/>
          </w:tcPr>
          <w:p w14:paraId="3B4A23CF">
            <w:pPr>
              <w:spacing w:line="240" w:lineRule="auto"/>
              <w:ind w:left="329" w:right="191" w:firstLine="0" w:firstLineChars="0"/>
              <w:jc w:val="center"/>
              <w:rPr>
                <w:rFonts w:cstheme="minorBidi"/>
                <w:b/>
                <w:snapToGrid w:val="0"/>
                <w:color w:val="000000"/>
                <w:kern w:val="0"/>
                <w:sz w:val="21"/>
                <w:szCs w:val="21"/>
              </w:rPr>
            </w:pPr>
            <w:r>
              <w:rPr>
                <w:rFonts w:cstheme="minorBidi"/>
                <w:b/>
                <w:snapToGrid w:val="0"/>
                <w:color w:val="000000"/>
                <w:kern w:val="0"/>
                <w:sz w:val="21"/>
                <w:szCs w:val="21"/>
              </w:rPr>
              <w:t>实测浓度 (mg/m</w:t>
            </w:r>
            <w:r>
              <w:rPr>
                <w:rFonts w:cstheme="minorBidi"/>
                <w:b/>
                <w:snapToGrid w:val="0"/>
                <w:color w:val="000000"/>
                <w:kern w:val="0"/>
                <w:sz w:val="21"/>
                <w:szCs w:val="21"/>
                <w:vertAlign w:val="superscript"/>
              </w:rPr>
              <w:t>3</w:t>
            </w:r>
            <w:r>
              <w:rPr>
                <w:rFonts w:cstheme="minorBidi"/>
                <w:b/>
                <w:snapToGrid w:val="0"/>
                <w:color w:val="000000"/>
                <w:kern w:val="0"/>
                <w:sz w:val="21"/>
                <w:szCs w:val="21"/>
              </w:rPr>
              <w:t>)</w:t>
            </w:r>
          </w:p>
        </w:tc>
        <w:tc>
          <w:tcPr>
            <w:tcW w:w="812" w:type="pct"/>
            <w:tcBorders>
              <w:right w:val="single" w:color="000000" w:sz="10" w:space="0"/>
            </w:tcBorders>
            <w:vAlign w:val="center"/>
          </w:tcPr>
          <w:p w14:paraId="264C961D">
            <w:pPr>
              <w:spacing w:line="240" w:lineRule="auto"/>
              <w:ind w:left="299" w:right="193" w:firstLine="0" w:firstLineChars="0"/>
              <w:jc w:val="center"/>
              <w:rPr>
                <w:rFonts w:cstheme="minorBidi"/>
                <w:b/>
                <w:snapToGrid w:val="0"/>
                <w:color w:val="000000"/>
                <w:kern w:val="0"/>
                <w:sz w:val="21"/>
                <w:szCs w:val="21"/>
              </w:rPr>
            </w:pPr>
            <w:r>
              <w:rPr>
                <w:rFonts w:cstheme="minorBidi"/>
                <w:b/>
                <w:snapToGrid w:val="0"/>
                <w:color w:val="000000"/>
                <w:kern w:val="0"/>
                <w:sz w:val="21"/>
                <w:szCs w:val="21"/>
              </w:rPr>
              <w:t>排放浓度标 准(mg/m</w:t>
            </w:r>
            <w:r>
              <w:rPr>
                <w:rFonts w:cstheme="minorBidi"/>
                <w:b/>
                <w:snapToGrid w:val="0"/>
                <w:color w:val="000000"/>
                <w:kern w:val="0"/>
                <w:sz w:val="21"/>
                <w:szCs w:val="21"/>
                <w:vertAlign w:val="superscript"/>
              </w:rPr>
              <w:t>3</w:t>
            </w:r>
            <w:r>
              <w:rPr>
                <w:rFonts w:cstheme="minorBidi"/>
                <w:b/>
                <w:snapToGrid w:val="0"/>
                <w:color w:val="000000"/>
                <w:kern w:val="0"/>
                <w:sz w:val="21"/>
                <w:szCs w:val="21"/>
              </w:rPr>
              <w:t>)</w:t>
            </w:r>
          </w:p>
        </w:tc>
      </w:tr>
      <w:tr w14:paraId="4DF42C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1" w:hRule="atLeast"/>
          <w:jc w:val="center"/>
        </w:trPr>
        <w:tc>
          <w:tcPr>
            <w:tcW w:w="698" w:type="pct"/>
            <w:tcBorders>
              <w:left w:val="single" w:color="000000" w:sz="10" w:space="0"/>
            </w:tcBorders>
            <w:vAlign w:val="center"/>
          </w:tcPr>
          <w:p w14:paraId="0478269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YQ-1（破碎 车间除尘 器进口）</w:t>
            </w:r>
          </w:p>
        </w:tc>
        <w:tc>
          <w:tcPr>
            <w:tcW w:w="686" w:type="pct"/>
            <w:vMerge w:val="restart"/>
            <w:vAlign w:val="center"/>
          </w:tcPr>
          <w:p w14:paraId="35AFA43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颗粒物</w:t>
            </w:r>
          </w:p>
        </w:tc>
        <w:tc>
          <w:tcPr>
            <w:tcW w:w="696" w:type="pct"/>
            <w:vMerge w:val="restart"/>
            <w:vAlign w:val="center"/>
          </w:tcPr>
          <w:p w14:paraId="047A2C2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202</w:t>
            </w:r>
            <w:r>
              <w:rPr>
                <w:rFonts w:hint="eastAsia" w:cstheme="minorBidi"/>
                <w:snapToGrid w:val="0"/>
                <w:color w:val="000000"/>
                <w:kern w:val="0"/>
                <w:sz w:val="21"/>
                <w:szCs w:val="21"/>
              </w:rPr>
              <w:t>4</w:t>
            </w:r>
            <w:r>
              <w:rPr>
                <w:rFonts w:cstheme="minorBidi"/>
                <w:snapToGrid w:val="0"/>
                <w:color w:val="000000"/>
                <w:kern w:val="0"/>
                <w:sz w:val="21"/>
                <w:szCs w:val="21"/>
              </w:rPr>
              <w:t>.0</w:t>
            </w:r>
            <w:r>
              <w:rPr>
                <w:rFonts w:hint="eastAsia" w:cstheme="minorBidi"/>
                <w:snapToGrid w:val="0"/>
                <w:color w:val="000000"/>
                <w:kern w:val="0"/>
                <w:sz w:val="21"/>
                <w:szCs w:val="21"/>
              </w:rPr>
              <w:t>3</w:t>
            </w:r>
            <w:r>
              <w:rPr>
                <w:rFonts w:cstheme="minorBidi"/>
                <w:snapToGrid w:val="0"/>
                <w:color w:val="000000"/>
                <w:kern w:val="0"/>
                <w:sz w:val="21"/>
                <w:szCs w:val="21"/>
              </w:rPr>
              <w:t>.</w:t>
            </w:r>
            <w:r>
              <w:rPr>
                <w:rFonts w:hint="eastAsia" w:cstheme="minorBidi"/>
                <w:snapToGrid w:val="0"/>
                <w:color w:val="000000"/>
                <w:kern w:val="0"/>
                <w:sz w:val="21"/>
                <w:szCs w:val="21"/>
              </w:rPr>
              <w:t>04</w:t>
            </w:r>
          </w:p>
        </w:tc>
        <w:tc>
          <w:tcPr>
            <w:tcW w:w="693" w:type="pct"/>
            <w:vAlign w:val="center"/>
          </w:tcPr>
          <w:p w14:paraId="14C259B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94019</w:t>
            </w:r>
          </w:p>
        </w:tc>
        <w:tc>
          <w:tcPr>
            <w:tcW w:w="661" w:type="pct"/>
            <w:vAlign w:val="center"/>
          </w:tcPr>
          <w:p w14:paraId="0F4F069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85.7</w:t>
            </w:r>
          </w:p>
        </w:tc>
        <w:tc>
          <w:tcPr>
            <w:tcW w:w="754" w:type="pct"/>
            <w:vAlign w:val="center"/>
          </w:tcPr>
          <w:p w14:paraId="79991B1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912</w:t>
            </w:r>
          </w:p>
        </w:tc>
        <w:tc>
          <w:tcPr>
            <w:tcW w:w="812" w:type="pct"/>
            <w:tcBorders>
              <w:right w:val="single" w:color="000000" w:sz="10" w:space="0"/>
            </w:tcBorders>
            <w:vAlign w:val="center"/>
          </w:tcPr>
          <w:p w14:paraId="076F253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r>
      <w:tr w14:paraId="376C61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1" w:hRule="atLeast"/>
          <w:jc w:val="center"/>
        </w:trPr>
        <w:tc>
          <w:tcPr>
            <w:tcW w:w="698" w:type="pct"/>
            <w:tcBorders>
              <w:left w:val="single" w:color="000000" w:sz="10" w:space="0"/>
            </w:tcBorders>
            <w:vAlign w:val="center"/>
          </w:tcPr>
          <w:p w14:paraId="2B520EE5">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YQ-2（破碎 车间除尘 器出口）</w:t>
            </w:r>
          </w:p>
        </w:tc>
        <w:tc>
          <w:tcPr>
            <w:tcW w:w="686" w:type="pct"/>
            <w:vMerge w:val="continue"/>
            <w:vAlign w:val="center"/>
          </w:tcPr>
          <w:p w14:paraId="06124395">
            <w:pPr>
              <w:spacing w:line="240" w:lineRule="auto"/>
              <w:ind w:firstLine="0" w:firstLineChars="0"/>
              <w:jc w:val="center"/>
              <w:rPr>
                <w:rFonts w:cstheme="minorBidi"/>
                <w:snapToGrid w:val="0"/>
                <w:color w:val="000000"/>
                <w:kern w:val="0"/>
                <w:sz w:val="21"/>
                <w:szCs w:val="21"/>
              </w:rPr>
            </w:pPr>
          </w:p>
        </w:tc>
        <w:tc>
          <w:tcPr>
            <w:tcW w:w="696" w:type="pct"/>
            <w:vMerge w:val="continue"/>
            <w:vAlign w:val="center"/>
          </w:tcPr>
          <w:p w14:paraId="05B75D2F">
            <w:pPr>
              <w:spacing w:line="240" w:lineRule="auto"/>
              <w:ind w:firstLine="0" w:firstLineChars="0"/>
              <w:jc w:val="center"/>
              <w:rPr>
                <w:rFonts w:cstheme="minorBidi"/>
                <w:snapToGrid w:val="0"/>
                <w:color w:val="000000"/>
                <w:kern w:val="0"/>
                <w:sz w:val="21"/>
                <w:szCs w:val="21"/>
              </w:rPr>
            </w:pPr>
          </w:p>
        </w:tc>
        <w:tc>
          <w:tcPr>
            <w:tcW w:w="693" w:type="pct"/>
            <w:vAlign w:val="center"/>
          </w:tcPr>
          <w:p w14:paraId="211167A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85787</w:t>
            </w:r>
          </w:p>
        </w:tc>
        <w:tc>
          <w:tcPr>
            <w:tcW w:w="661" w:type="pct"/>
            <w:vAlign w:val="center"/>
          </w:tcPr>
          <w:p w14:paraId="3D08EC3B">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1.11</w:t>
            </w:r>
          </w:p>
        </w:tc>
        <w:tc>
          <w:tcPr>
            <w:tcW w:w="754" w:type="pct"/>
            <w:vAlign w:val="center"/>
          </w:tcPr>
          <w:p w14:paraId="3F95F27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12.9</w:t>
            </w:r>
          </w:p>
        </w:tc>
        <w:tc>
          <w:tcPr>
            <w:tcW w:w="812" w:type="pct"/>
            <w:tcBorders>
              <w:right w:val="single" w:color="000000" w:sz="10" w:space="0"/>
            </w:tcBorders>
            <w:vAlign w:val="center"/>
          </w:tcPr>
          <w:p w14:paraId="182DFDC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r>
      <w:tr w14:paraId="14B46A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1" w:hRule="atLeast"/>
          <w:jc w:val="center"/>
        </w:trPr>
        <w:tc>
          <w:tcPr>
            <w:tcW w:w="698" w:type="pct"/>
            <w:tcBorders>
              <w:left w:val="single" w:color="000000" w:sz="10" w:space="0"/>
            </w:tcBorders>
            <w:vAlign w:val="center"/>
          </w:tcPr>
          <w:p w14:paraId="53DE9E4B">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YQ-3（筛分 车间除尘 器进口）</w:t>
            </w:r>
          </w:p>
        </w:tc>
        <w:tc>
          <w:tcPr>
            <w:tcW w:w="686" w:type="pct"/>
            <w:vMerge w:val="continue"/>
            <w:vAlign w:val="center"/>
          </w:tcPr>
          <w:p w14:paraId="1E6B87BA">
            <w:pPr>
              <w:spacing w:line="240" w:lineRule="auto"/>
              <w:ind w:firstLine="0" w:firstLineChars="0"/>
              <w:jc w:val="center"/>
              <w:rPr>
                <w:rFonts w:cstheme="minorBidi"/>
                <w:snapToGrid w:val="0"/>
                <w:color w:val="000000"/>
                <w:kern w:val="0"/>
                <w:sz w:val="21"/>
                <w:szCs w:val="21"/>
              </w:rPr>
            </w:pPr>
          </w:p>
        </w:tc>
        <w:tc>
          <w:tcPr>
            <w:tcW w:w="696" w:type="pct"/>
            <w:vMerge w:val="continue"/>
            <w:vAlign w:val="center"/>
          </w:tcPr>
          <w:p w14:paraId="1E42B44D">
            <w:pPr>
              <w:spacing w:line="240" w:lineRule="auto"/>
              <w:ind w:firstLine="0" w:firstLineChars="0"/>
              <w:jc w:val="center"/>
              <w:rPr>
                <w:rFonts w:cstheme="minorBidi"/>
                <w:snapToGrid w:val="0"/>
                <w:color w:val="000000"/>
                <w:kern w:val="0"/>
                <w:sz w:val="21"/>
                <w:szCs w:val="21"/>
              </w:rPr>
            </w:pPr>
          </w:p>
        </w:tc>
        <w:tc>
          <w:tcPr>
            <w:tcW w:w="693" w:type="pct"/>
            <w:vAlign w:val="center"/>
          </w:tcPr>
          <w:p w14:paraId="5D7659D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144495</w:t>
            </w:r>
          </w:p>
        </w:tc>
        <w:tc>
          <w:tcPr>
            <w:tcW w:w="661" w:type="pct"/>
            <w:vAlign w:val="center"/>
          </w:tcPr>
          <w:p w14:paraId="3A6814B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29.8</w:t>
            </w:r>
          </w:p>
        </w:tc>
        <w:tc>
          <w:tcPr>
            <w:tcW w:w="754" w:type="pct"/>
            <w:vAlign w:val="center"/>
          </w:tcPr>
          <w:p w14:paraId="1E1C6D65">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206</w:t>
            </w:r>
          </w:p>
        </w:tc>
        <w:tc>
          <w:tcPr>
            <w:tcW w:w="812" w:type="pct"/>
            <w:tcBorders>
              <w:right w:val="single" w:color="000000" w:sz="10" w:space="0"/>
            </w:tcBorders>
            <w:vAlign w:val="center"/>
          </w:tcPr>
          <w:p w14:paraId="0B960116">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r>
      <w:tr w14:paraId="11EE91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698" w:type="pct"/>
            <w:tcBorders>
              <w:left w:val="single" w:color="000000" w:sz="10" w:space="0"/>
            </w:tcBorders>
            <w:vAlign w:val="center"/>
          </w:tcPr>
          <w:p w14:paraId="686E60B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YQ-4（筛分 车间除尘 器出口）</w:t>
            </w:r>
          </w:p>
        </w:tc>
        <w:tc>
          <w:tcPr>
            <w:tcW w:w="686" w:type="pct"/>
            <w:vMerge w:val="continue"/>
            <w:vAlign w:val="center"/>
          </w:tcPr>
          <w:p w14:paraId="6D805651">
            <w:pPr>
              <w:spacing w:line="240" w:lineRule="auto"/>
              <w:ind w:firstLine="0" w:firstLineChars="0"/>
              <w:jc w:val="center"/>
              <w:rPr>
                <w:rFonts w:cstheme="minorBidi"/>
                <w:snapToGrid w:val="0"/>
                <w:color w:val="000000"/>
                <w:kern w:val="0"/>
                <w:sz w:val="21"/>
                <w:szCs w:val="21"/>
              </w:rPr>
            </w:pPr>
          </w:p>
        </w:tc>
        <w:tc>
          <w:tcPr>
            <w:tcW w:w="696" w:type="pct"/>
            <w:vMerge w:val="continue"/>
            <w:vAlign w:val="center"/>
          </w:tcPr>
          <w:p w14:paraId="6F7C5078">
            <w:pPr>
              <w:spacing w:line="240" w:lineRule="auto"/>
              <w:ind w:firstLine="0" w:firstLineChars="0"/>
              <w:jc w:val="center"/>
              <w:rPr>
                <w:rFonts w:cstheme="minorBidi"/>
                <w:snapToGrid w:val="0"/>
                <w:color w:val="000000"/>
                <w:kern w:val="0"/>
                <w:sz w:val="21"/>
                <w:szCs w:val="21"/>
              </w:rPr>
            </w:pPr>
          </w:p>
        </w:tc>
        <w:tc>
          <w:tcPr>
            <w:tcW w:w="693" w:type="pct"/>
            <w:vAlign w:val="center"/>
          </w:tcPr>
          <w:p w14:paraId="09B9182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127263</w:t>
            </w:r>
          </w:p>
        </w:tc>
        <w:tc>
          <w:tcPr>
            <w:tcW w:w="661" w:type="pct"/>
            <w:vAlign w:val="center"/>
          </w:tcPr>
          <w:p w14:paraId="53C62CEF">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1.18</w:t>
            </w:r>
          </w:p>
        </w:tc>
        <w:tc>
          <w:tcPr>
            <w:tcW w:w="754" w:type="pct"/>
            <w:vAlign w:val="center"/>
          </w:tcPr>
          <w:p w14:paraId="20CDDAC8">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9.3</w:t>
            </w:r>
          </w:p>
        </w:tc>
        <w:tc>
          <w:tcPr>
            <w:tcW w:w="812" w:type="pct"/>
            <w:tcBorders>
              <w:right w:val="single" w:color="000000" w:sz="10" w:space="0"/>
            </w:tcBorders>
            <w:vAlign w:val="center"/>
          </w:tcPr>
          <w:p w14:paraId="33BA6CD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r>
      <w:tr w14:paraId="5259A1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698" w:type="pct"/>
            <w:tcBorders>
              <w:left w:val="single" w:color="000000" w:sz="10" w:space="0"/>
            </w:tcBorders>
            <w:vAlign w:val="center"/>
          </w:tcPr>
          <w:p w14:paraId="1B2314BC">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YQ-1（破碎 车间除尘 器进口）</w:t>
            </w:r>
          </w:p>
        </w:tc>
        <w:tc>
          <w:tcPr>
            <w:tcW w:w="686" w:type="pct"/>
            <w:vMerge w:val="continue"/>
            <w:vAlign w:val="center"/>
          </w:tcPr>
          <w:p w14:paraId="2BDF403F">
            <w:pPr>
              <w:spacing w:line="240" w:lineRule="auto"/>
              <w:ind w:firstLine="0" w:firstLineChars="0"/>
              <w:jc w:val="center"/>
              <w:rPr>
                <w:rFonts w:cstheme="minorBidi"/>
                <w:snapToGrid w:val="0"/>
                <w:color w:val="000000"/>
                <w:kern w:val="0"/>
                <w:sz w:val="21"/>
                <w:szCs w:val="21"/>
              </w:rPr>
            </w:pPr>
          </w:p>
        </w:tc>
        <w:tc>
          <w:tcPr>
            <w:tcW w:w="696" w:type="pct"/>
            <w:vMerge w:val="continue"/>
            <w:vAlign w:val="center"/>
          </w:tcPr>
          <w:p w14:paraId="2EB08376">
            <w:pPr>
              <w:spacing w:line="240" w:lineRule="auto"/>
              <w:ind w:firstLine="0" w:firstLineChars="0"/>
              <w:jc w:val="center"/>
              <w:rPr>
                <w:rFonts w:cstheme="minorBidi"/>
                <w:snapToGrid w:val="0"/>
                <w:color w:val="000000"/>
                <w:kern w:val="0"/>
                <w:sz w:val="21"/>
                <w:szCs w:val="21"/>
              </w:rPr>
            </w:pPr>
          </w:p>
        </w:tc>
        <w:tc>
          <w:tcPr>
            <w:tcW w:w="693" w:type="pct"/>
            <w:vAlign w:val="center"/>
          </w:tcPr>
          <w:p w14:paraId="44AFFFC9">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77188</w:t>
            </w:r>
          </w:p>
        </w:tc>
        <w:tc>
          <w:tcPr>
            <w:tcW w:w="661" w:type="pct"/>
            <w:vAlign w:val="center"/>
          </w:tcPr>
          <w:p w14:paraId="2EF4AB85">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37.7</w:t>
            </w:r>
          </w:p>
        </w:tc>
        <w:tc>
          <w:tcPr>
            <w:tcW w:w="754" w:type="pct"/>
            <w:vAlign w:val="center"/>
          </w:tcPr>
          <w:p w14:paraId="7B64DD90">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489</w:t>
            </w:r>
          </w:p>
        </w:tc>
        <w:tc>
          <w:tcPr>
            <w:tcW w:w="812" w:type="pct"/>
            <w:tcBorders>
              <w:right w:val="single" w:color="000000" w:sz="10" w:space="0"/>
            </w:tcBorders>
            <w:vAlign w:val="center"/>
          </w:tcPr>
          <w:p w14:paraId="6794CBC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r>
      <w:tr w14:paraId="17826C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698" w:type="pct"/>
            <w:tcBorders>
              <w:left w:val="single" w:color="000000" w:sz="10" w:space="0"/>
            </w:tcBorders>
            <w:vAlign w:val="center"/>
          </w:tcPr>
          <w:p w14:paraId="2F3E5D0E">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YQ-2（破碎 车间除尘 器出口）</w:t>
            </w:r>
          </w:p>
        </w:tc>
        <w:tc>
          <w:tcPr>
            <w:tcW w:w="686" w:type="pct"/>
            <w:vMerge w:val="continue"/>
            <w:vAlign w:val="center"/>
          </w:tcPr>
          <w:p w14:paraId="0684A47A">
            <w:pPr>
              <w:spacing w:line="240" w:lineRule="auto"/>
              <w:ind w:firstLine="0" w:firstLineChars="0"/>
              <w:jc w:val="center"/>
              <w:rPr>
                <w:rFonts w:cstheme="minorBidi"/>
                <w:snapToGrid w:val="0"/>
                <w:color w:val="000000"/>
                <w:kern w:val="0"/>
                <w:sz w:val="21"/>
                <w:szCs w:val="21"/>
              </w:rPr>
            </w:pPr>
          </w:p>
        </w:tc>
        <w:tc>
          <w:tcPr>
            <w:tcW w:w="696" w:type="pct"/>
            <w:vMerge w:val="continue"/>
            <w:vAlign w:val="center"/>
          </w:tcPr>
          <w:p w14:paraId="29A68D40">
            <w:pPr>
              <w:spacing w:line="240" w:lineRule="auto"/>
              <w:ind w:firstLine="0" w:firstLineChars="0"/>
              <w:jc w:val="center"/>
              <w:rPr>
                <w:rFonts w:cstheme="minorBidi"/>
                <w:snapToGrid w:val="0"/>
                <w:color w:val="000000"/>
                <w:kern w:val="0"/>
                <w:sz w:val="21"/>
                <w:szCs w:val="21"/>
              </w:rPr>
            </w:pPr>
          </w:p>
        </w:tc>
        <w:tc>
          <w:tcPr>
            <w:tcW w:w="693" w:type="pct"/>
            <w:vAlign w:val="center"/>
          </w:tcPr>
          <w:p w14:paraId="75859B2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87197</w:t>
            </w:r>
          </w:p>
        </w:tc>
        <w:tc>
          <w:tcPr>
            <w:tcW w:w="661" w:type="pct"/>
            <w:vAlign w:val="center"/>
          </w:tcPr>
          <w:p w14:paraId="219EFFC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0.558</w:t>
            </w:r>
          </w:p>
        </w:tc>
        <w:tc>
          <w:tcPr>
            <w:tcW w:w="754" w:type="pct"/>
            <w:vAlign w:val="center"/>
          </w:tcPr>
          <w:p w14:paraId="6BC6C3C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6.4</w:t>
            </w:r>
          </w:p>
        </w:tc>
        <w:tc>
          <w:tcPr>
            <w:tcW w:w="812" w:type="pct"/>
            <w:tcBorders>
              <w:right w:val="single" w:color="000000" w:sz="10" w:space="0"/>
            </w:tcBorders>
            <w:vAlign w:val="center"/>
          </w:tcPr>
          <w:p w14:paraId="43510D92">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r>
      <w:tr w14:paraId="02A1BB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698" w:type="pct"/>
            <w:tcBorders>
              <w:left w:val="single" w:color="000000" w:sz="10" w:space="0"/>
            </w:tcBorders>
            <w:vAlign w:val="center"/>
          </w:tcPr>
          <w:p w14:paraId="29BABD6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YQ-3（筛分 车间除尘 器进口）</w:t>
            </w:r>
          </w:p>
        </w:tc>
        <w:tc>
          <w:tcPr>
            <w:tcW w:w="686" w:type="pct"/>
            <w:vMerge w:val="continue"/>
            <w:vAlign w:val="center"/>
          </w:tcPr>
          <w:p w14:paraId="7C00D149">
            <w:pPr>
              <w:spacing w:line="240" w:lineRule="auto"/>
              <w:ind w:firstLine="0" w:firstLineChars="0"/>
              <w:jc w:val="center"/>
              <w:rPr>
                <w:rFonts w:cstheme="minorBidi"/>
                <w:snapToGrid w:val="0"/>
                <w:color w:val="000000"/>
                <w:kern w:val="0"/>
                <w:sz w:val="21"/>
                <w:szCs w:val="21"/>
              </w:rPr>
            </w:pPr>
          </w:p>
        </w:tc>
        <w:tc>
          <w:tcPr>
            <w:tcW w:w="696" w:type="pct"/>
            <w:vMerge w:val="continue"/>
            <w:vAlign w:val="center"/>
          </w:tcPr>
          <w:p w14:paraId="4669D88D">
            <w:pPr>
              <w:spacing w:line="240" w:lineRule="auto"/>
              <w:ind w:firstLine="0" w:firstLineChars="0"/>
              <w:jc w:val="center"/>
              <w:rPr>
                <w:rFonts w:cstheme="minorBidi"/>
                <w:snapToGrid w:val="0"/>
                <w:color w:val="000000"/>
                <w:kern w:val="0"/>
                <w:sz w:val="21"/>
                <w:szCs w:val="21"/>
              </w:rPr>
            </w:pPr>
          </w:p>
        </w:tc>
        <w:tc>
          <w:tcPr>
            <w:tcW w:w="693" w:type="pct"/>
            <w:vAlign w:val="center"/>
          </w:tcPr>
          <w:p w14:paraId="65A57CF3">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103412</w:t>
            </w:r>
          </w:p>
        </w:tc>
        <w:tc>
          <w:tcPr>
            <w:tcW w:w="661" w:type="pct"/>
            <w:vAlign w:val="center"/>
          </w:tcPr>
          <w:p w14:paraId="18B76D6B">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25.3</w:t>
            </w:r>
          </w:p>
        </w:tc>
        <w:tc>
          <w:tcPr>
            <w:tcW w:w="754" w:type="pct"/>
            <w:vAlign w:val="center"/>
          </w:tcPr>
          <w:p w14:paraId="4FED4E0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245</w:t>
            </w:r>
          </w:p>
        </w:tc>
        <w:tc>
          <w:tcPr>
            <w:tcW w:w="812" w:type="pct"/>
            <w:tcBorders>
              <w:right w:val="single" w:color="000000" w:sz="10" w:space="0"/>
            </w:tcBorders>
            <w:vAlign w:val="center"/>
          </w:tcPr>
          <w:p w14:paraId="5DD655AD">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w:t>
            </w:r>
          </w:p>
        </w:tc>
      </w:tr>
      <w:tr w14:paraId="5160D6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698" w:type="pct"/>
            <w:tcBorders>
              <w:left w:val="single" w:color="000000" w:sz="10" w:space="0"/>
            </w:tcBorders>
            <w:vAlign w:val="center"/>
          </w:tcPr>
          <w:p w14:paraId="78175AE7">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YQ-4（筛分 车间除尘 器出口）</w:t>
            </w:r>
          </w:p>
        </w:tc>
        <w:tc>
          <w:tcPr>
            <w:tcW w:w="686" w:type="pct"/>
            <w:vMerge w:val="continue"/>
            <w:vAlign w:val="center"/>
          </w:tcPr>
          <w:p w14:paraId="330752BE">
            <w:pPr>
              <w:spacing w:line="240" w:lineRule="auto"/>
              <w:ind w:firstLine="0" w:firstLineChars="0"/>
              <w:jc w:val="center"/>
              <w:rPr>
                <w:rFonts w:cstheme="minorBidi"/>
                <w:snapToGrid w:val="0"/>
                <w:color w:val="000000"/>
                <w:kern w:val="0"/>
                <w:sz w:val="21"/>
                <w:szCs w:val="21"/>
              </w:rPr>
            </w:pPr>
          </w:p>
        </w:tc>
        <w:tc>
          <w:tcPr>
            <w:tcW w:w="696" w:type="pct"/>
            <w:vMerge w:val="continue"/>
            <w:vAlign w:val="center"/>
          </w:tcPr>
          <w:p w14:paraId="3AFE228F">
            <w:pPr>
              <w:spacing w:line="240" w:lineRule="auto"/>
              <w:ind w:firstLine="0" w:firstLineChars="0"/>
              <w:jc w:val="center"/>
              <w:rPr>
                <w:rFonts w:cstheme="minorBidi"/>
                <w:snapToGrid w:val="0"/>
                <w:color w:val="000000"/>
                <w:kern w:val="0"/>
                <w:sz w:val="21"/>
                <w:szCs w:val="21"/>
              </w:rPr>
            </w:pPr>
          </w:p>
        </w:tc>
        <w:tc>
          <w:tcPr>
            <w:tcW w:w="693" w:type="pct"/>
            <w:vAlign w:val="center"/>
          </w:tcPr>
          <w:p w14:paraId="42809221">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109973</w:t>
            </w:r>
          </w:p>
        </w:tc>
        <w:tc>
          <w:tcPr>
            <w:tcW w:w="661" w:type="pct"/>
            <w:vAlign w:val="center"/>
          </w:tcPr>
          <w:p w14:paraId="5972CF15">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0.638</w:t>
            </w:r>
          </w:p>
        </w:tc>
        <w:tc>
          <w:tcPr>
            <w:tcW w:w="754" w:type="pct"/>
            <w:vAlign w:val="center"/>
          </w:tcPr>
          <w:p w14:paraId="247F4354">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5.8</w:t>
            </w:r>
          </w:p>
        </w:tc>
        <w:tc>
          <w:tcPr>
            <w:tcW w:w="812" w:type="pct"/>
            <w:tcBorders>
              <w:right w:val="single" w:color="000000" w:sz="10" w:space="0"/>
            </w:tcBorders>
            <w:vAlign w:val="center"/>
          </w:tcPr>
          <w:p w14:paraId="4146BA2B">
            <w:pPr>
              <w:spacing w:line="240" w:lineRule="auto"/>
              <w:ind w:firstLine="0" w:firstLineChars="0"/>
              <w:jc w:val="center"/>
              <w:rPr>
                <w:rFonts w:cstheme="minorBidi"/>
                <w:snapToGrid w:val="0"/>
                <w:color w:val="000000"/>
                <w:kern w:val="0"/>
                <w:sz w:val="21"/>
                <w:szCs w:val="21"/>
              </w:rPr>
            </w:pPr>
            <w:r>
              <w:rPr>
                <w:rFonts w:cstheme="minorBidi"/>
                <w:snapToGrid w:val="0"/>
                <w:color w:val="000000"/>
                <w:kern w:val="0"/>
                <w:sz w:val="21"/>
                <w:szCs w:val="21"/>
              </w:rPr>
              <w:t>10</w:t>
            </w:r>
          </w:p>
        </w:tc>
      </w:tr>
    </w:tbl>
    <w:p w14:paraId="62151556">
      <w:pPr>
        <w:ind w:firstLine="480"/>
        <w:rPr>
          <w:rFonts w:cs="Times New Roman"/>
        </w:rPr>
      </w:pPr>
      <w:r>
        <w:rPr>
          <w:rFonts w:cs="Times New Roman"/>
        </w:rPr>
        <w:t>根据有组织废气监测结果（表6.3-1及6.3-2）可知，项目有组织组织颗粒物排放浓度满足《铁矿采选工业污染物排放标准》  （GB28661-2012）中表6大气污染物特 别排放限值，说明项目采取的有组织粉尘控制措施是有效的。</w:t>
      </w:r>
    </w:p>
    <w:p w14:paraId="6674CD4D">
      <w:pPr>
        <w:ind w:firstLine="0" w:firstLineChars="0"/>
        <w:rPr>
          <w:rFonts w:cs="Times New Roman"/>
        </w:rPr>
      </w:pPr>
      <w:r>
        <w:rPr>
          <w:rFonts w:cs="Times New Roman"/>
        </w:rPr>
        <w:t>5</w:t>
      </w:r>
      <w:r>
        <w:rPr>
          <w:rFonts w:hint="eastAsia" w:cs="Times New Roman"/>
        </w:rPr>
        <w:t>.</w:t>
      </w:r>
      <w:r>
        <w:rPr>
          <w:rFonts w:cs="Times New Roman"/>
        </w:rPr>
        <w:t>3</w:t>
      </w:r>
      <w:r>
        <w:rPr>
          <w:rFonts w:hint="eastAsia" w:cs="Times New Roman"/>
        </w:rPr>
        <w:t>.</w:t>
      </w:r>
      <w:r>
        <w:rPr>
          <w:rFonts w:cs="Times New Roman"/>
        </w:rPr>
        <w:t xml:space="preserve">2.2 </w:t>
      </w:r>
      <w:r>
        <w:rPr>
          <w:rFonts w:hint="eastAsia" w:cs="Times New Roman"/>
        </w:rPr>
        <w:t>无组织粉尘防治措施有效性分析</w:t>
      </w:r>
    </w:p>
    <w:p w14:paraId="1DDCC4FD">
      <w:pPr>
        <w:ind w:firstLine="480"/>
      </w:pPr>
      <w:r>
        <w:rPr>
          <w:rFonts w:hint="eastAsia"/>
        </w:rPr>
        <w:t>本次后评价引用</w:t>
      </w:r>
      <w:r>
        <w:rPr>
          <w:rFonts w:hint="eastAsia" w:cs="Times New Roman"/>
        </w:rPr>
        <w:t>安徽金安矿业有限公司2024年第一季度例行监测报告</w:t>
      </w:r>
      <w:r>
        <w:rPr>
          <w:rFonts w:hint="eastAsia"/>
        </w:rPr>
        <w:t>中检测数据，监测日期为2024年3月4日，本工程选矿工业场地无组织废气产排放情况见下表5.3-2。</w:t>
      </w:r>
    </w:p>
    <w:p w14:paraId="52FFEFA2">
      <w:pPr>
        <w:ind w:firstLine="0" w:firstLineChars="0"/>
        <w:jc w:val="center"/>
        <w:rPr>
          <w:b/>
        </w:rPr>
      </w:pPr>
      <w:r>
        <w:rPr>
          <w:b/>
        </w:rPr>
        <w:t>表5.3</w:t>
      </w:r>
      <w:r>
        <w:rPr>
          <w:rFonts w:hint="eastAsia"/>
          <w:b/>
        </w:rPr>
        <w:t>-2</w:t>
      </w:r>
      <w:r>
        <w:rPr>
          <w:b/>
        </w:rPr>
        <w:t xml:space="preserve">  </w:t>
      </w:r>
      <w:r>
        <w:rPr>
          <w:rFonts w:hint="eastAsia"/>
          <w:b/>
        </w:rPr>
        <w:t>选矿厂厂界</w:t>
      </w:r>
      <w:r>
        <w:rPr>
          <w:b/>
        </w:rPr>
        <w:t>无组织排放源监测结果</w:t>
      </w:r>
      <w:r>
        <w:rPr>
          <w:rFonts w:hint="eastAsia"/>
          <w:b/>
        </w:rPr>
        <w:t xml:space="preserve"> </w:t>
      </w:r>
      <w:r>
        <w:rPr>
          <w:rFonts w:hint="eastAsia"/>
          <w:b/>
          <w:szCs w:val="24"/>
        </w:rPr>
        <w:t>单位：</w:t>
      </w:r>
      <w:r>
        <w:rPr>
          <w:rFonts w:cs="Times New Roman"/>
          <w:b/>
          <w:szCs w:val="24"/>
        </w:rPr>
        <w:t>mg/m</w:t>
      </w:r>
      <w:r>
        <w:rPr>
          <w:rFonts w:cs="Times New Roman"/>
          <w:b/>
          <w:szCs w:val="24"/>
          <w:vertAlign w:val="superscript"/>
        </w:rPr>
        <w:t>3</w:t>
      </w:r>
    </w:p>
    <w:tbl>
      <w:tblPr>
        <w:tblStyle w:val="32"/>
        <w:tblW w:w="52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134"/>
        <w:gridCol w:w="1278"/>
        <w:gridCol w:w="1204"/>
        <w:gridCol w:w="1204"/>
        <w:gridCol w:w="1260"/>
        <w:gridCol w:w="778"/>
        <w:gridCol w:w="800"/>
      </w:tblGrid>
      <w:tr w14:paraId="280F6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244" w:type="dxa"/>
            <w:vMerge w:val="restart"/>
            <w:shd w:val="clear" w:color="auto" w:fill="auto"/>
            <w:vAlign w:val="center"/>
          </w:tcPr>
          <w:p w14:paraId="6AD7D2D0">
            <w:pPr>
              <w:spacing w:line="240" w:lineRule="auto"/>
              <w:ind w:firstLine="0" w:firstLineChars="0"/>
              <w:jc w:val="center"/>
              <w:rPr>
                <w:rFonts w:cs="Times New Roman"/>
                <w:b/>
                <w:bCs/>
                <w:sz w:val="21"/>
                <w:szCs w:val="21"/>
              </w:rPr>
            </w:pPr>
            <w:r>
              <w:rPr>
                <w:rFonts w:hint="eastAsia" w:cs="Times New Roman"/>
                <w:b/>
                <w:bCs/>
                <w:sz w:val="21"/>
                <w:szCs w:val="21"/>
              </w:rPr>
              <w:t>监测日期</w:t>
            </w:r>
          </w:p>
        </w:tc>
        <w:tc>
          <w:tcPr>
            <w:tcW w:w="1134" w:type="dxa"/>
            <w:vMerge w:val="restart"/>
            <w:vAlign w:val="center"/>
          </w:tcPr>
          <w:p w14:paraId="6F74B931">
            <w:pPr>
              <w:spacing w:line="240" w:lineRule="auto"/>
              <w:ind w:firstLine="0" w:firstLineChars="0"/>
              <w:jc w:val="center"/>
              <w:rPr>
                <w:rFonts w:cs="Times New Roman"/>
                <w:b/>
                <w:bCs/>
                <w:sz w:val="21"/>
                <w:szCs w:val="21"/>
              </w:rPr>
            </w:pPr>
            <w:r>
              <w:rPr>
                <w:rFonts w:cs="Times New Roman"/>
                <w:b/>
                <w:bCs/>
                <w:sz w:val="21"/>
                <w:szCs w:val="21"/>
              </w:rPr>
              <w:t>监测因子</w:t>
            </w:r>
          </w:p>
        </w:tc>
        <w:tc>
          <w:tcPr>
            <w:tcW w:w="4951" w:type="dxa"/>
            <w:gridSpan w:val="4"/>
            <w:shd w:val="clear" w:color="auto" w:fill="auto"/>
            <w:vAlign w:val="center"/>
          </w:tcPr>
          <w:p w14:paraId="6BF16DD5">
            <w:pPr>
              <w:spacing w:line="240" w:lineRule="auto"/>
              <w:ind w:firstLine="0" w:firstLineChars="0"/>
              <w:jc w:val="center"/>
              <w:rPr>
                <w:rFonts w:cs="Times New Roman"/>
                <w:b/>
                <w:bCs/>
                <w:sz w:val="21"/>
                <w:szCs w:val="21"/>
              </w:rPr>
            </w:pPr>
            <w:r>
              <w:rPr>
                <w:rFonts w:cs="Times New Roman"/>
                <w:b/>
                <w:bCs/>
                <w:sz w:val="21"/>
                <w:szCs w:val="21"/>
              </w:rPr>
              <w:t>监测</w:t>
            </w:r>
            <w:r>
              <w:rPr>
                <w:rFonts w:hint="eastAsia" w:cs="Times New Roman"/>
                <w:b/>
                <w:bCs/>
                <w:sz w:val="21"/>
                <w:szCs w:val="21"/>
              </w:rPr>
              <w:t>结果</w:t>
            </w:r>
          </w:p>
        </w:tc>
        <w:tc>
          <w:tcPr>
            <w:tcW w:w="775" w:type="dxa"/>
            <w:vMerge w:val="restart"/>
            <w:shd w:val="clear" w:color="auto" w:fill="auto"/>
            <w:vAlign w:val="center"/>
          </w:tcPr>
          <w:p w14:paraId="1DC989E3">
            <w:pPr>
              <w:spacing w:line="240" w:lineRule="auto"/>
              <w:ind w:firstLine="0" w:firstLineChars="0"/>
              <w:jc w:val="center"/>
              <w:rPr>
                <w:rFonts w:cs="Times New Roman"/>
                <w:b/>
                <w:bCs/>
                <w:sz w:val="21"/>
                <w:szCs w:val="21"/>
              </w:rPr>
            </w:pPr>
            <w:r>
              <w:rPr>
                <w:rFonts w:hint="eastAsia" w:cs="Times New Roman"/>
                <w:b/>
                <w:bCs/>
                <w:sz w:val="21"/>
                <w:szCs w:val="21"/>
              </w:rPr>
              <w:t>标准限值</w:t>
            </w:r>
          </w:p>
        </w:tc>
        <w:tc>
          <w:tcPr>
            <w:tcW w:w="798" w:type="dxa"/>
            <w:vMerge w:val="restart"/>
            <w:shd w:val="clear" w:color="auto" w:fill="auto"/>
            <w:vAlign w:val="center"/>
          </w:tcPr>
          <w:p w14:paraId="3AF6D828">
            <w:pPr>
              <w:spacing w:line="240" w:lineRule="auto"/>
              <w:ind w:firstLine="0" w:firstLineChars="0"/>
              <w:jc w:val="center"/>
              <w:rPr>
                <w:rFonts w:cs="Times New Roman"/>
                <w:b/>
                <w:bCs/>
                <w:sz w:val="21"/>
                <w:szCs w:val="21"/>
              </w:rPr>
            </w:pPr>
            <w:r>
              <w:rPr>
                <w:rFonts w:hint="eastAsia" w:cs="Times New Roman"/>
                <w:b/>
                <w:bCs/>
                <w:sz w:val="21"/>
                <w:szCs w:val="21"/>
              </w:rPr>
              <w:t>达标情况</w:t>
            </w:r>
          </w:p>
        </w:tc>
      </w:tr>
      <w:tr w14:paraId="3FB04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1244" w:type="dxa"/>
            <w:vMerge w:val="continue"/>
            <w:shd w:val="clear" w:color="auto" w:fill="auto"/>
            <w:vAlign w:val="center"/>
          </w:tcPr>
          <w:p w14:paraId="71EBCD16">
            <w:pPr>
              <w:spacing w:line="240" w:lineRule="auto"/>
              <w:ind w:firstLine="0" w:firstLineChars="0"/>
              <w:jc w:val="center"/>
              <w:rPr>
                <w:rFonts w:cs="Times New Roman"/>
                <w:b/>
                <w:bCs/>
                <w:sz w:val="21"/>
                <w:szCs w:val="21"/>
              </w:rPr>
            </w:pPr>
          </w:p>
        </w:tc>
        <w:tc>
          <w:tcPr>
            <w:tcW w:w="1134" w:type="dxa"/>
            <w:vMerge w:val="continue"/>
            <w:vAlign w:val="center"/>
          </w:tcPr>
          <w:p w14:paraId="7E27BA07">
            <w:pPr>
              <w:spacing w:line="240" w:lineRule="auto"/>
              <w:ind w:firstLine="0" w:firstLineChars="0"/>
              <w:jc w:val="center"/>
              <w:rPr>
                <w:rFonts w:cs="Times New Roman"/>
                <w:b/>
                <w:bCs/>
                <w:sz w:val="21"/>
                <w:szCs w:val="21"/>
              </w:rPr>
            </w:pPr>
          </w:p>
        </w:tc>
        <w:tc>
          <w:tcPr>
            <w:tcW w:w="1279" w:type="dxa"/>
            <w:shd w:val="clear" w:color="auto" w:fill="auto"/>
            <w:vAlign w:val="center"/>
          </w:tcPr>
          <w:p w14:paraId="2AF6A980">
            <w:pPr>
              <w:spacing w:line="240" w:lineRule="auto"/>
              <w:ind w:firstLine="0" w:firstLineChars="0"/>
              <w:jc w:val="center"/>
              <w:rPr>
                <w:rFonts w:cs="Times New Roman"/>
                <w:b/>
                <w:bCs/>
                <w:sz w:val="21"/>
                <w:szCs w:val="21"/>
              </w:rPr>
            </w:pPr>
            <w:r>
              <w:rPr>
                <w:rFonts w:cs="Times New Roman"/>
                <w:b/>
                <w:bCs/>
                <w:sz w:val="21"/>
                <w:szCs w:val="21"/>
              </w:rPr>
              <w:t>厂界西</w:t>
            </w:r>
            <w:r>
              <w:rPr>
                <w:rFonts w:hint="eastAsia" w:cs="Times New Roman"/>
                <w:b/>
                <w:bCs/>
                <w:sz w:val="21"/>
                <w:szCs w:val="21"/>
              </w:rPr>
              <w:t>北</w:t>
            </w:r>
            <w:r>
              <w:rPr>
                <w:rFonts w:cs="Times New Roman"/>
                <w:b/>
                <w:bCs/>
                <w:sz w:val="21"/>
                <w:szCs w:val="21"/>
              </w:rPr>
              <w:t>（上风向）</w:t>
            </w:r>
          </w:p>
        </w:tc>
        <w:tc>
          <w:tcPr>
            <w:tcW w:w="1205" w:type="dxa"/>
            <w:shd w:val="clear" w:color="auto" w:fill="auto"/>
            <w:vAlign w:val="center"/>
          </w:tcPr>
          <w:p w14:paraId="53D1573C">
            <w:pPr>
              <w:spacing w:line="240" w:lineRule="auto"/>
              <w:ind w:firstLine="0" w:firstLineChars="0"/>
              <w:jc w:val="center"/>
              <w:rPr>
                <w:rFonts w:cs="Times New Roman"/>
                <w:b/>
                <w:bCs/>
                <w:sz w:val="21"/>
                <w:szCs w:val="21"/>
              </w:rPr>
            </w:pPr>
            <w:r>
              <w:rPr>
                <w:rFonts w:cs="Times New Roman"/>
                <w:b/>
                <w:bCs/>
                <w:sz w:val="21"/>
                <w:szCs w:val="21"/>
              </w:rPr>
              <w:t>厂界南</w:t>
            </w:r>
          </w:p>
          <w:p w14:paraId="210C7A6E">
            <w:pPr>
              <w:spacing w:line="240" w:lineRule="auto"/>
              <w:ind w:firstLine="0" w:firstLineChars="0"/>
              <w:jc w:val="center"/>
              <w:rPr>
                <w:rFonts w:cs="Times New Roman"/>
                <w:b/>
                <w:bCs/>
                <w:sz w:val="21"/>
                <w:szCs w:val="21"/>
              </w:rPr>
            </w:pPr>
            <w:r>
              <w:rPr>
                <w:rFonts w:cs="Times New Roman"/>
                <w:b/>
                <w:bCs/>
                <w:sz w:val="21"/>
                <w:szCs w:val="21"/>
              </w:rPr>
              <w:t>（下风向）</w:t>
            </w:r>
          </w:p>
        </w:tc>
        <w:tc>
          <w:tcPr>
            <w:tcW w:w="1205" w:type="dxa"/>
            <w:shd w:val="clear" w:color="auto" w:fill="auto"/>
            <w:vAlign w:val="center"/>
          </w:tcPr>
          <w:p w14:paraId="6C7147B2">
            <w:pPr>
              <w:spacing w:line="240" w:lineRule="auto"/>
              <w:ind w:firstLine="0" w:firstLineChars="0"/>
              <w:jc w:val="center"/>
              <w:rPr>
                <w:rFonts w:cs="Times New Roman"/>
                <w:b/>
                <w:bCs/>
                <w:sz w:val="21"/>
                <w:szCs w:val="21"/>
              </w:rPr>
            </w:pPr>
            <w:r>
              <w:rPr>
                <w:rFonts w:cs="Times New Roman"/>
                <w:b/>
                <w:bCs/>
                <w:sz w:val="21"/>
                <w:szCs w:val="21"/>
              </w:rPr>
              <w:t>厂界北</w:t>
            </w:r>
          </w:p>
          <w:p w14:paraId="7C74EA7B">
            <w:pPr>
              <w:spacing w:line="240" w:lineRule="auto"/>
              <w:ind w:firstLine="0" w:firstLineChars="0"/>
              <w:jc w:val="center"/>
              <w:rPr>
                <w:rFonts w:cs="Times New Roman"/>
                <w:b/>
                <w:bCs/>
                <w:sz w:val="21"/>
                <w:szCs w:val="21"/>
              </w:rPr>
            </w:pPr>
            <w:r>
              <w:rPr>
                <w:rFonts w:cs="Times New Roman"/>
                <w:b/>
                <w:bCs/>
                <w:sz w:val="21"/>
                <w:szCs w:val="21"/>
              </w:rPr>
              <w:t>（下风向）</w:t>
            </w:r>
          </w:p>
        </w:tc>
        <w:tc>
          <w:tcPr>
            <w:tcW w:w="1262" w:type="dxa"/>
            <w:shd w:val="clear" w:color="auto" w:fill="auto"/>
            <w:vAlign w:val="center"/>
          </w:tcPr>
          <w:p w14:paraId="1AAC5AB6">
            <w:pPr>
              <w:spacing w:line="240" w:lineRule="auto"/>
              <w:ind w:firstLine="0" w:firstLineChars="0"/>
              <w:jc w:val="center"/>
              <w:rPr>
                <w:rFonts w:cs="Times New Roman"/>
                <w:b/>
                <w:bCs/>
                <w:sz w:val="21"/>
                <w:szCs w:val="21"/>
              </w:rPr>
            </w:pPr>
            <w:r>
              <w:rPr>
                <w:rFonts w:cs="Times New Roman"/>
                <w:b/>
                <w:bCs/>
                <w:sz w:val="21"/>
                <w:szCs w:val="21"/>
              </w:rPr>
              <w:t>厂界东</w:t>
            </w:r>
            <w:r>
              <w:rPr>
                <w:rFonts w:hint="eastAsia" w:cs="Times New Roman"/>
                <w:b/>
                <w:bCs/>
                <w:sz w:val="21"/>
                <w:szCs w:val="21"/>
              </w:rPr>
              <w:t>北</w:t>
            </w:r>
          </w:p>
          <w:p w14:paraId="3CD7D918">
            <w:pPr>
              <w:spacing w:line="240" w:lineRule="auto"/>
              <w:ind w:firstLine="0" w:firstLineChars="0"/>
              <w:jc w:val="center"/>
              <w:rPr>
                <w:rFonts w:cs="Times New Roman"/>
                <w:b/>
                <w:bCs/>
                <w:sz w:val="21"/>
                <w:szCs w:val="21"/>
              </w:rPr>
            </w:pPr>
            <w:r>
              <w:rPr>
                <w:rFonts w:cs="Times New Roman"/>
                <w:b/>
                <w:bCs/>
                <w:sz w:val="21"/>
                <w:szCs w:val="21"/>
              </w:rPr>
              <w:t>（下风向）</w:t>
            </w:r>
          </w:p>
        </w:tc>
        <w:tc>
          <w:tcPr>
            <w:tcW w:w="775" w:type="dxa"/>
            <w:vMerge w:val="continue"/>
            <w:shd w:val="clear" w:color="auto" w:fill="auto"/>
            <w:vAlign w:val="center"/>
          </w:tcPr>
          <w:p w14:paraId="2B7363AD">
            <w:pPr>
              <w:spacing w:line="240" w:lineRule="auto"/>
              <w:ind w:firstLine="0" w:firstLineChars="0"/>
              <w:jc w:val="center"/>
              <w:rPr>
                <w:rFonts w:cs="Times New Roman"/>
                <w:b/>
                <w:bCs/>
                <w:sz w:val="21"/>
                <w:szCs w:val="21"/>
              </w:rPr>
            </w:pPr>
          </w:p>
        </w:tc>
        <w:tc>
          <w:tcPr>
            <w:tcW w:w="798" w:type="dxa"/>
            <w:vMerge w:val="continue"/>
            <w:shd w:val="clear" w:color="auto" w:fill="auto"/>
            <w:vAlign w:val="center"/>
          </w:tcPr>
          <w:p w14:paraId="0FDDA99E">
            <w:pPr>
              <w:spacing w:line="240" w:lineRule="auto"/>
              <w:ind w:firstLine="0" w:firstLineChars="0"/>
              <w:jc w:val="center"/>
              <w:rPr>
                <w:rFonts w:cs="Times New Roman"/>
                <w:b/>
                <w:bCs/>
                <w:sz w:val="21"/>
                <w:szCs w:val="21"/>
              </w:rPr>
            </w:pPr>
          </w:p>
        </w:tc>
      </w:tr>
      <w:tr w14:paraId="05AE4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4" w:type="dxa"/>
            <w:vMerge w:val="restart"/>
            <w:shd w:val="clear" w:color="auto" w:fill="auto"/>
            <w:vAlign w:val="center"/>
          </w:tcPr>
          <w:p w14:paraId="67DE7452">
            <w:pPr>
              <w:spacing w:line="240" w:lineRule="auto"/>
              <w:ind w:firstLine="0" w:firstLineChars="0"/>
              <w:jc w:val="center"/>
              <w:rPr>
                <w:rFonts w:cs="Times New Roman"/>
                <w:sz w:val="21"/>
                <w:szCs w:val="21"/>
              </w:rPr>
            </w:pPr>
            <w:r>
              <w:rPr>
                <w:rFonts w:hint="eastAsia" w:cs="Times New Roman"/>
                <w:sz w:val="21"/>
                <w:szCs w:val="21"/>
              </w:rPr>
              <w:t>2024.3.4</w:t>
            </w:r>
          </w:p>
        </w:tc>
        <w:tc>
          <w:tcPr>
            <w:tcW w:w="1134" w:type="dxa"/>
            <w:vAlign w:val="center"/>
          </w:tcPr>
          <w:p w14:paraId="0DBBB75F">
            <w:pPr>
              <w:spacing w:line="240" w:lineRule="auto"/>
              <w:ind w:firstLine="0" w:firstLineChars="0"/>
              <w:jc w:val="center"/>
              <w:rPr>
                <w:rFonts w:cs="Times New Roman"/>
                <w:sz w:val="21"/>
                <w:szCs w:val="21"/>
              </w:rPr>
            </w:pPr>
            <w:r>
              <w:rPr>
                <w:rFonts w:cs="Times New Roman"/>
                <w:sz w:val="21"/>
                <w:szCs w:val="21"/>
              </w:rPr>
              <w:t>颗粒物</w:t>
            </w:r>
          </w:p>
        </w:tc>
        <w:tc>
          <w:tcPr>
            <w:tcW w:w="1279" w:type="dxa"/>
            <w:shd w:val="clear" w:color="auto" w:fill="auto"/>
            <w:vAlign w:val="center"/>
          </w:tcPr>
          <w:p w14:paraId="04579E6A">
            <w:pPr>
              <w:spacing w:line="240" w:lineRule="auto"/>
              <w:ind w:firstLine="0" w:firstLineChars="0"/>
              <w:jc w:val="center"/>
              <w:rPr>
                <w:rFonts w:cs="Times New Roman"/>
                <w:sz w:val="21"/>
                <w:szCs w:val="21"/>
              </w:rPr>
            </w:pPr>
            <w:r>
              <w:rPr>
                <w:rFonts w:hint="eastAsia" w:cs="Times New Roman"/>
                <w:sz w:val="21"/>
                <w:szCs w:val="21"/>
              </w:rPr>
              <w:t>0.086</w:t>
            </w:r>
          </w:p>
        </w:tc>
        <w:tc>
          <w:tcPr>
            <w:tcW w:w="1205" w:type="dxa"/>
            <w:shd w:val="clear" w:color="auto" w:fill="auto"/>
            <w:vAlign w:val="center"/>
          </w:tcPr>
          <w:p w14:paraId="3064E9A1">
            <w:pPr>
              <w:spacing w:line="240" w:lineRule="auto"/>
              <w:ind w:firstLine="0" w:firstLineChars="0"/>
              <w:jc w:val="center"/>
              <w:rPr>
                <w:rFonts w:cs="Times New Roman"/>
                <w:sz w:val="21"/>
                <w:szCs w:val="21"/>
              </w:rPr>
            </w:pPr>
            <w:r>
              <w:rPr>
                <w:rFonts w:hint="eastAsia" w:cs="Times New Roman"/>
                <w:sz w:val="21"/>
                <w:szCs w:val="21"/>
              </w:rPr>
              <w:t>0.069</w:t>
            </w:r>
          </w:p>
        </w:tc>
        <w:tc>
          <w:tcPr>
            <w:tcW w:w="1205" w:type="dxa"/>
            <w:shd w:val="clear" w:color="auto" w:fill="auto"/>
            <w:vAlign w:val="center"/>
          </w:tcPr>
          <w:p w14:paraId="2A6383E8">
            <w:pPr>
              <w:spacing w:line="240" w:lineRule="auto"/>
              <w:ind w:firstLine="0" w:firstLineChars="0"/>
              <w:jc w:val="center"/>
              <w:rPr>
                <w:rFonts w:cs="Times New Roman"/>
                <w:sz w:val="21"/>
                <w:szCs w:val="21"/>
              </w:rPr>
            </w:pPr>
            <w:r>
              <w:rPr>
                <w:rFonts w:hint="eastAsia" w:cs="Times New Roman"/>
                <w:sz w:val="21"/>
                <w:szCs w:val="21"/>
              </w:rPr>
              <w:t>0.088</w:t>
            </w:r>
          </w:p>
        </w:tc>
        <w:tc>
          <w:tcPr>
            <w:tcW w:w="1262" w:type="dxa"/>
            <w:shd w:val="clear" w:color="auto" w:fill="auto"/>
            <w:vAlign w:val="center"/>
          </w:tcPr>
          <w:p w14:paraId="46C81A85">
            <w:pPr>
              <w:spacing w:line="240" w:lineRule="auto"/>
              <w:ind w:firstLine="0" w:firstLineChars="0"/>
              <w:jc w:val="center"/>
              <w:rPr>
                <w:rFonts w:cs="Times New Roman"/>
                <w:sz w:val="21"/>
                <w:szCs w:val="21"/>
              </w:rPr>
            </w:pPr>
            <w:r>
              <w:rPr>
                <w:rFonts w:hint="eastAsia" w:cs="Times New Roman"/>
                <w:sz w:val="21"/>
                <w:szCs w:val="21"/>
              </w:rPr>
              <w:t>0.084</w:t>
            </w:r>
          </w:p>
        </w:tc>
        <w:tc>
          <w:tcPr>
            <w:tcW w:w="775" w:type="dxa"/>
            <w:shd w:val="clear" w:color="auto" w:fill="auto"/>
            <w:vAlign w:val="center"/>
          </w:tcPr>
          <w:p w14:paraId="4BA96902">
            <w:pPr>
              <w:spacing w:line="240" w:lineRule="auto"/>
              <w:ind w:firstLine="0" w:firstLineChars="0"/>
              <w:jc w:val="center"/>
              <w:rPr>
                <w:rFonts w:cs="Times New Roman"/>
                <w:sz w:val="21"/>
                <w:szCs w:val="21"/>
              </w:rPr>
            </w:pPr>
            <w:r>
              <w:rPr>
                <w:rFonts w:cs="Times New Roman"/>
                <w:sz w:val="21"/>
                <w:szCs w:val="21"/>
              </w:rPr>
              <w:t>1.0</w:t>
            </w:r>
          </w:p>
        </w:tc>
        <w:tc>
          <w:tcPr>
            <w:tcW w:w="798" w:type="dxa"/>
            <w:shd w:val="clear" w:color="auto" w:fill="auto"/>
            <w:vAlign w:val="center"/>
          </w:tcPr>
          <w:p w14:paraId="6B13BF03">
            <w:pPr>
              <w:spacing w:line="240" w:lineRule="auto"/>
              <w:ind w:firstLine="0" w:firstLineChars="0"/>
              <w:jc w:val="center"/>
              <w:rPr>
                <w:rFonts w:cs="Times New Roman"/>
                <w:sz w:val="21"/>
                <w:szCs w:val="21"/>
              </w:rPr>
            </w:pPr>
            <w:r>
              <w:rPr>
                <w:rFonts w:hint="eastAsia" w:cs="Times New Roman"/>
                <w:sz w:val="21"/>
                <w:szCs w:val="21"/>
              </w:rPr>
              <w:t>达标</w:t>
            </w:r>
          </w:p>
        </w:tc>
      </w:tr>
      <w:tr w14:paraId="6A332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4" w:type="dxa"/>
            <w:vMerge w:val="continue"/>
            <w:shd w:val="clear" w:color="auto" w:fill="auto"/>
            <w:vAlign w:val="center"/>
          </w:tcPr>
          <w:p w14:paraId="617C7E03">
            <w:pPr>
              <w:spacing w:line="240" w:lineRule="auto"/>
              <w:ind w:firstLine="0" w:firstLineChars="0"/>
              <w:jc w:val="center"/>
              <w:rPr>
                <w:rFonts w:cs="Times New Roman"/>
                <w:sz w:val="21"/>
                <w:szCs w:val="21"/>
              </w:rPr>
            </w:pPr>
          </w:p>
        </w:tc>
        <w:tc>
          <w:tcPr>
            <w:tcW w:w="1134" w:type="dxa"/>
            <w:shd w:val="clear" w:color="auto" w:fill="auto"/>
            <w:vAlign w:val="center"/>
          </w:tcPr>
          <w:p w14:paraId="0B88F60A">
            <w:pPr>
              <w:spacing w:line="240" w:lineRule="auto"/>
              <w:ind w:firstLine="0" w:firstLineChars="0"/>
              <w:jc w:val="center"/>
              <w:rPr>
                <w:rFonts w:cs="Times New Roman"/>
                <w:sz w:val="21"/>
                <w:szCs w:val="21"/>
              </w:rPr>
            </w:pPr>
            <w:r>
              <w:rPr>
                <w:rFonts w:cs="Times New Roman"/>
                <w:sz w:val="21"/>
                <w:szCs w:val="21"/>
              </w:rPr>
              <w:t>NOx</w:t>
            </w:r>
          </w:p>
        </w:tc>
        <w:tc>
          <w:tcPr>
            <w:tcW w:w="1279" w:type="dxa"/>
            <w:shd w:val="clear" w:color="auto" w:fill="auto"/>
            <w:vAlign w:val="center"/>
          </w:tcPr>
          <w:p w14:paraId="7FFB1EEA">
            <w:pPr>
              <w:spacing w:line="240" w:lineRule="auto"/>
              <w:ind w:firstLine="0" w:firstLineChars="0"/>
              <w:jc w:val="center"/>
              <w:rPr>
                <w:rFonts w:cs="Times New Roman"/>
                <w:sz w:val="21"/>
                <w:szCs w:val="21"/>
              </w:rPr>
            </w:pPr>
            <w:r>
              <w:rPr>
                <w:rFonts w:hint="eastAsia" w:cs="Times New Roman"/>
                <w:sz w:val="21"/>
                <w:szCs w:val="21"/>
              </w:rPr>
              <w:t>0.050</w:t>
            </w:r>
          </w:p>
        </w:tc>
        <w:tc>
          <w:tcPr>
            <w:tcW w:w="1205" w:type="dxa"/>
            <w:shd w:val="clear" w:color="auto" w:fill="auto"/>
            <w:vAlign w:val="center"/>
          </w:tcPr>
          <w:p w14:paraId="5FDDF170">
            <w:pPr>
              <w:spacing w:line="240" w:lineRule="auto"/>
              <w:ind w:firstLine="0" w:firstLineChars="0"/>
              <w:jc w:val="center"/>
              <w:rPr>
                <w:rFonts w:cs="Times New Roman"/>
                <w:sz w:val="21"/>
                <w:szCs w:val="21"/>
              </w:rPr>
            </w:pPr>
            <w:r>
              <w:rPr>
                <w:rFonts w:hint="eastAsia" w:cs="Times New Roman"/>
                <w:sz w:val="21"/>
                <w:szCs w:val="21"/>
              </w:rPr>
              <w:t>0.037</w:t>
            </w:r>
          </w:p>
        </w:tc>
        <w:tc>
          <w:tcPr>
            <w:tcW w:w="1205" w:type="dxa"/>
            <w:shd w:val="clear" w:color="auto" w:fill="auto"/>
            <w:vAlign w:val="center"/>
          </w:tcPr>
          <w:p w14:paraId="60844E3F">
            <w:pPr>
              <w:spacing w:line="240" w:lineRule="auto"/>
              <w:ind w:firstLine="0" w:firstLineChars="0"/>
              <w:jc w:val="center"/>
              <w:rPr>
                <w:rFonts w:cs="Times New Roman"/>
                <w:sz w:val="21"/>
                <w:szCs w:val="21"/>
              </w:rPr>
            </w:pPr>
            <w:r>
              <w:rPr>
                <w:rFonts w:hint="eastAsia" w:cs="Times New Roman"/>
                <w:sz w:val="21"/>
                <w:szCs w:val="21"/>
              </w:rPr>
              <w:t>0.052</w:t>
            </w:r>
          </w:p>
        </w:tc>
        <w:tc>
          <w:tcPr>
            <w:tcW w:w="1262" w:type="dxa"/>
            <w:shd w:val="clear" w:color="auto" w:fill="auto"/>
            <w:vAlign w:val="center"/>
          </w:tcPr>
          <w:p w14:paraId="4EBAAAB1">
            <w:pPr>
              <w:spacing w:line="240" w:lineRule="auto"/>
              <w:ind w:firstLine="0" w:firstLineChars="0"/>
              <w:jc w:val="center"/>
              <w:rPr>
                <w:rFonts w:cs="Times New Roman"/>
                <w:sz w:val="21"/>
                <w:szCs w:val="21"/>
              </w:rPr>
            </w:pPr>
            <w:r>
              <w:rPr>
                <w:rFonts w:hint="eastAsia" w:cs="Times New Roman"/>
                <w:sz w:val="21"/>
                <w:szCs w:val="21"/>
              </w:rPr>
              <w:t>0.060</w:t>
            </w:r>
          </w:p>
        </w:tc>
        <w:tc>
          <w:tcPr>
            <w:tcW w:w="775" w:type="dxa"/>
            <w:shd w:val="clear" w:color="auto" w:fill="auto"/>
            <w:vAlign w:val="center"/>
          </w:tcPr>
          <w:p w14:paraId="2BB8029C">
            <w:pPr>
              <w:spacing w:line="240" w:lineRule="auto"/>
              <w:ind w:firstLine="0" w:firstLineChars="0"/>
              <w:jc w:val="center"/>
              <w:rPr>
                <w:rFonts w:cs="Times New Roman"/>
                <w:sz w:val="21"/>
                <w:szCs w:val="21"/>
              </w:rPr>
            </w:pPr>
            <w:r>
              <w:rPr>
                <w:rFonts w:hint="eastAsia" w:cs="Times New Roman"/>
                <w:sz w:val="21"/>
                <w:szCs w:val="21"/>
              </w:rPr>
              <w:t>0.12</w:t>
            </w:r>
          </w:p>
        </w:tc>
        <w:tc>
          <w:tcPr>
            <w:tcW w:w="798" w:type="dxa"/>
            <w:shd w:val="clear" w:color="auto" w:fill="auto"/>
            <w:vAlign w:val="center"/>
          </w:tcPr>
          <w:p w14:paraId="46DDDDAE">
            <w:pPr>
              <w:spacing w:line="240" w:lineRule="auto"/>
              <w:ind w:firstLine="0" w:firstLineChars="0"/>
              <w:jc w:val="center"/>
              <w:rPr>
                <w:rFonts w:cs="Times New Roman"/>
                <w:sz w:val="21"/>
                <w:szCs w:val="21"/>
              </w:rPr>
            </w:pPr>
            <w:r>
              <w:rPr>
                <w:rFonts w:hint="eastAsia" w:cs="Times New Roman"/>
                <w:sz w:val="21"/>
                <w:szCs w:val="21"/>
              </w:rPr>
              <w:t>达标</w:t>
            </w:r>
          </w:p>
        </w:tc>
      </w:tr>
    </w:tbl>
    <w:p w14:paraId="29F4E0B6">
      <w:pPr>
        <w:ind w:firstLine="480"/>
      </w:pPr>
      <w:r>
        <w:rPr>
          <w:rFonts w:hint="eastAsia"/>
        </w:rPr>
        <w:t>由以上</w:t>
      </w:r>
      <w:r>
        <w:t>监测结果表明</w:t>
      </w:r>
      <w:r>
        <w:rPr>
          <w:rFonts w:hint="eastAsia"/>
        </w:rPr>
        <w:t>，项目选矿厂厂界上风向、下风向监测点颗粒物</w:t>
      </w:r>
      <w:r>
        <w:t>浓度</w:t>
      </w:r>
      <w:r>
        <w:rPr>
          <w:rFonts w:hint="eastAsia"/>
        </w:rPr>
        <w:t>均可满足《铁矿采选工业污染物排放标准》（</w:t>
      </w:r>
      <w:r>
        <w:t>GB28661-2012</w:t>
      </w:r>
      <w:r>
        <w:rPr>
          <w:rFonts w:hint="eastAsia"/>
        </w:rPr>
        <w:t>）中表</w:t>
      </w:r>
      <w:r>
        <w:t>7</w:t>
      </w:r>
      <w:r>
        <w:rPr>
          <w:rFonts w:hint="eastAsia"/>
        </w:rPr>
        <w:t>大气污染物无组织排放浓度限值要求（</w:t>
      </w:r>
      <w:r>
        <w:t>1.0mg/m</w:t>
      </w:r>
      <w:r>
        <w:rPr>
          <w:vertAlign w:val="superscript"/>
        </w:rPr>
        <w:t>3</w:t>
      </w:r>
      <w:r>
        <w:rPr>
          <w:rFonts w:hint="eastAsia"/>
        </w:rPr>
        <w:t>），</w:t>
      </w:r>
      <w:r>
        <w:rPr>
          <w:rFonts w:hint="eastAsia"/>
          <w:szCs w:val="28"/>
        </w:rPr>
        <w:t>NO</w:t>
      </w:r>
      <w:r>
        <w:rPr>
          <w:rFonts w:hint="eastAsia"/>
          <w:szCs w:val="28"/>
          <w:vertAlign w:val="subscript"/>
        </w:rPr>
        <w:t>x</w:t>
      </w:r>
      <w:r>
        <w:rPr>
          <w:rFonts w:hint="eastAsia"/>
          <w:szCs w:val="28"/>
        </w:rPr>
        <w:t>无组织排放满足《大气污染物综合排放标准》</w:t>
      </w:r>
      <w:r>
        <w:rPr>
          <w:szCs w:val="28"/>
        </w:rPr>
        <w:t>（GB16297-1996）规定的无组织排放监控浓度限值要求</w:t>
      </w:r>
      <w:r>
        <w:rPr>
          <w:rFonts w:hint="eastAsia"/>
          <w:szCs w:val="28"/>
        </w:rPr>
        <w:t>；</w:t>
      </w:r>
      <w:r>
        <w:rPr>
          <w:rFonts w:hint="eastAsia"/>
        </w:rPr>
        <w:t>说明项目采取的无组织粉尘控制措施是有效的。</w:t>
      </w:r>
    </w:p>
    <w:p w14:paraId="0F9170AF">
      <w:pPr>
        <w:pStyle w:val="3"/>
      </w:pPr>
      <w:bookmarkStart w:id="47" w:name="_Toc85213509"/>
      <w:r>
        <w:t>5</w:t>
      </w:r>
      <w:r>
        <w:rPr>
          <w:rFonts w:hint="eastAsia"/>
        </w:rPr>
        <w:t>.</w:t>
      </w:r>
      <w:r>
        <w:t xml:space="preserve">4 </w:t>
      </w:r>
      <w:r>
        <w:rPr>
          <w:rFonts w:hint="eastAsia"/>
        </w:rPr>
        <w:t>地表水环境污染防治措施有效性评价</w:t>
      </w:r>
      <w:bookmarkEnd w:id="47"/>
    </w:p>
    <w:p w14:paraId="599CB241">
      <w:pPr>
        <w:pStyle w:val="4"/>
      </w:pPr>
      <w:r>
        <w:t>5</w:t>
      </w:r>
      <w:r>
        <w:rPr>
          <w:rFonts w:hint="eastAsia"/>
        </w:rPr>
        <w:t>.</w:t>
      </w:r>
      <w:r>
        <w:t>4</w:t>
      </w:r>
      <w:r>
        <w:rPr>
          <w:rFonts w:hint="eastAsia"/>
        </w:rPr>
        <w:t>.1</w:t>
      </w:r>
      <w:r>
        <w:t xml:space="preserve"> </w:t>
      </w:r>
      <w:r>
        <w:rPr>
          <w:rFonts w:hint="eastAsia"/>
        </w:rPr>
        <w:t>已采取的水污染防治设施有效性评价</w:t>
      </w:r>
    </w:p>
    <w:p w14:paraId="62A84FA6">
      <w:pPr>
        <w:ind w:firstLine="480"/>
        <w:rPr>
          <w:kern w:val="0"/>
        </w:rPr>
      </w:pPr>
      <w:r>
        <w:rPr>
          <w:kern w:val="0"/>
        </w:rPr>
        <w:t>（1）井下排水</w:t>
      </w:r>
    </w:p>
    <w:p w14:paraId="6E047682">
      <w:pPr>
        <w:ind w:firstLine="480"/>
        <w:rPr>
          <w:kern w:val="0"/>
        </w:rPr>
      </w:pPr>
      <w:r>
        <w:rPr>
          <w:kern w:val="0"/>
        </w:rPr>
        <w:t>井底车场附近设置了排水设施，井下排水排至地表万吨水池，全部供选矿厂生产用水，不外排。</w:t>
      </w:r>
    </w:p>
    <w:p w14:paraId="3C4345F3">
      <w:pPr>
        <w:ind w:firstLine="480"/>
        <w:rPr>
          <w:kern w:val="0"/>
        </w:rPr>
      </w:pPr>
      <w:r>
        <w:rPr>
          <w:kern w:val="0"/>
        </w:rPr>
        <w:t>（2）选矿系统水</w:t>
      </w:r>
    </w:p>
    <w:p w14:paraId="7BDF4454">
      <w:pPr>
        <w:ind w:firstLine="480"/>
        <w:rPr>
          <w:kern w:val="0"/>
        </w:rPr>
      </w:pPr>
      <w:r>
        <w:rPr>
          <w:kern w:val="0"/>
        </w:rPr>
        <w:t>选矿系统废水均进入选矿厂万吨水池重复利用，不外排。</w:t>
      </w:r>
    </w:p>
    <w:p w14:paraId="3F4D4E8A">
      <w:pPr>
        <w:ind w:firstLine="480"/>
        <w:rPr>
          <w:kern w:val="0"/>
        </w:rPr>
      </w:pPr>
      <w:r>
        <w:rPr>
          <w:kern w:val="0"/>
        </w:rPr>
        <w:t>（3）充填系统排水</w:t>
      </w:r>
    </w:p>
    <w:p w14:paraId="13CAE013">
      <w:pPr>
        <w:ind w:firstLine="480"/>
        <w:rPr>
          <w:kern w:val="0"/>
        </w:rPr>
      </w:pPr>
      <w:r>
        <w:rPr>
          <w:kern w:val="0"/>
        </w:rPr>
        <w:t>北区充填站、南区充填站废水经沉淀池沉淀后进入万吨水池循环利用。</w:t>
      </w:r>
    </w:p>
    <w:p w14:paraId="6902E781">
      <w:pPr>
        <w:ind w:firstLine="480"/>
        <w:rPr>
          <w:kern w:val="0"/>
        </w:rPr>
      </w:pPr>
      <w:r>
        <w:rPr>
          <w:kern w:val="0"/>
        </w:rPr>
        <w:t>（4）工业场地生活污水</w:t>
      </w:r>
    </w:p>
    <w:p w14:paraId="15512172">
      <w:pPr>
        <w:ind w:firstLine="480"/>
        <w:rPr>
          <w:kern w:val="0"/>
        </w:rPr>
      </w:pPr>
      <w:r>
        <w:rPr>
          <w:kern w:val="0"/>
        </w:rPr>
        <w:t>工业场地生活污水进行处理达到《污水综合排放标准》 中一级标准后排往选厂万吨水池复用，南、北辅助提升生活污水井处理达到《污水综合排放标准》 中一级标准后回用于厂区绿化及洒水逸尘使用。</w:t>
      </w:r>
    </w:p>
    <w:p w14:paraId="647CD373">
      <w:pPr>
        <w:ind w:firstLine="480"/>
        <w:rPr>
          <w:kern w:val="0"/>
        </w:rPr>
      </w:pPr>
      <w:r>
        <w:rPr>
          <w:kern w:val="0"/>
        </w:rPr>
        <w:t>（5）尾矿事故跑矿产生的废水</w:t>
      </w:r>
    </w:p>
    <w:p w14:paraId="10D266E4">
      <w:pPr>
        <w:ind w:firstLine="480"/>
        <w:rPr>
          <w:kern w:val="0"/>
        </w:rPr>
      </w:pPr>
      <w:r>
        <w:rPr>
          <w:kern w:val="0"/>
        </w:rPr>
        <w:t>输送尾矿管道磨损破裂跑矿，本工程管道输送包括厂外输送和厂内输送两部分，对环境可能发生影响的主要是厂外输送。为控制事故跑矿，主要采取以下措施：选用耐磨输送矿浆管道；设置有事故池；定期巡检、维修。</w:t>
      </w:r>
    </w:p>
    <w:p w14:paraId="175C1DF0">
      <w:pPr>
        <w:ind w:firstLine="480"/>
        <w:rPr>
          <w:kern w:val="0"/>
        </w:rPr>
      </w:pPr>
      <w:r>
        <w:drawing>
          <wp:inline distT="0" distB="0" distL="0" distR="0">
            <wp:extent cx="4340225" cy="325501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65"/>
                    <a:stretch>
                      <a:fillRect/>
                    </a:stretch>
                  </pic:blipFill>
                  <pic:spPr>
                    <a:xfrm>
                      <a:off x="0" y="0"/>
                      <a:ext cx="4340352" cy="3255263"/>
                    </a:xfrm>
                    <a:prstGeom prst="rect">
                      <a:avLst/>
                    </a:prstGeom>
                  </pic:spPr>
                </pic:pic>
              </a:graphicData>
            </a:graphic>
          </wp:inline>
        </w:drawing>
      </w:r>
    </w:p>
    <w:p w14:paraId="15997D2F">
      <w:pPr>
        <w:ind w:firstLine="0" w:firstLineChars="0"/>
        <w:jc w:val="center"/>
        <w:rPr>
          <w:b/>
        </w:rPr>
      </w:pPr>
      <w:r>
        <w:rPr>
          <w:b/>
        </w:rPr>
        <w:t>图</w:t>
      </w:r>
      <w:r>
        <w:rPr>
          <w:rFonts w:hint="eastAsia"/>
          <w:b/>
        </w:rPr>
        <w:t>5</w:t>
      </w:r>
      <w:r>
        <w:rPr>
          <w:b/>
        </w:rPr>
        <w:t>.4-1  万吨水池</w:t>
      </w:r>
    </w:p>
    <w:p w14:paraId="0F3A6D80">
      <w:pPr>
        <w:keepNext/>
        <w:keepLines/>
        <w:spacing w:before="260" w:after="260" w:line="415" w:lineRule="auto"/>
        <w:ind w:firstLine="0" w:firstLineChars="0"/>
        <w:jc w:val="left"/>
        <w:outlineLvl w:val="2"/>
        <w:rPr>
          <w:b/>
          <w:bCs/>
          <w:sz w:val="28"/>
          <w:szCs w:val="32"/>
        </w:rPr>
      </w:pPr>
      <w:r>
        <w:rPr>
          <w:b/>
          <w:bCs/>
          <w:sz w:val="28"/>
          <w:szCs w:val="32"/>
        </w:rPr>
        <w:t>5</w:t>
      </w:r>
      <w:r>
        <w:rPr>
          <w:rFonts w:hint="eastAsia"/>
          <w:b/>
          <w:bCs/>
          <w:sz w:val="28"/>
          <w:szCs w:val="32"/>
        </w:rPr>
        <w:t>.</w:t>
      </w:r>
      <w:r>
        <w:rPr>
          <w:b/>
          <w:bCs/>
          <w:sz w:val="28"/>
          <w:szCs w:val="32"/>
        </w:rPr>
        <w:t>4</w:t>
      </w:r>
      <w:r>
        <w:rPr>
          <w:rFonts w:hint="eastAsia"/>
          <w:b/>
          <w:bCs/>
          <w:sz w:val="28"/>
          <w:szCs w:val="32"/>
        </w:rPr>
        <w:t>.</w:t>
      </w:r>
      <w:r>
        <w:rPr>
          <w:b/>
          <w:bCs/>
          <w:sz w:val="28"/>
          <w:szCs w:val="32"/>
        </w:rPr>
        <w:t xml:space="preserve">2 </w:t>
      </w:r>
      <w:r>
        <w:rPr>
          <w:rFonts w:hint="eastAsia"/>
          <w:b/>
          <w:bCs/>
          <w:sz w:val="28"/>
          <w:szCs w:val="32"/>
        </w:rPr>
        <w:t>措施有效性分析</w:t>
      </w:r>
    </w:p>
    <w:p w14:paraId="2BCB8AF3">
      <w:pPr>
        <w:ind w:firstLine="480"/>
      </w:pPr>
      <w:r>
        <w:rPr>
          <w:rFonts w:hint="eastAsia"/>
        </w:rPr>
        <w:t>5</w:t>
      </w:r>
      <w:r>
        <w:t>.4.2.1 生活污水处理设施有效性分析</w:t>
      </w:r>
    </w:p>
    <w:p w14:paraId="3A9E4B71">
      <w:pPr>
        <w:ind w:firstLine="480"/>
      </w:pPr>
      <w:r>
        <w:t>工业场地生活污水处理后排往选厂万吨水池复用，南、北辅助提升生活污水井处理后供厂区绿化及洒水逸尘使用，不外排，不会对地表水环境产生影响。</w:t>
      </w:r>
    </w:p>
    <w:p w14:paraId="65C10C9C">
      <w:pPr>
        <w:ind w:firstLine="480"/>
      </w:pPr>
      <w:r>
        <w:rPr>
          <w:rFonts w:hint="eastAsia"/>
        </w:rPr>
        <w:t>5</w:t>
      </w:r>
      <w:r>
        <w:t>.4.2.2 生产废水防治措施有效性分析</w:t>
      </w:r>
    </w:p>
    <w:p w14:paraId="7F934691">
      <w:pPr>
        <w:ind w:firstLine="480"/>
      </w:pPr>
      <w:r>
        <w:t>根据安徽金安矿业有限公司例行监测报告，项目生产废水中污染物排放情况如 下表。监测报告见附件。</w:t>
      </w:r>
    </w:p>
    <w:p w14:paraId="10305021">
      <w:pPr>
        <w:ind w:firstLine="0" w:firstLineChars="0"/>
        <w:jc w:val="center"/>
        <w:rPr>
          <w:b/>
        </w:rPr>
      </w:pPr>
      <w:r>
        <w:rPr>
          <w:b/>
        </w:rPr>
        <w:t>表 6.4-1  生产废水监测结果表</w:t>
      </w:r>
    </w:p>
    <w:tbl>
      <w:tblPr>
        <w:tblStyle w:val="139"/>
        <w:tblW w:w="894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41"/>
        <w:gridCol w:w="2240"/>
        <w:gridCol w:w="1784"/>
        <w:gridCol w:w="1784"/>
        <w:gridCol w:w="1798"/>
      </w:tblGrid>
      <w:tr w14:paraId="4126D5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jc w:val="center"/>
        </w:trPr>
        <w:tc>
          <w:tcPr>
            <w:tcW w:w="1341" w:type="dxa"/>
            <w:vMerge w:val="restart"/>
            <w:tcBorders>
              <w:left w:val="single" w:color="000000" w:sz="10" w:space="0"/>
              <w:bottom w:val="nil"/>
            </w:tcBorders>
            <w:vAlign w:val="center"/>
          </w:tcPr>
          <w:p w14:paraId="53195D37">
            <w:pPr>
              <w:adjustRightInd w:val="0"/>
              <w:snapToGrid w:val="0"/>
              <w:spacing w:line="240" w:lineRule="auto"/>
              <w:ind w:firstLine="0" w:firstLineChars="0"/>
              <w:jc w:val="center"/>
              <w:rPr>
                <w:rFonts w:cs="Times New Roman"/>
                <w:b/>
                <w:snapToGrid w:val="0"/>
                <w:color w:val="000000"/>
                <w:kern w:val="0"/>
                <w:sz w:val="21"/>
                <w:szCs w:val="21"/>
              </w:rPr>
            </w:pPr>
            <w:r>
              <w:rPr>
                <w:rFonts w:cs="Times New Roman"/>
                <w:b/>
                <w:snapToGrid w:val="0"/>
                <w:color w:val="000000"/>
                <w:kern w:val="0"/>
                <w:sz w:val="21"/>
                <w:szCs w:val="21"/>
              </w:rPr>
              <w:t>检测日期</w:t>
            </w:r>
          </w:p>
        </w:tc>
        <w:tc>
          <w:tcPr>
            <w:tcW w:w="2240" w:type="dxa"/>
            <w:vMerge w:val="restart"/>
            <w:tcBorders>
              <w:bottom w:val="nil"/>
            </w:tcBorders>
            <w:vAlign w:val="center"/>
          </w:tcPr>
          <w:p w14:paraId="6EA33C21">
            <w:pPr>
              <w:adjustRightInd w:val="0"/>
              <w:snapToGrid w:val="0"/>
              <w:spacing w:line="240" w:lineRule="auto"/>
              <w:ind w:firstLine="0" w:firstLineChars="0"/>
              <w:jc w:val="center"/>
              <w:rPr>
                <w:rFonts w:cs="Times New Roman"/>
                <w:b/>
                <w:snapToGrid w:val="0"/>
                <w:color w:val="000000"/>
                <w:kern w:val="0"/>
                <w:sz w:val="21"/>
                <w:szCs w:val="21"/>
              </w:rPr>
            </w:pPr>
            <w:r>
              <w:rPr>
                <w:rFonts w:cs="Times New Roman"/>
                <w:b/>
                <w:snapToGrid w:val="0"/>
                <w:color w:val="000000"/>
                <w:kern w:val="0"/>
                <w:sz w:val="21"/>
                <w:szCs w:val="21"/>
              </w:rPr>
              <w:t>检测项目</w:t>
            </w:r>
          </w:p>
        </w:tc>
        <w:tc>
          <w:tcPr>
            <w:tcW w:w="3568" w:type="dxa"/>
            <w:gridSpan w:val="2"/>
            <w:vAlign w:val="center"/>
          </w:tcPr>
          <w:p w14:paraId="0746B880">
            <w:pPr>
              <w:adjustRightInd w:val="0"/>
              <w:snapToGrid w:val="0"/>
              <w:spacing w:line="240" w:lineRule="auto"/>
              <w:ind w:firstLine="0" w:firstLineChars="0"/>
              <w:jc w:val="center"/>
              <w:rPr>
                <w:rFonts w:cs="Times New Roman"/>
                <w:b/>
                <w:snapToGrid w:val="0"/>
                <w:color w:val="000000"/>
                <w:kern w:val="0"/>
                <w:sz w:val="21"/>
                <w:szCs w:val="21"/>
              </w:rPr>
            </w:pPr>
            <w:r>
              <w:rPr>
                <w:rFonts w:cs="Times New Roman"/>
                <w:b/>
                <w:snapToGrid w:val="0"/>
                <w:color w:val="000000"/>
                <w:kern w:val="0"/>
                <w:sz w:val="21"/>
                <w:szCs w:val="21"/>
              </w:rPr>
              <w:t>结果</w:t>
            </w:r>
          </w:p>
        </w:tc>
        <w:tc>
          <w:tcPr>
            <w:tcW w:w="1798" w:type="dxa"/>
            <w:vMerge w:val="restart"/>
            <w:tcBorders>
              <w:bottom w:val="nil"/>
              <w:right w:val="single" w:color="000000" w:sz="10" w:space="0"/>
            </w:tcBorders>
            <w:vAlign w:val="center"/>
          </w:tcPr>
          <w:p w14:paraId="65747E86">
            <w:pPr>
              <w:adjustRightInd w:val="0"/>
              <w:snapToGrid w:val="0"/>
              <w:spacing w:line="240" w:lineRule="auto"/>
              <w:ind w:firstLine="0" w:firstLineChars="0"/>
              <w:jc w:val="center"/>
              <w:rPr>
                <w:rFonts w:cs="Times New Roman"/>
                <w:b/>
                <w:snapToGrid w:val="0"/>
                <w:color w:val="000000"/>
                <w:kern w:val="0"/>
                <w:sz w:val="21"/>
                <w:szCs w:val="21"/>
              </w:rPr>
            </w:pPr>
            <w:r>
              <w:rPr>
                <w:rFonts w:cs="Times New Roman"/>
                <w:b/>
                <w:snapToGrid w:val="0"/>
                <w:color w:val="000000"/>
                <w:kern w:val="0"/>
                <w:sz w:val="21"/>
                <w:szCs w:val="21"/>
              </w:rPr>
              <w:t>单位</w:t>
            </w:r>
          </w:p>
        </w:tc>
      </w:tr>
      <w:tr w14:paraId="69905C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1341" w:type="dxa"/>
            <w:vMerge w:val="continue"/>
            <w:tcBorders>
              <w:top w:val="nil"/>
              <w:left w:val="single" w:color="000000" w:sz="10" w:space="0"/>
            </w:tcBorders>
            <w:vAlign w:val="center"/>
          </w:tcPr>
          <w:p w14:paraId="09C7ABDD">
            <w:pPr>
              <w:ind w:firstLine="480"/>
              <w:rPr>
                <w:rFonts w:cs="Arial"/>
                <w:snapToGrid w:val="0"/>
                <w:color w:val="000000"/>
                <w:kern w:val="0"/>
                <w:szCs w:val="21"/>
              </w:rPr>
            </w:pPr>
          </w:p>
        </w:tc>
        <w:tc>
          <w:tcPr>
            <w:tcW w:w="2240" w:type="dxa"/>
            <w:vMerge w:val="continue"/>
            <w:tcBorders>
              <w:top w:val="nil"/>
            </w:tcBorders>
            <w:vAlign w:val="center"/>
          </w:tcPr>
          <w:p w14:paraId="4C18FED9">
            <w:pPr>
              <w:ind w:firstLine="480"/>
              <w:rPr>
                <w:rFonts w:cs="Arial"/>
                <w:snapToGrid w:val="0"/>
                <w:color w:val="000000"/>
                <w:kern w:val="0"/>
                <w:szCs w:val="21"/>
              </w:rPr>
            </w:pPr>
          </w:p>
        </w:tc>
        <w:tc>
          <w:tcPr>
            <w:tcW w:w="1784" w:type="dxa"/>
            <w:vAlign w:val="center"/>
          </w:tcPr>
          <w:p w14:paraId="75F5A232">
            <w:pPr>
              <w:adjustRightInd w:val="0"/>
              <w:snapToGrid w:val="0"/>
              <w:spacing w:line="240" w:lineRule="auto"/>
              <w:ind w:firstLine="0" w:firstLineChars="0"/>
              <w:jc w:val="center"/>
              <w:rPr>
                <w:rFonts w:cs="Times New Roman"/>
                <w:b/>
                <w:snapToGrid w:val="0"/>
                <w:color w:val="000000"/>
                <w:kern w:val="0"/>
                <w:sz w:val="21"/>
                <w:szCs w:val="21"/>
              </w:rPr>
            </w:pPr>
            <w:r>
              <w:rPr>
                <w:rFonts w:cs="Times New Roman"/>
                <w:b/>
                <w:snapToGrid w:val="0"/>
                <w:color w:val="000000"/>
                <w:kern w:val="0"/>
                <w:sz w:val="21"/>
                <w:szCs w:val="21"/>
              </w:rPr>
              <w:t>FS-1（地下涌水 排口）</w:t>
            </w:r>
          </w:p>
        </w:tc>
        <w:tc>
          <w:tcPr>
            <w:tcW w:w="1784" w:type="dxa"/>
            <w:vAlign w:val="center"/>
          </w:tcPr>
          <w:p w14:paraId="6B5C506C">
            <w:pPr>
              <w:adjustRightInd w:val="0"/>
              <w:snapToGrid w:val="0"/>
              <w:spacing w:line="240" w:lineRule="auto"/>
              <w:ind w:firstLine="0" w:firstLineChars="0"/>
              <w:jc w:val="center"/>
              <w:rPr>
                <w:rFonts w:cs="Times New Roman"/>
                <w:b/>
                <w:snapToGrid w:val="0"/>
                <w:color w:val="000000"/>
                <w:kern w:val="0"/>
                <w:sz w:val="21"/>
                <w:szCs w:val="21"/>
              </w:rPr>
            </w:pPr>
            <w:r>
              <w:rPr>
                <w:rFonts w:cs="Times New Roman"/>
                <w:b/>
                <w:snapToGrid w:val="0"/>
                <w:color w:val="000000"/>
                <w:kern w:val="0"/>
                <w:sz w:val="21"/>
                <w:szCs w:val="21"/>
              </w:rPr>
              <w:t>FS-2（尾矿库</w:t>
            </w:r>
            <w:r>
              <w:rPr>
                <w:rFonts w:hint="eastAsia" w:cs="Times New Roman"/>
                <w:b/>
                <w:snapToGrid w:val="0"/>
                <w:color w:val="000000"/>
                <w:kern w:val="0"/>
                <w:sz w:val="21"/>
                <w:szCs w:val="21"/>
              </w:rPr>
              <w:t>澄清</w:t>
            </w:r>
            <w:r>
              <w:rPr>
                <w:rFonts w:cs="Times New Roman"/>
                <w:b/>
                <w:snapToGrid w:val="0"/>
                <w:color w:val="000000"/>
                <w:kern w:val="0"/>
                <w:sz w:val="21"/>
                <w:szCs w:val="21"/>
              </w:rPr>
              <w:t xml:space="preserve"> 水）</w:t>
            </w:r>
          </w:p>
        </w:tc>
        <w:tc>
          <w:tcPr>
            <w:tcW w:w="1798" w:type="dxa"/>
            <w:vMerge w:val="continue"/>
            <w:tcBorders>
              <w:top w:val="nil"/>
              <w:right w:val="single" w:color="000000" w:sz="10" w:space="0"/>
            </w:tcBorders>
            <w:vAlign w:val="center"/>
          </w:tcPr>
          <w:p w14:paraId="4F862D9A">
            <w:pPr>
              <w:ind w:firstLine="480"/>
              <w:rPr>
                <w:rFonts w:cs="Arial"/>
                <w:snapToGrid w:val="0"/>
                <w:color w:val="000000"/>
                <w:kern w:val="0"/>
                <w:szCs w:val="21"/>
              </w:rPr>
            </w:pPr>
          </w:p>
        </w:tc>
      </w:tr>
      <w:tr w14:paraId="2808EE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jc w:val="center"/>
        </w:trPr>
        <w:tc>
          <w:tcPr>
            <w:tcW w:w="1341" w:type="dxa"/>
            <w:vMerge w:val="restart"/>
            <w:tcBorders>
              <w:left w:val="single" w:color="000000" w:sz="10" w:space="0"/>
            </w:tcBorders>
            <w:vAlign w:val="center"/>
          </w:tcPr>
          <w:p w14:paraId="622E79B4">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202</w:t>
            </w:r>
            <w:r>
              <w:rPr>
                <w:rFonts w:hint="eastAsia" w:cs="Times New Roman"/>
                <w:bCs/>
                <w:snapToGrid w:val="0"/>
                <w:color w:val="000000"/>
                <w:kern w:val="0"/>
                <w:sz w:val="21"/>
                <w:szCs w:val="21"/>
              </w:rPr>
              <w:t>4</w:t>
            </w:r>
            <w:r>
              <w:rPr>
                <w:rFonts w:cs="Times New Roman"/>
                <w:bCs/>
                <w:snapToGrid w:val="0"/>
                <w:color w:val="000000"/>
                <w:kern w:val="0"/>
                <w:sz w:val="21"/>
                <w:szCs w:val="21"/>
              </w:rPr>
              <w:t>.</w:t>
            </w:r>
            <w:r>
              <w:rPr>
                <w:rFonts w:hint="eastAsia" w:cs="Times New Roman"/>
                <w:bCs/>
                <w:snapToGrid w:val="0"/>
                <w:color w:val="000000"/>
                <w:kern w:val="0"/>
                <w:sz w:val="21"/>
                <w:szCs w:val="21"/>
              </w:rPr>
              <w:t>3</w:t>
            </w:r>
            <w:r>
              <w:rPr>
                <w:rFonts w:cs="Times New Roman"/>
                <w:bCs/>
                <w:snapToGrid w:val="0"/>
                <w:color w:val="000000"/>
                <w:kern w:val="0"/>
                <w:sz w:val="21"/>
                <w:szCs w:val="21"/>
              </w:rPr>
              <w:t>.</w:t>
            </w:r>
            <w:r>
              <w:rPr>
                <w:rFonts w:hint="eastAsia" w:cs="Times New Roman"/>
                <w:bCs/>
                <w:snapToGrid w:val="0"/>
                <w:color w:val="000000"/>
                <w:kern w:val="0"/>
                <w:sz w:val="21"/>
                <w:szCs w:val="21"/>
              </w:rPr>
              <w:t>4</w:t>
            </w:r>
          </w:p>
        </w:tc>
        <w:tc>
          <w:tcPr>
            <w:tcW w:w="2240" w:type="dxa"/>
            <w:vAlign w:val="center"/>
          </w:tcPr>
          <w:p w14:paraId="2BFFD26C">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pH</w:t>
            </w:r>
          </w:p>
        </w:tc>
        <w:tc>
          <w:tcPr>
            <w:tcW w:w="1784" w:type="dxa"/>
            <w:vAlign w:val="center"/>
          </w:tcPr>
          <w:p w14:paraId="10383F85">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7.04</w:t>
            </w:r>
          </w:p>
        </w:tc>
        <w:tc>
          <w:tcPr>
            <w:tcW w:w="1784" w:type="dxa"/>
            <w:vAlign w:val="center"/>
          </w:tcPr>
          <w:p w14:paraId="58E99354">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7.56</w:t>
            </w:r>
          </w:p>
        </w:tc>
        <w:tc>
          <w:tcPr>
            <w:tcW w:w="1798" w:type="dxa"/>
            <w:tcBorders>
              <w:right w:val="single" w:color="000000" w:sz="10" w:space="0"/>
            </w:tcBorders>
            <w:vAlign w:val="center"/>
          </w:tcPr>
          <w:p w14:paraId="13C5D855">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无量纲</w:t>
            </w:r>
          </w:p>
        </w:tc>
      </w:tr>
      <w:tr w14:paraId="1A3805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79A132E6">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382A9B04">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化学需氧量</w:t>
            </w:r>
          </w:p>
        </w:tc>
        <w:tc>
          <w:tcPr>
            <w:tcW w:w="1784" w:type="dxa"/>
            <w:vAlign w:val="center"/>
          </w:tcPr>
          <w:p w14:paraId="5589ACDD">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17</w:t>
            </w:r>
          </w:p>
        </w:tc>
        <w:tc>
          <w:tcPr>
            <w:tcW w:w="1784" w:type="dxa"/>
            <w:vAlign w:val="center"/>
          </w:tcPr>
          <w:p w14:paraId="1DB96DE8">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15</w:t>
            </w:r>
          </w:p>
        </w:tc>
        <w:tc>
          <w:tcPr>
            <w:tcW w:w="1798" w:type="dxa"/>
            <w:tcBorders>
              <w:right w:val="single" w:color="000000" w:sz="10" w:space="0"/>
            </w:tcBorders>
            <w:vAlign w:val="center"/>
          </w:tcPr>
          <w:p w14:paraId="6DBA2C07">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mg/L</w:t>
            </w:r>
          </w:p>
        </w:tc>
      </w:tr>
      <w:tr w14:paraId="62EF36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76AB7F81">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2C4778AB">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氨氮</w:t>
            </w:r>
          </w:p>
        </w:tc>
        <w:tc>
          <w:tcPr>
            <w:tcW w:w="1784" w:type="dxa"/>
            <w:vAlign w:val="center"/>
          </w:tcPr>
          <w:p w14:paraId="4CECF4E3">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0.369</w:t>
            </w:r>
          </w:p>
        </w:tc>
        <w:tc>
          <w:tcPr>
            <w:tcW w:w="1784" w:type="dxa"/>
            <w:vAlign w:val="center"/>
          </w:tcPr>
          <w:p w14:paraId="397B8E38">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4.02</w:t>
            </w:r>
          </w:p>
        </w:tc>
        <w:tc>
          <w:tcPr>
            <w:tcW w:w="1798" w:type="dxa"/>
            <w:tcBorders>
              <w:right w:val="single" w:color="000000" w:sz="10" w:space="0"/>
            </w:tcBorders>
            <w:vAlign w:val="center"/>
          </w:tcPr>
          <w:p w14:paraId="540BC772">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mg/L</w:t>
            </w:r>
          </w:p>
        </w:tc>
      </w:tr>
      <w:tr w14:paraId="43486E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2B7A4169">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0C2C244D">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悬浮物</w:t>
            </w:r>
          </w:p>
        </w:tc>
        <w:tc>
          <w:tcPr>
            <w:tcW w:w="1784" w:type="dxa"/>
            <w:vAlign w:val="center"/>
          </w:tcPr>
          <w:p w14:paraId="14795892">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5</w:t>
            </w:r>
          </w:p>
        </w:tc>
        <w:tc>
          <w:tcPr>
            <w:tcW w:w="1784" w:type="dxa"/>
            <w:vAlign w:val="center"/>
          </w:tcPr>
          <w:p w14:paraId="0E478E2B">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9</w:t>
            </w:r>
          </w:p>
        </w:tc>
        <w:tc>
          <w:tcPr>
            <w:tcW w:w="1798" w:type="dxa"/>
            <w:tcBorders>
              <w:right w:val="single" w:color="000000" w:sz="10" w:space="0"/>
            </w:tcBorders>
            <w:vAlign w:val="center"/>
          </w:tcPr>
          <w:p w14:paraId="6A25B2C7">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mg/L</w:t>
            </w:r>
          </w:p>
        </w:tc>
      </w:tr>
      <w:tr w14:paraId="2DF8AE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35794325">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0811A368">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石油类</w:t>
            </w:r>
          </w:p>
        </w:tc>
        <w:tc>
          <w:tcPr>
            <w:tcW w:w="1784" w:type="dxa"/>
            <w:vAlign w:val="center"/>
          </w:tcPr>
          <w:p w14:paraId="27B692C4">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0.07</w:t>
            </w:r>
          </w:p>
        </w:tc>
        <w:tc>
          <w:tcPr>
            <w:tcW w:w="1784" w:type="dxa"/>
            <w:vAlign w:val="center"/>
          </w:tcPr>
          <w:p w14:paraId="222935B5">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0.12</w:t>
            </w:r>
          </w:p>
        </w:tc>
        <w:tc>
          <w:tcPr>
            <w:tcW w:w="1798" w:type="dxa"/>
            <w:tcBorders>
              <w:right w:val="single" w:color="000000" w:sz="10" w:space="0"/>
            </w:tcBorders>
            <w:vAlign w:val="center"/>
          </w:tcPr>
          <w:p w14:paraId="21FE25B1">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mg/L</w:t>
            </w:r>
          </w:p>
        </w:tc>
      </w:tr>
      <w:tr w14:paraId="712EC8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6DCA6E54">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09F76C81">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氟化物</w:t>
            </w:r>
          </w:p>
        </w:tc>
        <w:tc>
          <w:tcPr>
            <w:tcW w:w="1784" w:type="dxa"/>
            <w:vAlign w:val="center"/>
          </w:tcPr>
          <w:p w14:paraId="740A3833">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0.525</w:t>
            </w:r>
          </w:p>
        </w:tc>
        <w:tc>
          <w:tcPr>
            <w:tcW w:w="1784" w:type="dxa"/>
            <w:vAlign w:val="center"/>
          </w:tcPr>
          <w:p w14:paraId="471AE43A">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0.550</w:t>
            </w:r>
          </w:p>
        </w:tc>
        <w:tc>
          <w:tcPr>
            <w:tcW w:w="1798" w:type="dxa"/>
            <w:tcBorders>
              <w:right w:val="single" w:color="000000" w:sz="10" w:space="0"/>
            </w:tcBorders>
            <w:vAlign w:val="center"/>
          </w:tcPr>
          <w:p w14:paraId="6DB26DE4">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mg/L</w:t>
            </w:r>
          </w:p>
        </w:tc>
      </w:tr>
      <w:tr w14:paraId="32F06A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66085352">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687157BE">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铜</w:t>
            </w:r>
          </w:p>
        </w:tc>
        <w:tc>
          <w:tcPr>
            <w:tcW w:w="1784" w:type="dxa"/>
            <w:vAlign w:val="center"/>
          </w:tcPr>
          <w:p w14:paraId="5F3FF488">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14.4</w:t>
            </w:r>
          </w:p>
        </w:tc>
        <w:tc>
          <w:tcPr>
            <w:tcW w:w="1784" w:type="dxa"/>
            <w:vAlign w:val="center"/>
          </w:tcPr>
          <w:p w14:paraId="3394DD73">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0.78</w:t>
            </w:r>
          </w:p>
        </w:tc>
        <w:tc>
          <w:tcPr>
            <w:tcW w:w="1798" w:type="dxa"/>
            <w:tcBorders>
              <w:right w:val="single" w:color="000000" w:sz="10" w:space="0"/>
            </w:tcBorders>
            <w:vAlign w:val="center"/>
          </w:tcPr>
          <w:p w14:paraId="710048A9">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µg/L</w:t>
            </w:r>
          </w:p>
        </w:tc>
      </w:tr>
      <w:tr w14:paraId="6C76E6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26E674B2">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7217A362">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锌</w:t>
            </w:r>
          </w:p>
        </w:tc>
        <w:tc>
          <w:tcPr>
            <w:tcW w:w="1784" w:type="dxa"/>
            <w:vAlign w:val="center"/>
          </w:tcPr>
          <w:p w14:paraId="0FE3D4D3">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16.0</w:t>
            </w:r>
          </w:p>
        </w:tc>
        <w:tc>
          <w:tcPr>
            <w:tcW w:w="1784" w:type="dxa"/>
            <w:vAlign w:val="center"/>
          </w:tcPr>
          <w:p w14:paraId="32685D9F">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0.67</w:t>
            </w:r>
          </w:p>
        </w:tc>
        <w:tc>
          <w:tcPr>
            <w:tcW w:w="1798" w:type="dxa"/>
            <w:tcBorders>
              <w:right w:val="single" w:color="000000" w:sz="10" w:space="0"/>
            </w:tcBorders>
            <w:vAlign w:val="center"/>
          </w:tcPr>
          <w:p w14:paraId="68DC74BA">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µg/L</w:t>
            </w:r>
          </w:p>
        </w:tc>
      </w:tr>
      <w:tr w14:paraId="0F5094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1F178AF7">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653ADA54">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铅</w:t>
            </w:r>
          </w:p>
        </w:tc>
        <w:tc>
          <w:tcPr>
            <w:tcW w:w="1784" w:type="dxa"/>
            <w:vAlign w:val="center"/>
          </w:tcPr>
          <w:p w14:paraId="1DD6B5FD">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0.09</w:t>
            </w:r>
          </w:p>
        </w:tc>
        <w:tc>
          <w:tcPr>
            <w:tcW w:w="1784" w:type="dxa"/>
            <w:vAlign w:val="center"/>
          </w:tcPr>
          <w:p w14:paraId="51106CD9">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0.09</w:t>
            </w:r>
          </w:p>
        </w:tc>
        <w:tc>
          <w:tcPr>
            <w:tcW w:w="1798" w:type="dxa"/>
            <w:tcBorders>
              <w:right w:val="single" w:color="000000" w:sz="10" w:space="0"/>
            </w:tcBorders>
            <w:vAlign w:val="center"/>
          </w:tcPr>
          <w:p w14:paraId="7E2C94AC">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µg/L</w:t>
            </w:r>
          </w:p>
        </w:tc>
      </w:tr>
      <w:tr w14:paraId="0D334D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753A6D7A">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5D86DB14">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镉</w:t>
            </w:r>
          </w:p>
        </w:tc>
        <w:tc>
          <w:tcPr>
            <w:tcW w:w="1784" w:type="dxa"/>
            <w:vAlign w:val="center"/>
          </w:tcPr>
          <w:p w14:paraId="198F6E8D">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0.16</w:t>
            </w:r>
          </w:p>
        </w:tc>
        <w:tc>
          <w:tcPr>
            <w:tcW w:w="1784" w:type="dxa"/>
            <w:vAlign w:val="center"/>
          </w:tcPr>
          <w:p w14:paraId="2E90DA5C">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0.13</w:t>
            </w:r>
          </w:p>
        </w:tc>
        <w:tc>
          <w:tcPr>
            <w:tcW w:w="1798" w:type="dxa"/>
            <w:tcBorders>
              <w:right w:val="single" w:color="000000" w:sz="10" w:space="0"/>
            </w:tcBorders>
            <w:vAlign w:val="center"/>
          </w:tcPr>
          <w:p w14:paraId="0615CBAD">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µg/L</w:t>
            </w:r>
          </w:p>
        </w:tc>
      </w:tr>
      <w:tr w14:paraId="65E85B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6B33E2BE">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408E8570">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砷</w:t>
            </w:r>
          </w:p>
        </w:tc>
        <w:tc>
          <w:tcPr>
            <w:tcW w:w="1784" w:type="dxa"/>
            <w:vAlign w:val="center"/>
          </w:tcPr>
          <w:p w14:paraId="36A2019D">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1.25</w:t>
            </w:r>
          </w:p>
        </w:tc>
        <w:tc>
          <w:tcPr>
            <w:tcW w:w="1784" w:type="dxa"/>
            <w:vAlign w:val="center"/>
          </w:tcPr>
          <w:p w14:paraId="0024BB68">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1.41</w:t>
            </w:r>
          </w:p>
        </w:tc>
        <w:tc>
          <w:tcPr>
            <w:tcW w:w="1798" w:type="dxa"/>
            <w:tcBorders>
              <w:right w:val="single" w:color="000000" w:sz="10" w:space="0"/>
            </w:tcBorders>
            <w:vAlign w:val="center"/>
          </w:tcPr>
          <w:p w14:paraId="1C363051">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µg/L</w:t>
            </w:r>
          </w:p>
        </w:tc>
      </w:tr>
      <w:tr w14:paraId="384A80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50F3BD02">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31A6CD05">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铁</w:t>
            </w:r>
          </w:p>
        </w:tc>
        <w:tc>
          <w:tcPr>
            <w:tcW w:w="1784" w:type="dxa"/>
            <w:vAlign w:val="center"/>
          </w:tcPr>
          <w:p w14:paraId="671403BE">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84.6</w:t>
            </w:r>
          </w:p>
        </w:tc>
        <w:tc>
          <w:tcPr>
            <w:tcW w:w="1784" w:type="dxa"/>
            <w:vAlign w:val="center"/>
          </w:tcPr>
          <w:p w14:paraId="05E08271">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67.7</w:t>
            </w:r>
          </w:p>
        </w:tc>
        <w:tc>
          <w:tcPr>
            <w:tcW w:w="1798" w:type="dxa"/>
            <w:tcBorders>
              <w:right w:val="single" w:color="000000" w:sz="10" w:space="0"/>
            </w:tcBorders>
            <w:vAlign w:val="center"/>
          </w:tcPr>
          <w:p w14:paraId="10F8EA8B">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µg/L</w:t>
            </w:r>
          </w:p>
        </w:tc>
      </w:tr>
      <w:tr w14:paraId="6D07E9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415E1DF9">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52B0A369">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锰</w:t>
            </w:r>
          </w:p>
        </w:tc>
        <w:tc>
          <w:tcPr>
            <w:tcW w:w="1784" w:type="dxa"/>
            <w:vAlign w:val="center"/>
          </w:tcPr>
          <w:p w14:paraId="5D79D7B2">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29.0</w:t>
            </w:r>
          </w:p>
        </w:tc>
        <w:tc>
          <w:tcPr>
            <w:tcW w:w="1784" w:type="dxa"/>
            <w:vAlign w:val="center"/>
          </w:tcPr>
          <w:p w14:paraId="2654BEBA">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3.50</w:t>
            </w:r>
          </w:p>
        </w:tc>
        <w:tc>
          <w:tcPr>
            <w:tcW w:w="1798" w:type="dxa"/>
            <w:tcBorders>
              <w:right w:val="single" w:color="000000" w:sz="10" w:space="0"/>
            </w:tcBorders>
            <w:vAlign w:val="center"/>
          </w:tcPr>
          <w:p w14:paraId="1C25B11A">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µg/L</w:t>
            </w:r>
          </w:p>
        </w:tc>
      </w:tr>
      <w:tr w14:paraId="70ABAA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6129F271">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2146CFE4">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铬</w:t>
            </w:r>
          </w:p>
        </w:tc>
        <w:tc>
          <w:tcPr>
            <w:tcW w:w="1784" w:type="dxa"/>
            <w:vAlign w:val="center"/>
          </w:tcPr>
          <w:p w14:paraId="34A21474">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0.039</w:t>
            </w:r>
          </w:p>
        </w:tc>
        <w:tc>
          <w:tcPr>
            <w:tcW w:w="1784" w:type="dxa"/>
            <w:vAlign w:val="center"/>
          </w:tcPr>
          <w:p w14:paraId="48F76993">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0.033</w:t>
            </w:r>
          </w:p>
        </w:tc>
        <w:tc>
          <w:tcPr>
            <w:tcW w:w="1798" w:type="dxa"/>
            <w:tcBorders>
              <w:right w:val="single" w:color="000000" w:sz="10" w:space="0"/>
            </w:tcBorders>
            <w:vAlign w:val="center"/>
          </w:tcPr>
          <w:p w14:paraId="569A1886">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mg/L</w:t>
            </w:r>
          </w:p>
        </w:tc>
      </w:tr>
      <w:tr w14:paraId="763122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1341" w:type="dxa"/>
            <w:vMerge w:val="continue"/>
            <w:tcBorders>
              <w:left w:val="single" w:color="000000" w:sz="10" w:space="0"/>
            </w:tcBorders>
            <w:vAlign w:val="center"/>
          </w:tcPr>
          <w:p w14:paraId="1221E779">
            <w:pPr>
              <w:adjustRightInd w:val="0"/>
              <w:snapToGrid w:val="0"/>
              <w:spacing w:line="240" w:lineRule="auto"/>
              <w:ind w:firstLine="0" w:firstLineChars="0"/>
              <w:jc w:val="center"/>
              <w:rPr>
                <w:rFonts w:cs="Times New Roman"/>
                <w:bCs/>
                <w:snapToGrid w:val="0"/>
                <w:color w:val="000000"/>
                <w:kern w:val="0"/>
                <w:sz w:val="21"/>
                <w:szCs w:val="21"/>
              </w:rPr>
            </w:pPr>
          </w:p>
        </w:tc>
        <w:tc>
          <w:tcPr>
            <w:tcW w:w="2240" w:type="dxa"/>
            <w:vAlign w:val="center"/>
          </w:tcPr>
          <w:p w14:paraId="39B9C42E">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六价铬</w:t>
            </w:r>
          </w:p>
        </w:tc>
        <w:tc>
          <w:tcPr>
            <w:tcW w:w="1784" w:type="dxa"/>
            <w:vAlign w:val="center"/>
          </w:tcPr>
          <w:p w14:paraId="26A7ED88">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0.011</w:t>
            </w:r>
          </w:p>
        </w:tc>
        <w:tc>
          <w:tcPr>
            <w:tcW w:w="1784" w:type="dxa"/>
            <w:vAlign w:val="center"/>
          </w:tcPr>
          <w:p w14:paraId="13504590">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0.009</w:t>
            </w:r>
          </w:p>
        </w:tc>
        <w:tc>
          <w:tcPr>
            <w:tcW w:w="1798" w:type="dxa"/>
            <w:tcBorders>
              <w:right w:val="single" w:color="000000" w:sz="10" w:space="0"/>
            </w:tcBorders>
            <w:vAlign w:val="center"/>
          </w:tcPr>
          <w:p w14:paraId="09895FE9">
            <w:pPr>
              <w:adjustRightInd w:val="0"/>
              <w:snapToGrid w:val="0"/>
              <w:spacing w:line="240" w:lineRule="auto"/>
              <w:ind w:firstLine="0" w:firstLineChars="0"/>
              <w:jc w:val="center"/>
              <w:rPr>
                <w:rFonts w:cs="Times New Roman"/>
                <w:bCs/>
                <w:snapToGrid w:val="0"/>
                <w:color w:val="000000"/>
                <w:kern w:val="0"/>
                <w:sz w:val="21"/>
                <w:szCs w:val="21"/>
              </w:rPr>
            </w:pPr>
            <w:r>
              <w:rPr>
                <w:rFonts w:cs="Times New Roman"/>
                <w:bCs/>
                <w:snapToGrid w:val="0"/>
                <w:color w:val="000000"/>
                <w:kern w:val="0"/>
                <w:sz w:val="21"/>
                <w:szCs w:val="21"/>
              </w:rPr>
              <w:t>mg/L</w:t>
            </w:r>
          </w:p>
        </w:tc>
      </w:tr>
    </w:tbl>
    <w:p w14:paraId="4A4CD513">
      <w:pPr>
        <w:ind w:firstLine="480"/>
      </w:pPr>
      <w:r>
        <w:rPr>
          <w:rFonts w:hint="eastAsia"/>
        </w:rPr>
        <w:t>由上表可知，草皮铁矿工程井下涌水和尾矿库回水水质排放浓度能够达到《铁矿采选工业污染物排放标准》（GB28661-2012）表</w:t>
      </w:r>
      <w:r>
        <w:t>2</w:t>
      </w:r>
      <w:r>
        <w:rPr>
          <w:rFonts w:hint="eastAsia"/>
          <w:snapToGrid w:val="0"/>
        </w:rPr>
        <w:t>新建企业水污染物排放浓度限值要求</w:t>
      </w:r>
      <w:r>
        <w:rPr>
          <w:rFonts w:hint="eastAsia"/>
        </w:rPr>
        <w:t>。所有井下</w:t>
      </w:r>
      <w:r>
        <w:rPr>
          <w:kern w:val="0"/>
        </w:rPr>
        <w:t>涌水收集至井下水仓，由水泵提升至地表</w:t>
      </w:r>
      <w:r>
        <w:rPr>
          <w:rFonts w:hint="eastAsia"/>
          <w:kern w:val="0"/>
        </w:rPr>
        <w:t>沉淀</w:t>
      </w:r>
      <w:r>
        <w:rPr>
          <w:kern w:val="0"/>
        </w:rPr>
        <w:t>池</w:t>
      </w:r>
      <w:r>
        <w:rPr>
          <w:rFonts w:hint="eastAsia"/>
          <w:kern w:val="0"/>
        </w:rPr>
        <w:t>处理后</w:t>
      </w:r>
      <w:r>
        <w:rPr>
          <w:kern w:val="0"/>
        </w:rPr>
        <w:t>，作为</w:t>
      </w:r>
      <w:r>
        <w:rPr>
          <w:rFonts w:hint="eastAsia"/>
          <w:kern w:val="0"/>
        </w:rPr>
        <w:t>生产用水水源全部回用，不外排。</w:t>
      </w:r>
    </w:p>
    <w:p w14:paraId="1341D118">
      <w:pPr>
        <w:pStyle w:val="3"/>
      </w:pPr>
      <w:bookmarkStart w:id="48" w:name="_Toc85213510"/>
      <w:r>
        <w:t>5</w:t>
      </w:r>
      <w:r>
        <w:rPr>
          <w:rFonts w:hint="eastAsia"/>
        </w:rPr>
        <w:t>.</w:t>
      </w:r>
      <w:r>
        <w:t xml:space="preserve">5 </w:t>
      </w:r>
      <w:r>
        <w:rPr>
          <w:rFonts w:hint="eastAsia"/>
        </w:rPr>
        <w:t>声环境污染防治措施有效性评价</w:t>
      </w:r>
      <w:bookmarkEnd w:id="48"/>
    </w:p>
    <w:p w14:paraId="5EFF3239">
      <w:pPr>
        <w:pStyle w:val="4"/>
      </w:pPr>
      <w:r>
        <w:t>5</w:t>
      </w:r>
      <w:r>
        <w:rPr>
          <w:rFonts w:hint="eastAsia"/>
        </w:rPr>
        <w:t>.</w:t>
      </w:r>
      <w:r>
        <w:t>5</w:t>
      </w:r>
      <w:r>
        <w:rPr>
          <w:rFonts w:hint="eastAsia"/>
        </w:rPr>
        <w:t>.1</w:t>
      </w:r>
      <w:r>
        <w:t xml:space="preserve"> </w:t>
      </w:r>
      <w:r>
        <w:rPr>
          <w:rFonts w:hint="eastAsia"/>
        </w:rPr>
        <w:t>已采取的声环境污染防治措施</w:t>
      </w:r>
    </w:p>
    <w:p w14:paraId="7F36B0DC">
      <w:pPr>
        <w:ind w:firstLine="0" w:firstLineChars="0"/>
        <w:rPr>
          <w:rFonts w:cs="Times New Roman"/>
        </w:rPr>
      </w:pPr>
      <w:r>
        <w:rPr>
          <w:rFonts w:cs="Times New Roman"/>
        </w:rPr>
        <w:t>5</w:t>
      </w:r>
      <w:r>
        <w:rPr>
          <w:rFonts w:hint="eastAsia" w:cs="Times New Roman"/>
        </w:rPr>
        <w:t>.</w:t>
      </w:r>
      <w:r>
        <w:rPr>
          <w:rFonts w:cs="Times New Roman"/>
        </w:rPr>
        <w:t>5</w:t>
      </w:r>
      <w:r>
        <w:rPr>
          <w:rFonts w:hint="eastAsia" w:cs="Times New Roman"/>
        </w:rPr>
        <w:t>.</w:t>
      </w:r>
      <w:r>
        <w:rPr>
          <w:rFonts w:cs="Times New Roman"/>
        </w:rPr>
        <w:t xml:space="preserve">1.1 </w:t>
      </w:r>
      <w:r>
        <w:rPr>
          <w:rFonts w:hint="eastAsia" w:cs="Times New Roman"/>
        </w:rPr>
        <w:t>采矿工业场地噪声控制措施</w:t>
      </w:r>
    </w:p>
    <w:p w14:paraId="702BE74C">
      <w:pPr>
        <w:ind w:firstLine="480"/>
        <w:rPr>
          <w:rFonts w:cs="Times New Roman"/>
        </w:rPr>
      </w:pPr>
      <w:r>
        <w:rPr>
          <w:rFonts w:cs="Times New Roman"/>
        </w:rPr>
        <w:t>井下生产作业设备位于井下，对外环境影响很小。采矿工业场地噪声</w:t>
      </w:r>
      <w:r>
        <w:rPr>
          <w:rFonts w:hint="eastAsia" w:cs="Times New Roman"/>
        </w:rPr>
        <w:t>源</w:t>
      </w:r>
      <w:r>
        <w:rPr>
          <w:rFonts w:cs="Times New Roman"/>
        </w:rPr>
        <w:t>主要为卷扬机、</w:t>
      </w:r>
      <w:r>
        <w:rPr>
          <w:rFonts w:hint="eastAsia" w:cs="Times New Roman"/>
        </w:rPr>
        <w:t>粗破机、</w:t>
      </w:r>
      <w:r>
        <w:rPr>
          <w:rFonts w:cs="Times New Roman"/>
        </w:rPr>
        <w:t>空压机等设备。</w:t>
      </w:r>
    </w:p>
    <w:p w14:paraId="5F5546B8">
      <w:pPr>
        <w:ind w:firstLine="480"/>
        <w:rPr>
          <w:rFonts w:cs="Times New Roman"/>
        </w:rPr>
      </w:pPr>
      <w:r>
        <w:rPr>
          <w:rFonts w:cs="Times New Roman"/>
        </w:rPr>
        <w:t>（1）卷扬机</w:t>
      </w:r>
      <w:r>
        <w:rPr>
          <w:rFonts w:hint="eastAsia" w:cs="Times New Roman"/>
        </w:rPr>
        <w:t>、粗破机等</w:t>
      </w:r>
      <w:r>
        <w:rPr>
          <w:rFonts w:cs="Times New Roman"/>
        </w:rPr>
        <w:t>高噪声设备布置在室内，职工操作室及仪表控制室均设有隔音间</w:t>
      </w:r>
      <w:r>
        <w:rPr>
          <w:rFonts w:hint="eastAsia" w:cs="Times New Roman"/>
        </w:rPr>
        <w:t>。</w:t>
      </w:r>
    </w:p>
    <w:p w14:paraId="6586E146">
      <w:pPr>
        <w:ind w:firstLine="480"/>
        <w:rPr>
          <w:rFonts w:cs="Times New Roman"/>
        </w:rPr>
      </w:pPr>
      <w:r>
        <w:rPr>
          <w:rFonts w:cs="Times New Roman"/>
        </w:rPr>
        <w:t>（2）空压机房的空压机的进出口处安装消声器，并采用柔性连接，基础采取减震措施，室内布置，墙体采取隔声材料。</w:t>
      </w:r>
    </w:p>
    <w:p w14:paraId="027D31DF">
      <w:pPr>
        <w:ind w:firstLine="0" w:firstLineChars="0"/>
        <w:rPr>
          <w:rFonts w:cs="Times New Roman"/>
        </w:rPr>
      </w:pPr>
      <w:r>
        <w:rPr>
          <w:rFonts w:cs="Times New Roman"/>
        </w:rPr>
        <w:t>5</w:t>
      </w:r>
      <w:r>
        <w:rPr>
          <w:rFonts w:hint="eastAsia" w:cs="Times New Roman"/>
        </w:rPr>
        <w:t>.</w:t>
      </w:r>
      <w:r>
        <w:rPr>
          <w:rFonts w:cs="Times New Roman"/>
        </w:rPr>
        <w:t>5</w:t>
      </w:r>
      <w:r>
        <w:rPr>
          <w:rFonts w:hint="eastAsia" w:cs="Times New Roman"/>
        </w:rPr>
        <w:t>.</w:t>
      </w:r>
      <w:r>
        <w:rPr>
          <w:rFonts w:cs="Times New Roman"/>
        </w:rPr>
        <w:t xml:space="preserve">1.2 </w:t>
      </w:r>
      <w:r>
        <w:rPr>
          <w:rFonts w:hint="eastAsia" w:cs="Times New Roman"/>
        </w:rPr>
        <w:t>选矿厂噪声控制措施</w:t>
      </w:r>
    </w:p>
    <w:p w14:paraId="17EED9A8">
      <w:pPr>
        <w:ind w:firstLine="480"/>
        <w:rPr>
          <w:rFonts w:cs="Times New Roman"/>
        </w:rPr>
      </w:pPr>
      <w:r>
        <w:rPr>
          <w:rFonts w:hint="eastAsia" w:cs="Times New Roman"/>
        </w:rPr>
        <w:t>选矿噪声源主要来自各式破碎机、球磨机、磁选机、水泵等产噪设备。选矿厂已采取了如下降噪措施：</w:t>
      </w:r>
    </w:p>
    <w:p w14:paraId="4120CADD">
      <w:pPr>
        <w:ind w:firstLine="480"/>
        <w:rPr>
          <w:rFonts w:cs="Times New Roman"/>
        </w:rPr>
      </w:pPr>
      <w:r>
        <w:rPr>
          <w:rFonts w:hint="eastAsia" w:cs="Times New Roman"/>
        </w:rPr>
        <w:t>（1）采用先进的低噪声机械设备。</w:t>
      </w:r>
    </w:p>
    <w:p w14:paraId="2213600C">
      <w:pPr>
        <w:ind w:firstLine="480"/>
        <w:rPr>
          <w:rFonts w:cs="Times New Roman"/>
        </w:rPr>
      </w:pPr>
      <w:r>
        <w:rPr>
          <w:rFonts w:hint="eastAsia" w:cs="Times New Roman"/>
        </w:rPr>
        <w:t>（2）将噪声较大的圆锥破碎机、振动筛、球磨机、磁选机、空压机、引风机以及鼓风机等设备单独置于室内，采取墙体隔声、减振弹簧、重点部位覆盖吸声材料，降低噪声。</w:t>
      </w:r>
    </w:p>
    <w:p w14:paraId="5C586514">
      <w:pPr>
        <w:ind w:firstLine="480"/>
        <w:rPr>
          <w:rFonts w:cs="Times New Roman"/>
        </w:rPr>
      </w:pPr>
      <w:r>
        <w:rPr>
          <w:rFonts w:hint="eastAsia" w:cs="Times New Roman"/>
        </w:rPr>
        <w:t>（3）厂房内的高噪声设备运行期间，关闭车间大门和窗户。</w:t>
      </w:r>
    </w:p>
    <w:p w14:paraId="462A9D5C">
      <w:pPr>
        <w:ind w:firstLine="480"/>
        <w:rPr>
          <w:b/>
          <w:bCs/>
          <w:sz w:val="28"/>
          <w:szCs w:val="32"/>
        </w:rPr>
      </w:pPr>
      <w:r>
        <w:rPr>
          <w:rFonts w:hint="eastAsia" w:cs="Times New Roman"/>
        </w:rPr>
        <w:t>（4）合理安排外运道路运输时间，夜间禁止装卸和运输，严禁噪声扰民。</w:t>
      </w:r>
    </w:p>
    <w:p w14:paraId="0086F51F">
      <w:pPr>
        <w:pStyle w:val="4"/>
      </w:pPr>
      <w:r>
        <w:t>5</w:t>
      </w:r>
      <w:r>
        <w:rPr>
          <w:rFonts w:hint="eastAsia"/>
        </w:rPr>
        <w:t>.5.</w:t>
      </w:r>
      <w:r>
        <w:t xml:space="preserve">2 </w:t>
      </w:r>
      <w:r>
        <w:rPr>
          <w:rFonts w:hint="eastAsia"/>
        </w:rPr>
        <w:t>措施有效性分析</w:t>
      </w:r>
    </w:p>
    <w:p w14:paraId="6BE3BE3E">
      <w:pPr>
        <w:ind w:firstLine="0" w:firstLineChars="0"/>
        <w:rPr>
          <w:rFonts w:cs="Times New Roman"/>
        </w:rPr>
      </w:pPr>
      <w:r>
        <w:rPr>
          <w:rFonts w:cs="Times New Roman"/>
        </w:rPr>
        <w:t>5</w:t>
      </w:r>
      <w:r>
        <w:rPr>
          <w:rFonts w:hint="eastAsia" w:cs="Times New Roman"/>
        </w:rPr>
        <w:t>.</w:t>
      </w:r>
      <w:r>
        <w:rPr>
          <w:rFonts w:cs="Times New Roman"/>
        </w:rPr>
        <w:t>5</w:t>
      </w:r>
      <w:r>
        <w:rPr>
          <w:rFonts w:hint="eastAsia" w:cs="Times New Roman"/>
        </w:rPr>
        <w:t>.</w:t>
      </w:r>
      <w:r>
        <w:rPr>
          <w:rFonts w:cs="Times New Roman"/>
        </w:rPr>
        <w:t xml:space="preserve">2.1 </w:t>
      </w:r>
      <w:r>
        <w:rPr>
          <w:rFonts w:hint="eastAsia" w:cs="Times New Roman"/>
        </w:rPr>
        <w:t>厂界噪声达标分析</w:t>
      </w:r>
    </w:p>
    <w:p w14:paraId="4E99624B">
      <w:pPr>
        <w:ind w:firstLine="480"/>
      </w:pPr>
      <w:r>
        <w:rPr>
          <w:rFonts w:hint="eastAsia" w:cs="Times New Roman"/>
        </w:rPr>
        <w:t>本次后评价</w:t>
      </w:r>
      <w:r>
        <w:rPr>
          <w:rFonts w:hint="eastAsia"/>
        </w:rPr>
        <w:t>引用</w:t>
      </w:r>
      <w:r>
        <w:t>安徽金安矿业有限公司例行监测报告</w:t>
      </w:r>
      <w:r>
        <w:rPr>
          <w:rFonts w:hint="eastAsia"/>
        </w:rPr>
        <w:t>中的检测数据，各厂界噪声监测结果详见下表：</w:t>
      </w:r>
    </w:p>
    <w:p w14:paraId="6D5CBE6B">
      <w:pPr>
        <w:tabs>
          <w:tab w:val="left" w:pos="4464"/>
        </w:tabs>
        <w:ind w:firstLine="0" w:firstLineChars="0"/>
        <w:jc w:val="center"/>
        <w:rPr>
          <w:b/>
          <w:bCs/>
          <w:snapToGrid w:val="0"/>
          <w:szCs w:val="20"/>
        </w:rPr>
      </w:pPr>
      <w:r>
        <w:rPr>
          <w:b/>
          <w:bCs/>
          <w:snapToGrid w:val="0"/>
          <w:szCs w:val="20"/>
        </w:rPr>
        <w:t>表</w:t>
      </w:r>
      <w:r>
        <w:rPr>
          <w:rFonts w:hint="eastAsia"/>
          <w:b/>
          <w:bCs/>
          <w:snapToGrid w:val="0"/>
          <w:szCs w:val="20"/>
        </w:rPr>
        <w:t>5</w:t>
      </w:r>
      <w:r>
        <w:rPr>
          <w:b/>
          <w:bCs/>
          <w:snapToGrid w:val="0"/>
          <w:szCs w:val="20"/>
        </w:rPr>
        <w:t>.</w:t>
      </w:r>
      <w:r>
        <w:rPr>
          <w:rFonts w:hint="eastAsia"/>
          <w:b/>
          <w:bCs/>
          <w:snapToGrid w:val="0"/>
          <w:szCs w:val="20"/>
        </w:rPr>
        <w:t>5-1 安徽金安矿业有限公司厂界</w:t>
      </w:r>
      <w:r>
        <w:rPr>
          <w:b/>
          <w:bCs/>
          <w:snapToGrid w:val="0"/>
          <w:szCs w:val="20"/>
        </w:rPr>
        <w:t>噪声监测结果</w:t>
      </w:r>
    </w:p>
    <w:tbl>
      <w:tblPr>
        <w:tblStyle w:val="32"/>
        <w:tblW w:w="84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8"/>
        <w:gridCol w:w="1057"/>
        <w:gridCol w:w="1700"/>
        <w:gridCol w:w="2103"/>
        <w:gridCol w:w="2107"/>
      </w:tblGrid>
      <w:tr w14:paraId="22137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8" w:type="dxa"/>
            <w:vMerge w:val="restart"/>
            <w:vAlign w:val="center"/>
          </w:tcPr>
          <w:p w14:paraId="40ED0E37">
            <w:pPr>
              <w:spacing w:line="240" w:lineRule="auto"/>
              <w:ind w:firstLine="0" w:firstLineChars="0"/>
              <w:jc w:val="center"/>
              <w:rPr>
                <w:sz w:val="21"/>
                <w:szCs w:val="21"/>
              </w:rPr>
            </w:pPr>
            <w:r>
              <w:rPr>
                <w:rFonts w:hint="eastAsia"/>
                <w:b/>
                <w:bCs/>
                <w:sz w:val="21"/>
                <w:szCs w:val="21"/>
              </w:rPr>
              <w:t>监测日期</w:t>
            </w:r>
          </w:p>
        </w:tc>
        <w:tc>
          <w:tcPr>
            <w:tcW w:w="2757" w:type="dxa"/>
            <w:gridSpan w:val="2"/>
            <w:vMerge w:val="restart"/>
            <w:vAlign w:val="center"/>
          </w:tcPr>
          <w:p w14:paraId="2EAD5322">
            <w:pPr>
              <w:spacing w:line="240" w:lineRule="auto"/>
              <w:ind w:firstLine="0" w:firstLineChars="0"/>
              <w:jc w:val="center"/>
              <w:rPr>
                <w:b/>
                <w:sz w:val="21"/>
                <w:szCs w:val="21"/>
              </w:rPr>
            </w:pPr>
            <w:r>
              <w:rPr>
                <w:b/>
                <w:sz w:val="21"/>
                <w:szCs w:val="21"/>
              </w:rPr>
              <w:t>监测点位</w:t>
            </w:r>
          </w:p>
        </w:tc>
        <w:tc>
          <w:tcPr>
            <w:tcW w:w="4210" w:type="dxa"/>
            <w:gridSpan w:val="2"/>
            <w:vAlign w:val="center"/>
          </w:tcPr>
          <w:p w14:paraId="4A5B0D20">
            <w:pPr>
              <w:spacing w:line="240" w:lineRule="auto"/>
              <w:ind w:firstLine="0" w:firstLineChars="0"/>
              <w:jc w:val="center"/>
              <w:rPr>
                <w:b/>
                <w:sz w:val="21"/>
                <w:szCs w:val="21"/>
              </w:rPr>
            </w:pPr>
            <w:r>
              <w:rPr>
                <w:rFonts w:hint="eastAsia"/>
                <w:b/>
                <w:sz w:val="21"/>
                <w:szCs w:val="21"/>
              </w:rPr>
              <w:t>噪声</w:t>
            </w:r>
            <w:r>
              <w:rPr>
                <w:b/>
                <w:sz w:val="21"/>
                <w:szCs w:val="21"/>
              </w:rPr>
              <w:t>监测结果</w:t>
            </w:r>
            <w:r>
              <w:rPr>
                <w:rFonts w:hint="eastAsia"/>
                <w:b/>
                <w:sz w:val="21"/>
                <w:szCs w:val="21"/>
              </w:rPr>
              <w:t>Leq[</w:t>
            </w:r>
            <w:r>
              <w:rPr>
                <w:b/>
                <w:sz w:val="21"/>
                <w:szCs w:val="21"/>
              </w:rPr>
              <w:t>d</w:t>
            </w:r>
            <w:r>
              <w:rPr>
                <w:rFonts w:hint="eastAsia"/>
                <w:b/>
                <w:sz w:val="21"/>
                <w:szCs w:val="21"/>
              </w:rPr>
              <w:t>B(A)]</w:t>
            </w:r>
          </w:p>
        </w:tc>
      </w:tr>
      <w:tr w14:paraId="2D987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448" w:type="dxa"/>
            <w:vMerge w:val="continue"/>
            <w:vAlign w:val="center"/>
          </w:tcPr>
          <w:p w14:paraId="044980D5">
            <w:pPr>
              <w:spacing w:line="240" w:lineRule="auto"/>
              <w:ind w:firstLine="0" w:firstLineChars="0"/>
              <w:jc w:val="center"/>
              <w:rPr>
                <w:sz w:val="21"/>
                <w:szCs w:val="21"/>
              </w:rPr>
            </w:pPr>
          </w:p>
        </w:tc>
        <w:tc>
          <w:tcPr>
            <w:tcW w:w="2757" w:type="dxa"/>
            <w:gridSpan w:val="2"/>
            <w:vMerge w:val="continue"/>
            <w:vAlign w:val="center"/>
          </w:tcPr>
          <w:p w14:paraId="720790E9">
            <w:pPr>
              <w:spacing w:line="240" w:lineRule="auto"/>
              <w:ind w:firstLine="0" w:firstLineChars="0"/>
              <w:jc w:val="center"/>
              <w:rPr>
                <w:b/>
                <w:sz w:val="21"/>
                <w:szCs w:val="21"/>
              </w:rPr>
            </w:pPr>
          </w:p>
        </w:tc>
        <w:tc>
          <w:tcPr>
            <w:tcW w:w="2103" w:type="dxa"/>
            <w:vAlign w:val="center"/>
          </w:tcPr>
          <w:p w14:paraId="274F244C">
            <w:pPr>
              <w:spacing w:line="240" w:lineRule="auto"/>
              <w:ind w:firstLine="0" w:firstLineChars="0"/>
              <w:jc w:val="center"/>
              <w:rPr>
                <w:b/>
                <w:sz w:val="21"/>
                <w:szCs w:val="21"/>
              </w:rPr>
            </w:pPr>
            <w:r>
              <w:rPr>
                <w:b/>
                <w:sz w:val="21"/>
                <w:szCs w:val="21"/>
              </w:rPr>
              <w:t>昼间</w:t>
            </w:r>
          </w:p>
        </w:tc>
        <w:tc>
          <w:tcPr>
            <w:tcW w:w="2107" w:type="dxa"/>
            <w:vAlign w:val="center"/>
          </w:tcPr>
          <w:p w14:paraId="22302F6F">
            <w:pPr>
              <w:spacing w:line="240" w:lineRule="auto"/>
              <w:ind w:firstLine="0" w:firstLineChars="0"/>
              <w:jc w:val="center"/>
              <w:rPr>
                <w:b/>
                <w:sz w:val="21"/>
                <w:szCs w:val="21"/>
              </w:rPr>
            </w:pPr>
            <w:r>
              <w:rPr>
                <w:b/>
                <w:sz w:val="21"/>
                <w:szCs w:val="21"/>
              </w:rPr>
              <w:t>夜间</w:t>
            </w:r>
          </w:p>
        </w:tc>
      </w:tr>
      <w:tr w14:paraId="72AD8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448" w:type="dxa"/>
            <w:vMerge w:val="restart"/>
            <w:vAlign w:val="center"/>
          </w:tcPr>
          <w:p w14:paraId="3AF86A23">
            <w:pPr>
              <w:spacing w:line="240" w:lineRule="auto"/>
              <w:ind w:firstLine="0" w:firstLineChars="0"/>
              <w:jc w:val="center"/>
              <w:rPr>
                <w:sz w:val="21"/>
                <w:szCs w:val="21"/>
              </w:rPr>
            </w:pPr>
            <w:r>
              <w:rPr>
                <w:rFonts w:hint="eastAsia"/>
                <w:sz w:val="21"/>
                <w:szCs w:val="21"/>
              </w:rPr>
              <w:t>2024.3.4</w:t>
            </w:r>
          </w:p>
        </w:tc>
        <w:tc>
          <w:tcPr>
            <w:tcW w:w="1057" w:type="dxa"/>
            <w:vAlign w:val="center"/>
          </w:tcPr>
          <w:p w14:paraId="4CD39CCE">
            <w:pPr>
              <w:spacing w:line="240" w:lineRule="auto"/>
              <w:ind w:firstLine="0" w:firstLineChars="0"/>
              <w:jc w:val="center"/>
              <w:rPr>
                <w:sz w:val="21"/>
                <w:szCs w:val="21"/>
              </w:rPr>
            </w:pPr>
            <w:r>
              <w:rPr>
                <w:sz w:val="21"/>
                <w:szCs w:val="21"/>
              </w:rPr>
              <w:t>N1</w:t>
            </w:r>
          </w:p>
        </w:tc>
        <w:tc>
          <w:tcPr>
            <w:tcW w:w="1700" w:type="dxa"/>
            <w:vAlign w:val="center"/>
          </w:tcPr>
          <w:p w14:paraId="6D336ECA">
            <w:pPr>
              <w:spacing w:line="240" w:lineRule="auto"/>
              <w:ind w:firstLine="0" w:firstLineChars="0"/>
              <w:jc w:val="center"/>
              <w:rPr>
                <w:sz w:val="21"/>
                <w:szCs w:val="21"/>
              </w:rPr>
            </w:pPr>
            <w:r>
              <w:rPr>
                <w:rFonts w:hint="eastAsia"/>
                <w:sz w:val="21"/>
                <w:szCs w:val="21"/>
              </w:rPr>
              <w:t>厂</w:t>
            </w:r>
            <w:r>
              <w:rPr>
                <w:sz w:val="21"/>
                <w:szCs w:val="21"/>
              </w:rPr>
              <w:t>界东侧</w:t>
            </w:r>
          </w:p>
        </w:tc>
        <w:tc>
          <w:tcPr>
            <w:tcW w:w="2103" w:type="dxa"/>
            <w:vAlign w:val="center"/>
          </w:tcPr>
          <w:p w14:paraId="692E210F">
            <w:pPr>
              <w:spacing w:line="240" w:lineRule="auto"/>
              <w:ind w:firstLine="0" w:firstLineChars="0"/>
              <w:jc w:val="center"/>
              <w:rPr>
                <w:sz w:val="21"/>
                <w:szCs w:val="21"/>
              </w:rPr>
            </w:pPr>
            <w:r>
              <w:rPr>
                <w:rFonts w:hint="eastAsia"/>
                <w:sz w:val="21"/>
                <w:szCs w:val="21"/>
              </w:rPr>
              <w:t>56</w:t>
            </w:r>
          </w:p>
        </w:tc>
        <w:tc>
          <w:tcPr>
            <w:tcW w:w="2107" w:type="dxa"/>
            <w:vAlign w:val="center"/>
          </w:tcPr>
          <w:p w14:paraId="29B72906">
            <w:pPr>
              <w:spacing w:line="240" w:lineRule="auto"/>
              <w:ind w:firstLine="0" w:firstLineChars="0"/>
              <w:jc w:val="center"/>
              <w:rPr>
                <w:sz w:val="21"/>
                <w:szCs w:val="21"/>
              </w:rPr>
            </w:pPr>
            <w:r>
              <w:rPr>
                <w:rFonts w:hint="eastAsia"/>
                <w:sz w:val="21"/>
                <w:szCs w:val="21"/>
              </w:rPr>
              <w:t>45</w:t>
            </w:r>
          </w:p>
        </w:tc>
      </w:tr>
      <w:tr w14:paraId="42D24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448" w:type="dxa"/>
            <w:vMerge w:val="continue"/>
            <w:vAlign w:val="center"/>
          </w:tcPr>
          <w:p w14:paraId="6813BC75">
            <w:pPr>
              <w:spacing w:line="240" w:lineRule="auto"/>
              <w:ind w:firstLine="0" w:firstLineChars="0"/>
              <w:jc w:val="center"/>
              <w:rPr>
                <w:sz w:val="21"/>
                <w:szCs w:val="21"/>
              </w:rPr>
            </w:pPr>
          </w:p>
        </w:tc>
        <w:tc>
          <w:tcPr>
            <w:tcW w:w="1057" w:type="dxa"/>
            <w:vAlign w:val="center"/>
          </w:tcPr>
          <w:p w14:paraId="060317A5">
            <w:pPr>
              <w:spacing w:line="240" w:lineRule="auto"/>
              <w:ind w:firstLine="0" w:firstLineChars="0"/>
              <w:jc w:val="center"/>
              <w:rPr>
                <w:sz w:val="21"/>
                <w:szCs w:val="21"/>
              </w:rPr>
            </w:pPr>
            <w:r>
              <w:rPr>
                <w:sz w:val="21"/>
                <w:szCs w:val="21"/>
              </w:rPr>
              <w:t>N2</w:t>
            </w:r>
          </w:p>
        </w:tc>
        <w:tc>
          <w:tcPr>
            <w:tcW w:w="1700" w:type="dxa"/>
            <w:vAlign w:val="center"/>
          </w:tcPr>
          <w:p w14:paraId="3FAECDD0">
            <w:pPr>
              <w:spacing w:line="240" w:lineRule="auto"/>
              <w:ind w:firstLine="0" w:firstLineChars="0"/>
              <w:jc w:val="center"/>
              <w:rPr>
                <w:sz w:val="21"/>
                <w:szCs w:val="21"/>
              </w:rPr>
            </w:pPr>
            <w:r>
              <w:rPr>
                <w:rFonts w:hint="eastAsia"/>
                <w:sz w:val="21"/>
                <w:szCs w:val="21"/>
              </w:rPr>
              <w:t>厂</w:t>
            </w:r>
            <w:r>
              <w:rPr>
                <w:sz w:val="21"/>
                <w:szCs w:val="21"/>
              </w:rPr>
              <w:t>界</w:t>
            </w:r>
            <w:r>
              <w:rPr>
                <w:rFonts w:hint="eastAsia"/>
                <w:sz w:val="21"/>
                <w:szCs w:val="21"/>
              </w:rPr>
              <w:t>西</w:t>
            </w:r>
            <w:r>
              <w:rPr>
                <w:sz w:val="21"/>
                <w:szCs w:val="21"/>
              </w:rPr>
              <w:t>侧</w:t>
            </w:r>
          </w:p>
        </w:tc>
        <w:tc>
          <w:tcPr>
            <w:tcW w:w="2103" w:type="dxa"/>
            <w:vAlign w:val="center"/>
          </w:tcPr>
          <w:p w14:paraId="301A793C">
            <w:pPr>
              <w:spacing w:line="240" w:lineRule="auto"/>
              <w:ind w:firstLine="0" w:firstLineChars="0"/>
              <w:jc w:val="center"/>
              <w:rPr>
                <w:sz w:val="21"/>
                <w:szCs w:val="21"/>
              </w:rPr>
            </w:pPr>
            <w:r>
              <w:rPr>
                <w:rFonts w:hint="eastAsia"/>
                <w:sz w:val="21"/>
                <w:szCs w:val="21"/>
              </w:rPr>
              <w:t>57</w:t>
            </w:r>
          </w:p>
        </w:tc>
        <w:tc>
          <w:tcPr>
            <w:tcW w:w="2107" w:type="dxa"/>
            <w:vAlign w:val="center"/>
          </w:tcPr>
          <w:p w14:paraId="02A9B004">
            <w:pPr>
              <w:spacing w:line="240" w:lineRule="auto"/>
              <w:ind w:firstLine="0" w:firstLineChars="0"/>
              <w:jc w:val="center"/>
              <w:rPr>
                <w:sz w:val="21"/>
                <w:szCs w:val="21"/>
              </w:rPr>
            </w:pPr>
            <w:r>
              <w:rPr>
                <w:rFonts w:hint="eastAsia"/>
                <w:sz w:val="21"/>
                <w:szCs w:val="21"/>
              </w:rPr>
              <w:t>46</w:t>
            </w:r>
          </w:p>
        </w:tc>
      </w:tr>
      <w:tr w14:paraId="64E8E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448" w:type="dxa"/>
            <w:vMerge w:val="continue"/>
            <w:vAlign w:val="center"/>
          </w:tcPr>
          <w:p w14:paraId="068F8569">
            <w:pPr>
              <w:spacing w:line="240" w:lineRule="auto"/>
              <w:ind w:firstLine="0" w:firstLineChars="0"/>
              <w:jc w:val="center"/>
              <w:rPr>
                <w:sz w:val="21"/>
                <w:szCs w:val="21"/>
              </w:rPr>
            </w:pPr>
          </w:p>
        </w:tc>
        <w:tc>
          <w:tcPr>
            <w:tcW w:w="1057" w:type="dxa"/>
            <w:vAlign w:val="center"/>
          </w:tcPr>
          <w:p w14:paraId="18C58DA0">
            <w:pPr>
              <w:spacing w:line="240" w:lineRule="auto"/>
              <w:ind w:firstLine="0" w:firstLineChars="0"/>
              <w:jc w:val="center"/>
              <w:rPr>
                <w:sz w:val="21"/>
                <w:szCs w:val="21"/>
              </w:rPr>
            </w:pPr>
            <w:r>
              <w:rPr>
                <w:sz w:val="21"/>
                <w:szCs w:val="21"/>
              </w:rPr>
              <w:t>N3</w:t>
            </w:r>
          </w:p>
        </w:tc>
        <w:tc>
          <w:tcPr>
            <w:tcW w:w="1700" w:type="dxa"/>
            <w:vAlign w:val="center"/>
          </w:tcPr>
          <w:p w14:paraId="6DD6FC54">
            <w:pPr>
              <w:spacing w:line="240" w:lineRule="auto"/>
              <w:ind w:firstLine="0" w:firstLineChars="0"/>
              <w:jc w:val="center"/>
              <w:rPr>
                <w:sz w:val="21"/>
                <w:szCs w:val="21"/>
              </w:rPr>
            </w:pPr>
            <w:r>
              <w:rPr>
                <w:rFonts w:hint="eastAsia"/>
                <w:sz w:val="21"/>
                <w:szCs w:val="21"/>
              </w:rPr>
              <w:t>厂</w:t>
            </w:r>
            <w:r>
              <w:rPr>
                <w:sz w:val="21"/>
                <w:szCs w:val="21"/>
              </w:rPr>
              <w:t>界</w:t>
            </w:r>
            <w:r>
              <w:rPr>
                <w:rFonts w:hint="eastAsia"/>
                <w:sz w:val="21"/>
                <w:szCs w:val="21"/>
              </w:rPr>
              <w:t>南</w:t>
            </w:r>
            <w:r>
              <w:rPr>
                <w:sz w:val="21"/>
                <w:szCs w:val="21"/>
              </w:rPr>
              <w:t>侧</w:t>
            </w:r>
          </w:p>
        </w:tc>
        <w:tc>
          <w:tcPr>
            <w:tcW w:w="2103" w:type="dxa"/>
            <w:vAlign w:val="center"/>
          </w:tcPr>
          <w:p w14:paraId="6B9B0E1C">
            <w:pPr>
              <w:spacing w:line="240" w:lineRule="auto"/>
              <w:ind w:firstLine="0" w:firstLineChars="0"/>
              <w:jc w:val="center"/>
              <w:rPr>
                <w:sz w:val="21"/>
                <w:szCs w:val="21"/>
              </w:rPr>
            </w:pPr>
            <w:r>
              <w:rPr>
                <w:rFonts w:hint="eastAsia"/>
                <w:sz w:val="21"/>
                <w:szCs w:val="21"/>
              </w:rPr>
              <w:t>56</w:t>
            </w:r>
          </w:p>
        </w:tc>
        <w:tc>
          <w:tcPr>
            <w:tcW w:w="2107" w:type="dxa"/>
            <w:vAlign w:val="center"/>
          </w:tcPr>
          <w:p w14:paraId="36794215">
            <w:pPr>
              <w:spacing w:line="240" w:lineRule="auto"/>
              <w:ind w:firstLine="0" w:firstLineChars="0"/>
              <w:jc w:val="center"/>
              <w:rPr>
                <w:sz w:val="21"/>
                <w:szCs w:val="21"/>
              </w:rPr>
            </w:pPr>
            <w:r>
              <w:rPr>
                <w:rFonts w:hint="eastAsia"/>
                <w:sz w:val="21"/>
                <w:szCs w:val="21"/>
              </w:rPr>
              <w:t>47</w:t>
            </w:r>
          </w:p>
        </w:tc>
      </w:tr>
      <w:tr w14:paraId="07F04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448" w:type="dxa"/>
            <w:vMerge w:val="continue"/>
            <w:vAlign w:val="center"/>
          </w:tcPr>
          <w:p w14:paraId="02EA8FEA">
            <w:pPr>
              <w:spacing w:line="240" w:lineRule="auto"/>
              <w:ind w:firstLine="0" w:firstLineChars="0"/>
              <w:jc w:val="center"/>
              <w:rPr>
                <w:sz w:val="21"/>
                <w:szCs w:val="21"/>
              </w:rPr>
            </w:pPr>
          </w:p>
        </w:tc>
        <w:tc>
          <w:tcPr>
            <w:tcW w:w="1057" w:type="dxa"/>
            <w:vAlign w:val="center"/>
          </w:tcPr>
          <w:p w14:paraId="5605614E">
            <w:pPr>
              <w:spacing w:line="240" w:lineRule="auto"/>
              <w:ind w:firstLine="0" w:firstLineChars="0"/>
              <w:jc w:val="center"/>
              <w:rPr>
                <w:sz w:val="21"/>
                <w:szCs w:val="21"/>
              </w:rPr>
            </w:pPr>
            <w:r>
              <w:rPr>
                <w:sz w:val="21"/>
                <w:szCs w:val="21"/>
              </w:rPr>
              <w:t>N4</w:t>
            </w:r>
          </w:p>
        </w:tc>
        <w:tc>
          <w:tcPr>
            <w:tcW w:w="1700" w:type="dxa"/>
            <w:vAlign w:val="center"/>
          </w:tcPr>
          <w:p w14:paraId="2772BE56">
            <w:pPr>
              <w:spacing w:line="240" w:lineRule="auto"/>
              <w:ind w:firstLine="0" w:firstLineChars="0"/>
              <w:jc w:val="center"/>
              <w:rPr>
                <w:sz w:val="21"/>
                <w:szCs w:val="21"/>
              </w:rPr>
            </w:pPr>
            <w:r>
              <w:rPr>
                <w:rFonts w:hint="eastAsia"/>
                <w:sz w:val="21"/>
                <w:szCs w:val="21"/>
              </w:rPr>
              <w:t>厂</w:t>
            </w:r>
            <w:r>
              <w:rPr>
                <w:sz w:val="21"/>
                <w:szCs w:val="21"/>
              </w:rPr>
              <w:t>界北侧</w:t>
            </w:r>
          </w:p>
        </w:tc>
        <w:tc>
          <w:tcPr>
            <w:tcW w:w="2103" w:type="dxa"/>
            <w:vAlign w:val="center"/>
          </w:tcPr>
          <w:p w14:paraId="77FCAA47">
            <w:pPr>
              <w:spacing w:line="240" w:lineRule="auto"/>
              <w:ind w:firstLine="0" w:firstLineChars="0"/>
              <w:jc w:val="center"/>
              <w:rPr>
                <w:sz w:val="21"/>
                <w:szCs w:val="21"/>
              </w:rPr>
            </w:pPr>
            <w:r>
              <w:rPr>
                <w:rFonts w:hint="eastAsia"/>
                <w:sz w:val="21"/>
                <w:szCs w:val="21"/>
              </w:rPr>
              <w:t>57</w:t>
            </w:r>
          </w:p>
        </w:tc>
        <w:tc>
          <w:tcPr>
            <w:tcW w:w="2107" w:type="dxa"/>
            <w:vAlign w:val="center"/>
          </w:tcPr>
          <w:p w14:paraId="331D591C">
            <w:pPr>
              <w:spacing w:line="240" w:lineRule="auto"/>
              <w:ind w:firstLine="0" w:firstLineChars="0"/>
              <w:jc w:val="center"/>
              <w:rPr>
                <w:sz w:val="21"/>
                <w:szCs w:val="21"/>
              </w:rPr>
            </w:pPr>
            <w:r>
              <w:rPr>
                <w:rFonts w:hint="eastAsia"/>
                <w:sz w:val="21"/>
                <w:szCs w:val="21"/>
              </w:rPr>
              <w:t>46</w:t>
            </w:r>
          </w:p>
        </w:tc>
      </w:tr>
    </w:tbl>
    <w:p w14:paraId="1B0638FA">
      <w:pPr>
        <w:ind w:firstLine="480"/>
        <w:rPr>
          <w:rFonts w:cs="Times New Roman"/>
        </w:rPr>
      </w:pPr>
      <w:r>
        <w:rPr>
          <w:rFonts w:hint="eastAsia" w:cs="Times New Roman"/>
        </w:rPr>
        <w:t>由本项目例行监测报告中厂界噪声监测结果可知，项目厂界噪声满足《工业企业厂界环境噪声排放标准》（</w:t>
      </w:r>
      <w:r>
        <w:rPr>
          <w:rFonts w:cs="Times New Roman"/>
        </w:rPr>
        <w:t>GB12348-2008</w:t>
      </w:r>
      <w:r>
        <w:rPr>
          <w:rFonts w:hint="eastAsia" w:cs="Times New Roman"/>
        </w:rPr>
        <w:t>）中</w:t>
      </w:r>
      <w:r>
        <w:rPr>
          <w:rFonts w:cs="Times New Roman"/>
        </w:rPr>
        <w:t>2</w:t>
      </w:r>
      <w:r>
        <w:rPr>
          <w:rFonts w:hint="eastAsia" w:cs="Times New Roman"/>
        </w:rPr>
        <w:t>类区标准。</w:t>
      </w:r>
    </w:p>
    <w:p w14:paraId="58C48A63">
      <w:pPr>
        <w:ind w:firstLine="0" w:firstLineChars="0"/>
        <w:rPr>
          <w:rFonts w:cs="Times New Roman"/>
        </w:rPr>
      </w:pPr>
      <w:r>
        <w:rPr>
          <w:rFonts w:cs="Times New Roman"/>
        </w:rPr>
        <w:t>5</w:t>
      </w:r>
      <w:r>
        <w:rPr>
          <w:rFonts w:hint="eastAsia" w:cs="Times New Roman"/>
        </w:rPr>
        <w:t>.</w:t>
      </w:r>
      <w:r>
        <w:rPr>
          <w:rFonts w:cs="Times New Roman"/>
        </w:rPr>
        <w:t>5</w:t>
      </w:r>
      <w:r>
        <w:rPr>
          <w:rFonts w:hint="eastAsia" w:cs="Times New Roman"/>
        </w:rPr>
        <w:t>.</w:t>
      </w:r>
      <w:r>
        <w:rPr>
          <w:rFonts w:cs="Times New Roman"/>
        </w:rPr>
        <w:t xml:space="preserve">2.2 </w:t>
      </w:r>
      <w:r>
        <w:rPr>
          <w:rFonts w:hint="eastAsia" w:cs="Times New Roman"/>
        </w:rPr>
        <w:t>措施有效性分析</w:t>
      </w:r>
    </w:p>
    <w:p w14:paraId="06FDE151">
      <w:pPr>
        <w:ind w:firstLine="480"/>
        <w:rPr>
          <w:rFonts w:cs="Times New Roman"/>
        </w:rPr>
      </w:pPr>
      <w:r>
        <w:rPr>
          <w:rFonts w:hint="eastAsia" w:cs="Times New Roman"/>
        </w:rPr>
        <w:t>正常生产期间，选矿厂的厂界噪声能够满足噪声排放标准要求，说明采取的噪声污染防治措施是有效的。</w:t>
      </w:r>
    </w:p>
    <w:p w14:paraId="5313BDB9">
      <w:pPr>
        <w:pStyle w:val="3"/>
      </w:pPr>
      <w:bookmarkStart w:id="49" w:name="_Toc85213511"/>
      <w:r>
        <w:t>5</w:t>
      </w:r>
      <w:r>
        <w:rPr>
          <w:rFonts w:hint="eastAsia"/>
        </w:rPr>
        <w:t>.</w:t>
      </w:r>
      <w:r>
        <w:t xml:space="preserve">6 </w:t>
      </w:r>
      <w:r>
        <w:rPr>
          <w:rFonts w:hint="eastAsia"/>
        </w:rPr>
        <w:t>固体废物污染防治措施有效性评价</w:t>
      </w:r>
      <w:bookmarkEnd w:id="49"/>
    </w:p>
    <w:p w14:paraId="3762335B">
      <w:pPr>
        <w:pStyle w:val="4"/>
      </w:pPr>
      <w:r>
        <w:t>5</w:t>
      </w:r>
      <w:r>
        <w:rPr>
          <w:rFonts w:hint="eastAsia"/>
        </w:rPr>
        <w:t>.</w:t>
      </w:r>
      <w:r>
        <w:t>6</w:t>
      </w:r>
      <w:r>
        <w:rPr>
          <w:rFonts w:hint="eastAsia"/>
        </w:rPr>
        <w:t>.1</w:t>
      </w:r>
      <w:r>
        <w:t xml:space="preserve"> </w:t>
      </w:r>
      <w:r>
        <w:rPr>
          <w:rFonts w:hint="eastAsia"/>
        </w:rPr>
        <w:t>已采取的固体废物处置措施</w:t>
      </w:r>
    </w:p>
    <w:p w14:paraId="4E9BBC3D">
      <w:pPr>
        <w:ind w:firstLine="480"/>
        <w:rPr>
          <w:rFonts w:cs="Times New Roman"/>
        </w:rPr>
      </w:pPr>
      <w:r>
        <w:rPr>
          <w:rFonts w:cs="Times New Roman"/>
        </w:rPr>
        <w:t>（1）废石</w:t>
      </w:r>
    </w:p>
    <w:p w14:paraId="23EA347E">
      <w:pPr>
        <w:ind w:firstLine="480"/>
        <w:rPr>
          <w:rFonts w:cs="Times New Roman"/>
        </w:rPr>
      </w:pPr>
      <w:r>
        <w:rPr>
          <w:rFonts w:cs="Times New Roman"/>
        </w:rPr>
        <w:t>项目采掘废石和干选废石全部外售给建材企业供综合利用。废石的处置是有效的。</w:t>
      </w:r>
    </w:p>
    <w:p w14:paraId="6AEC9C2A">
      <w:pPr>
        <w:ind w:firstLine="480"/>
        <w:rPr>
          <w:rFonts w:cs="Times New Roman"/>
        </w:rPr>
      </w:pPr>
      <w:r>
        <w:rPr>
          <w:rFonts w:cs="Times New Roman"/>
        </w:rPr>
        <w:t>（2）尾矿</w:t>
      </w:r>
    </w:p>
    <w:p w14:paraId="122FE1A9">
      <w:pPr>
        <w:ind w:firstLine="480"/>
        <w:rPr>
          <w:rFonts w:cs="Times New Roman"/>
        </w:rPr>
      </w:pPr>
      <w:r>
        <w:rPr>
          <w:rFonts w:cs="Times New Roman"/>
        </w:rPr>
        <w:t>项目产生的尾砂经浓密机浓缩后用于井下充填，剩余小部分尾砂排放到尾矿库。正常生产中定期检查维护尾矿坝、排洪设施、回水设施等，制定了定期巡视，  目前尾矿库运行正常，尾矿的处置方式是可行有效的。</w:t>
      </w:r>
    </w:p>
    <w:p w14:paraId="51F0C12C">
      <w:pPr>
        <w:ind w:firstLine="480"/>
        <w:rPr>
          <w:rFonts w:cs="Times New Roman"/>
        </w:rPr>
      </w:pPr>
      <w:r>
        <w:rPr>
          <w:rFonts w:cs="Times New Roman"/>
        </w:rPr>
        <w:t>（3）废矿物油</w:t>
      </w:r>
    </w:p>
    <w:p w14:paraId="1C2F9858">
      <w:pPr>
        <w:ind w:firstLine="480"/>
        <w:rPr>
          <w:rFonts w:cs="Times New Roman"/>
        </w:rPr>
      </w:pPr>
      <w:r>
        <w:rPr>
          <w:rFonts w:cs="Times New Roman"/>
        </w:rPr>
        <w:t>根据《国家危险废物名录》，废矿物油属于危险废物，废物类别为 HW08 废矿物油与含矿物油废物，废物代码为 900-209-08、900-217-08。废矿物油暂存于危废库内，定期交由有资质单位处理。与危险处置单位安徽中久润滑油有限公司签订了处置协议，废矿物油的处置方式是可行有效的。</w:t>
      </w:r>
    </w:p>
    <w:p w14:paraId="68F415E6">
      <w:pPr>
        <w:ind w:firstLine="480"/>
        <w:rPr>
          <w:rFonts w:cs="Times New Roman"/>
        </w:rPr>
      </w:pPr>
      <w:r>
        <w:rPr>
          <w:rFonts w:cs="Times New Roman"/>
        </w:rPr>
        <w:t>（4）废包装桶</w:t>
      </w:r>
    </w:p>
    <w:p w14:paraId="76F8FFA7">
      <w:pPr>
        <w:ind w:firstLine="480"/>
        <w:rPr>
          <w:rFonts w:cs="Times New Roman"/>
        </w:rPr>
      </w:pPr>
      <w:r>
        <w:rPr>
          <w:rFonts w:cs="Times New Roman"/>
        </w:rPr>
        <w:t>包括废油桶、废填料剂桶等。根据《国家危险废物名录》 ，其属于危险废物， 废物类别为 HW49 其他废物，废物代码为 900-041-49。废包装桶暂存于危废库内，后交由有资质单位进行处理。与危险处置单位安徽嘉朋特环保科技服务有限公司签订了处置协议，废包装桶的处置方式是可行有效的。</w:t>
      </w:r>
    </w:p>
    <w:p w14:paraId="4974A779">
      <w:pPr>
        <w:ind w:firstLine="480"/>
        <w:rPr>
          <w:rFonts w:cs="Times New Roman"/>
        </w:rPr>
      </w:pPr>
      <w:r>
        <w:rPr>
          <w:rFonts w:cs="Times New Roman"/>
        </w:rPr>
        <w:t>（5）废化学试剂</w:t>
      </w:r>
    </w:p>
    <w:p w14:paraId="1B49A5E6">
      <w:pPr>
        <w:ind w:firstLine="480"/>
        <w:rPr>
          <w:rFonts w:cs="Times New Roman"/>
        </w:rPr>
      </w:pPr>
      <w:r>
        <w:rPr>
          <w:rFonts w:cs="Times New Roman"/>
        </w:rPr>
        <w:t>根据《国家危险废物名录》，其属于危险废物，废物类别为 HW49 其他废物，废物代码为 900-047-49，废化学试剂暂存于危废暂存库内。</w:t>
      </w:r>
    </w:p>
    <w:p w14:paraId="736E3355">
      <w:pPr>
        <w:ind w:firstLine="480"/>
        <w:rPr>
          <w:rFonts w:cs="Times New Roman"/>
        </w:rPr>
      </w:pPr>
      <w:r>
        <w:rPr>
          <w:rFonts w:cs="Times New Roman"/>
        </w:rPr>
        <w:t>（6）废化学试剂瓶</w:t>
      </w:r>
    </w:p>
    <w:p w14:paraId="0228122A">
      <w:pPr>
        <w:ind w:firstLine="480"/>
        <w:rPr>
          <w:rFonts w:cs="Times New Roman"/>
        </w:rPr>
      </w:pPr>
      <w:r>
        <w:rPr>
          <w:rFonts w:cs="Times New Roman"/>
        </w:rPr>
        <w:t>根据《国家危险废物名录》，其属于危险废物，废物类别为 HW49 其他废物，废物代码为 900-041-49，废化学试剂瓶暂存于危废暂存库内。</w:t>
      </w:r>
    </w:p>
    <w:p w14:paraId="564D78D9">
      <w:pPr>
        <w:ind w:firstLine="480"/>
        <w:rPr>
          <w:rFonts w:cs="Times New Roman"/>
        </w:rPr>
      </w:pPr>
      <w:r>
        <w:rPr>
          <w:rFonts w:cs="Times New Roman"/>
        </w:rPr>
        <w:t>（5）生活垃圾</w:t>
      </w:r>
    </w:p>
    <w:p w14:paraId="75220163">
      <w:pPr>
        <w:ind w:firstLine="480"/>
        <w:rPr>
          <w:rFonts w:cs="Times New Roman"/>
        </w:rPr>
      </w:pPr>
      <w:r>
        <w:rPr>
          <w:rFonts w:cs="Times New Roman"/>
        </w:rPr>
        <w:t>本项目产生的生活垃圾收集后定期运至当地环卫部门指定的生活垃圾处理厂处置。处理处置方式是可行有效的，未出现乱堆置生活垃圾。</w:t>
      </w:r>
    </w:p>
    <w:p w14:paraId="53E229D1">
      <w:pPr>
        <w:ind w:firstLine="480"/>
        <w:rPr>
          <w:rFonts w:cs="Times New Roman"/>
        </w:rPr>
      </w:pPr>
      <w:r>
        <w:rPr>
          <w:rFonts w:cs="Times New Roman"/>
        </w:rPr>
        <w:t>综上所述，项目产生的固体废物均得到了有效的处理处置，处置措施有效</w:t>
      </w:r>
      <w:r>
        <w:rPr>
          <w:rFonts w:hint="eastAsia" w:cs="Times New Roman"/>
        </w:rPr>
        <w:t>，，不外排。</w:t>
      </w:r>
      <w:r>
        <w:rPr>
          <w:rFonts w:cs="Times New Roman"/>
        </w:rPr>
        <w:t xml:space="preserve"> </w:t>
      </w:r>
    </w:p>
    <w:p w14:paraId="7840DDA0">
      <w:pPr>
        <w:pStyle w:val="3"/>
        <w:rPr>
          <w:color w:val="FF0000"/>
        </w:rPr>
      </w:pPr>
      <w:bookmarkStart w:id="50" w:name="_Toc85213512"/>
      <w:r>
        <w:rPr>
          <w:color w:val="FF0000"/>
        </w:rPr>
        <w:t>5</w:t>
      </w:r>
      <w:r>
        <w:rPr>
          <w:rFonts w:hint="eastAsia"/>
          <w:color w:val="FF0000"/>
        </w:rPr>
        <w:t>.</w:t>
      </w:r>
      <w:r>
        <w:rPr>
          <w:color w:val="FF0000"/>
        </w:rPr>
        <w:t xml:space="preserve">7 </w:t>
      </w:r>
      <w:r>
        <w:rPr>
          <w:rFonts w:hint="eastAsia"/>
          <w:color w:val="FF0000"/>
        </w:rPr>
        <w:t>环境风险防范措施有效性评估</w:t>
      </w:r>
      <w:bookmarkEnd w:id="50"/>
    </w:p>
    <w:p w14:paraId="6B832DBF">
      <w:pPr>
        <w:pStyle w:val="4"/>
        <w:rPr>
          <w:color w:val="FF0000"/>
        </w:rPr>
      </w:pPr>
      <w:r>
        <w:rPr>
          <w:color w:val="FF0000"/>
        </w:rPr>
        <w:t>5</w:t>
      </w:r>
      <w:r>
        <w:rPr>
          <w:rFonts w:hint="eastAsia"/>
          <w:color w:val="FF0000"/>
        </w:rPr>
        <w:t>.</w:t>
      </w:r>
      <w:r>
        <w:rPr>
          <w:color w:val="FF0000"/>
        </w:rPr>
        <w:t>7</w:t>
      </w:r>
      <w:r>
        <w:rPr>
          <w:rFonts w:hint="eastAsia"/>
          <w:color w:val="FF0000"/>
        </w:rPr>
        <w:t>.1</w:t>
      </w:r>
      <w:r>
        <w:rPr>
          <w:color w:val="FF0000"/>
        </w:rPr>
        <w:t xml:space="preserve"> </w:t>
      </w:r>
      <w:r>
        <w:rPr>
          <w:rFonts w:hint="eastAsia"/>
          <w:color w:val="FF0000"/>
        </w:rPr>
        <w:t>环境风险防范措施</w:t>
      </w:r>
    </w:p>
    <w:p w14:paraId="227EE483">
      <w:pPr>
        <w:ind w:firstLine="0" w:firstLineChars="0"/>
        <w:rPr>
          <w:rFonts w:cs="Times New Roman"/>
          <w:color w:val="FF0000"/>
        </w:rPr>
      </w:pPr>
      <w:r>
        <w:rPr>
          <w:rFonts w:cs="Times New Roman"/>
          <w:color w:val="FF0000"/>
        </w:rPr>
        <w:t>5</w:t>
      </w:r>
      <w:r>
        <w:rPr>
          <w:rFonts w:hint="eastAsia" w:cs="Times New Roman"/>
          <w:color w:val="FF0000"/>
        </w:rPr>
        <w:t>.</w:t>
      </w:r>
      <w:r>
        <w:rPr>
          <w:rFonts w:cs="Times New Roman"/>
          <w:color w:val="FF0000"/>
        </w:rPr>
        <w:t>7</w:t>
      </w:r>
      <w:r>
        <w:rPr>
          <w:rFonts w:hint="eastAsia" w:cs="Times New Roman"/>
          <w:color w:val="FF0000"/>
        </w:rPr>
        <w:t>.</w:t>
      </w:r>
      <w:r>
        <w:rPr>
          <w:rFonts w:cs="Times New Roman"/>
          <w:color w:val="FF0000"/>
        </w:rPr>
        <w:t xml:space="preserve">1.1 </w:t>
      </w:r>
      <w:r>
        <w:rPr>
          <w:rFonts w:hint="eastAsia" w:cs="Times New Roman"/>
          <w:color w:val="FF0000"/>
        </w:rPr>
        <w:t>尾矿库风险防范措施</w:t>
      </w:r>
    </w:p>
    <w:p w14:paraId="79112D42">
      <w:pPr>
        <w:ind w:firstLine="480"/>
        <w:rPr>
          <w:rFonts w:cs="Times New Roman"/>
        </w:rPr>
      </w:pPr>
      <w:r>
        <w:rPr>
          <w:rFonts w:hint="eastAsia" w:cs="Times New Roman"/>
          <w:color w:val="FF0000"/>
        </w:rPr>
        <w:t>（1）日常做好尾矿库突发环境事件的预防和环境污染事故隐患的排查工作，加强尾矿库的巡检次数，建立事故隐患排查档案。加强尾矿库值班人员管理，严肃劳动纪律，落实岗位责任，做好交接班和值班记录。值班室要配置有线电话、无线电话两套通讯设施，遇紧急情况有线电话中断时，确保可随时启用无线电话</w:t>
      </w:r>
      <w:r>
        <w:rPr>
          <w:rFonts w:hint="eastAsia" w:cs="Times New Roman"/>
        </w:rPr>
        <w:t>通讯。</w:t>
      </w:r>
    </w:p>
    <w:p w14:paraId="23023B9C">
      <w:pPr>
        <w:ind w:firstLine="480"/>
        <w:rPr>
          <w:rFonts w:cs="Times New Roman"/>
        </w:rPr>
      </w:pPr>
      <w:r>
        <w:rPr>
          <w:rFonts w:hint="eastAsia" w:cs="Times New Roman"/>
        </w:rPr>
        <w:t>（2）丰水期密切关注气象变化，加强对汛期监控，做好各项应急准备工作；汛期前对生产设施进行全面检查，加强尾矿库的风险排查，消除事故隐患；汛期安排至少2名工人24 小时巡查尾矿库，检查排洪、排水设施有无淤堵、坍塌、结构变形，检查排渗设施是否运行正常；同时与气象部门保持经常联系，及时掌握气象信息。事故可能发生时，通过预先确定的报警方法及早采取措施。</w:t>
      </w:r>
    </w:p>
    <w:p w14:paraId="40086E12">
      <w:pPr>
        <w:ind w:firstLine="0" w:firstLineChars="0"/>
        <w:rPr>
          <w:rFonts w:cs="Times New Roman"/>
        </w:rPr>
      </w:pPr>
      <w:r>
        <w:rPr>
          <w:rFonts w:cs="Times New Roman"/>
        </w:rPr>
        <w:t>5</w:t>
      </w:r>
      <w:r>
        <w:rPr>
          <w:rFonts w:hint="eastAsia" w:cs="Times New Roman"/>
        </w:rPr>
        <w:t>.</w:t>
      </w:r>
      <w:r>
        <w:rPr>
          <w:rFonts w:cs="Times New Roman"/>
        </w:rPr>
        <w:t>7</w:t>
      </w:r>
      <w:r>
        <w:rPr>
          <w:rFonts w:hint="eastAsia" w:cs="Times New Roman"/>
        </w:rPr>
        <w:t>.</w:t>
      </w:r>
      <w:r>
        <w:rPr>
          <w:rFonts w:cs="Times New Roman"/>
        </w:rPr>
        <w:t xml:space="preserve">1.2 </w:t>
      </w:r>
      <w:r>
        <w:rPr>
          <w:rFonts w:hint="eastAsia" w:cs="Times New Roman"/>
        </w:rPr>
        <w:t>火灾、爆炸事故防范措施</w:t>
      </w:r>
    </w:p>
    <w:p w14:paraId="1E736F33">
      <w:pPr>
        <w:ind w:firstLine="480"/>
        <w:rPr>
          <w:rFonts w:cs="Times New Roman"/>
        </w:rPr>
      </w:pPr>
      <w:r>
        <w:rPr>
          <w:rFonts w:cs="Times New Roman"/>
        </w:rPr>
        <w:t>（1）加强油库、火药库人员安全教育训练。</w:t>
      </w:r>
    </w:p>
    <w:p w14:paraId="4D7DB604">
      <w:pPr>
        <w:ind w:firstLine="480"/>
        <w:rPr>
          <w:rFonts w:cs="Times New Roman"/>
        </w:rPr>
      </w:pPr>
      <w:r>
        <w:rPr>
          <w:rFonts w:cs="Times New Roman"/>
        </w:rPr>
        <w:t>（2）对油库和火药库的要害部位和重要岗位实行 24 小时值班制度和建立消 防安全检查制度，实行“日常性检查、季节检查、节假日检查、专业性检查”，时 刻保持高度戒备。</w:t>
      </w:r>
    </w:p>
    <w:p w14:paraId="6ABCA406">
      <w:pPr>
        <w:ind w:firstLine="480"/>
        <w:rPr>
          <w:rFonts w:cs="Times New Roman"/>
        </w:rPr>
      </w:pPr>
      <w:r>
        <w:rPr>
          <w:rFonts w:cs="Times New Roman"/>
        </w:rPr>
        <w:t>（3）严禁携带易爆易燃物品入库，严禁在油库吸烟和使用明火。严禁穿铁钉鞋和易产生静电的化纤服装进入库区，库区周围不要堆放柴草及其它易燃物 品。</w:t>
      </w:r>
    </w:p>
    <w:p w14:paraId="61ED5B96">
      <w:pPr>
        <w:ind w:firstLine="480"/>
        <w:rPr>
          <w:rFonts w:cs="Times New Roman"/>
        </w:rPr>
      </w:pPr>
      <w:r>
        <w:rPr>
          <w:rFonts w:cs="Times New Roman"/>
        </w:rPr>
        <w:t>（4）油库及火药库相关位置必须配有灭火器、消防沙箱等消防设备，工作 人员必须熟练掌握这些设备的使用方法，不准随意挪动消防设备的位置。</w:t>
      </w:r>
    </w:p>
    <w:p w14:paraId="69DF686D">
      <w:pPr>
        <w:ind w:firstLine="480"/>
        <w:rPr>
          <w:rFonts w:cs="Times New Roman"/>
        </w:rPr>
      </w:pPr>
      <w:r>
        <w:rPr>
          <w:rFonts w:cs="Times New Roman"/>
        </w:rPr>
        <w:t>（5）库区内应配备感烟报警器、温度报警器等监测监控设备，对库区环境 时刻进行监控。</w:t>
      </w:r>
    </w:p>
    <w:p w14:paraId="52F7952B">
      <w:pPr>
        <w:ind w:firstLine="480"/>
        <w:rPr>
          <w:rFonts w:cs="Times New Roman"/>
        </w:rPr>
      </w:pPr>
      <w:r>
        <w:rPr>
          <w:rFonts w:cs="Times New Roman"/>
        </w:rPr>
        <w:t>5</w:t>
      </w:r>
      <w:r>
        <w:rPr>
          <w:rFonts w:hint="eastAsia" w:cs="Times New Roman"/>
        </w:rPr>
        <w:t>.</w:t>
      </w:r>
      <w:r>
        <w:rPr>
          <w:rFonts w:cs="Times New Roman"/>
        </w:rPr>
        <w:t>7</w:t>
      </w:r>
      <w:r>
        <w:rPr>
          <w:rFonts w:hint="eastAsia" w:cs="Times New Roman"/>
        </w:rPr>
        <w:t>.</w:t>
      </w:r>
      <w:r>
        <w:rPr>
          <w:rFonts w:cs="Times New Roman"/>
        </w:rPr>
        <w:t>1.3 尾矿输送风险防范措施</w:t>
      </w:r>
    </w:p>
    <w:p w14:paraId="7F227EE4">
      <w:pPr>
        <w:ind w:firstLine="480"/>
        <w:rPr>
          <w:rFonts w:cs="Times New Roman"/>
        </w:rPr>
      </w:pPr>
      <w:r>
        <w:rPr>
          <w:rFonts w:cs="Times New Roman"/>
        </w:rPr>
        <w:t>（1）设立事故池</w:t>
      </w:r>
    </w:p>
    <w:p w14:paraId="696ADCB9">
      <w:pPr>
        <w:ind w:firstLine="480"/>
        <w:rPr>
          <w:rFonts w:cs="Times New Roman"/>
        </w:rPr>
      </w:pPr>
      <w:r>
        <w:rPr>
          <w:rFonts w:cs="Times New Roman"/>
        </w:rPr>
        <w:t>尾矿库距离选厂较近，尾矿管线破裂排放到周围环境中的尾砂不会很多，选厂内设事故池，池内设排污泵 2 台，将事故池收集的尾矿浆送至尾矿池。输送管线事 故池用于收集输送管线事故放矿及放空，人工不定期清理。</w:t>
      </w:r>
    </w:p>
    <w:p w14:paraId="43A294A0">
      <w:pPr>
        <w:ind w:firstLine="480"/>
        <w:rPr>
          <w:rFonts w:cs="Times New Roman"/>
        </w:rPr>
      </w:pPr>
      <w:r>
        <w:rPr>
          <w:rFonts w:cs="Times New Roman"/>
        </w:rPr>
        <w:t>（2）加强管理</w:t>
      </w:r>
    </w:p>
    <w:p w14:paraId="2878E20D">
      <w:pPr>
        <w:ind w:firstLine="480"/>
        <w:rPr>
          <w:rFonts w:cs="Times New Roman"/>
        </w:rPr>
      </w:pPr>
      <w:r>
        <w:rPr>
          <w:rFonts w:cs="Times New Roman"/>
        </w:rPr>
        <w:t>定期检查维护，过渡磨损的管道要及时进行更换，防止尾砂泄漏。制定巡视制度，生产期间对尾矿管线进行定期巡视，发现问题，及时汇报，及时解决。</w:t>
      </w:r>
    </w:p>
    <w:p w14:paraId="4084CF2F">
      <w:pPr>
        <w:ind w:firstLine="480"/>
        <w:rPr>
          <w:rFonts w:cs="Times New Roman"/>
        </w:rPr>
      </w:pPr>
      <w:r>
        <w:rPr>
          <w:rFonts w:cs="Times New Roman"/>
        </w:rPr>
        <w:t>5</w:t>
      </w:r>
      <w:r>
        <w:rPr>
          <w:rFonts w:hint="eastAsia" w:cs="Times New Roman"/>
        </w:rPr>
        <w:t>.</w:t>
      </w:r>
      <w:r>
        <w:rPr>
          <w:rFonts w:cs="Times New Roman"/>
        </w:rPr>
        <w:t>7</w:t>
      </w:r>
      <w:r>
        <w:rPr>
          <w:rFonts w:hint="eastAsia" w:cs="Times New Roman"/>
        </w:rPr>
        <w:t>.</w:t>
      </w:r>
      <w:r>
        <w:rPr>
          <w:rFonts w:cs="Times New Roman"/>
        </w:rPr>
        <w:t>1.</w:t>
      </w:r>
      <w:r>
        <w:rPr>
          <w:rFonts w:hint="eastAsia" w:cs="Times New Roman"/>
        </w:rPr>
        <w:t>4</w:t>
      </w:r>
      <w:r>
        <w:rPr>
          <w:rFonts w:cs="Times New Roman"/>
        </w:rPr>
        <w:t xml:space="preserve"> </w:t>
      </w:r>
      <w:r>
        <w:rPr>
          <w:rFonts w:hint="eastAsia" w:cs="Times New Roman"/>
        </w:rPr>
        <w:t>环境风险应急管理</w:t>
      </w:r>
    </w:p>
    <w:p w14:paraId="420D1C56">
      <w:pPr>
        <w:ind w:firstLine="480"/>
        <w:rPr>
          <w:szCs w:val="24"/>
        </w:rPr>
      </w:pPr>
      <w:r>
        <w:rPr>
          <w:rFonts w:hint="eastAsia" w:cs="Times New Roman"/>
        </w:rPr>
        <w:t>建设单位编制了环境风险应急预案，并及时进行</w:t>
      </w:r>
      <w:r>
        <w:rPr>
          <w:rFonts w:hint="eastAsia"/>
          <w:szCs w:val="24"/>
        </w:rPr>
        <w:t>了更新和评审，建立并完善应急组织体系与组织机构，明确应急组织机构各成员的职责。常备应急物质，定期进行应急演练。成立突发环境事件应急指挥部（以下简称“指挥部”），全面负责环境污染事故预防和应急各项工作，负责组织协调指挥部的日常工作。组织编制尾矿库突发环境事件应急预案，督查尾矿库突发环境事件的处理工作，负责组织督促应急预案的培训和演练。</w:t>
      </w:r>
    </w:p>
    <w:p w14:paraId="0C04D60E">
      <w:pPr>
        <w:pStyle w:val="4"/>
      </w:pPr>
      <w:r>
        <w:t>5</w:t>
      </w:r>
      <w:r>
        <w:rPr>
          <w:rFonts w:hint="eastAsia"/>
        </w:rPr>
        <w:t>.</w:t>
      </w:r>
      <w:r>
        <w:t>7</w:t>
      </w:r>
      <w:r>
        <w:rPr>
          <w:rFonts w:hint="eastAsia"/>
        </w:rPr>
        <w:t>.</w:t>
      </w:r>
      <w:r>
        <w:t>2</w:t>
      </w:r>
      <w:r>
        <w:rPr>
          <w:rFonts w:hint="eastAsia"/>
        </w:rPr>
        <w:t>有效性评价</w:t>
      </w:r>
    </w:p>
    <w:p w14:paraId="30947D27">
      <w:pPr>
        <w:ind w:firstLine="0" w:firstLineChars="0"/>
        <w:rPr>
          <w:rFonts w:cs="Times New Roman"/>
        </w:rPr>
      </w:pPr>
      <w:r>
        <w:rPr>
          <w:rFonts w:cs="Times New Roman"/>
        </w:rPr>
        <w:t>5</w:t>
      </w:r>
      <w:r>
        <w:rPr>
          <w:rFonts w:hint="eastAsia" w:cs="Times New Roman"/>
        </w:rPr>
        <w:t>.</w:t>
      </w:r>
      <w:r>
        <w:rPr>
          <w:rFonts w:cs="Times New Roman"/>
        </w:rPr>
        <w:t>7</w:t>
      </w:r>
      <w:r>
        <w:rPr>
          <w:rFonts w:hint="eastAsia" w:cs="Times New Roman"/>
        </w:rPr>
        <w:t>.</w:t>
      </w:r>
      <w:r>
        <w:rPr>
          <w:rFonts w:cs="Times New Roman"/>
        </w:rPr>
        <w:t xml:space="preserve">2.1 </w:t>
      </w:r>
      <w:r>
        <w:rPr>
          <w:rFonts w:hint="eastAsia" w:cs="Times New Roman"/>
        </w:rPr>
        <w:t>编制应急预案</w:t>
      </w:r>
    </w:p>
    <w:p w14:paraId="1D49C261">
      <w:pPr>
        <w:ind w:firstLine="480"/>
        <w:rPr>
          <w:szCs w:val="24"/>
        </w:rPr>
      </w:pPr>
      <w:r>
        <w:rPr>
          <w:szCs w:val="24"/>
        </w:rPr>
        <w:t>安徽金安矿业有限公司于 20</w:t>
      </w:r>
      <w:r>
        <w:rPr>
          <w:rFonts w:hint="eastAsia"/>
          <w:szCs w:val="24"/>
        </w:rPr>
        <w:t>23</w:t>
      </w:r>
      <w:r>
        <w:rPr>
          <w:szCs w:val="24"/>
        </w:rPr>
        <w:t xml:space="preserve"> 年 </w:t>
      </w:r>
      <w:r>
        <w:rPr>
          <w:rFonts w:hint="eastAsia"/>
          <w:szCs w:val="24"/>
        </w:rPr>
        <w:t>7</w:t>
      </w:r>
      <w:r>
        <w:rPr>
          <w:szCs w:val="24"/>
        </w:rPr>
        <w:t xml:space="preserve"> 月 </w:t>
      </w:r>
      <w:r>
        <w:rPr>
          <w:rFonts w:hint="eastAsia"/>
          <w:szCs w:val="24"/>
        </w:rPr>
        <w:t>4</w:t>
      </w:r>
      <w:r>
        <w:rPr>
          <w:szCs w:val="24"/>
        </w:rPr>
        <w:t xml:space="preserve"> 日签署发布了《安徽金安矿业有限公 司突发环境事件应急预案》，并在六安市霍邱县生态环境分局备案。</w:t>
      </w:r>
    </w:p>
    <w:p w14:paraId="2F800302">
      <w:pPr>
        <w:ind w:firstLine="480"/>
        <w:rPr>
          <w:szCs w:val="24"/>
        </w:rPr>
      </w:pPr>
      <w:r>
        <w:rPr>
          <w:szCs w:val="24"/>
        </w:rPr>
        <w:t>根据突发环境事件应急预案管理要求，公司于 202</w:t>
      </w:r>
      <w:r>
        <w:rPr>
          <w:rFonts w:hint="eastAsia"/>
          <w:szCs w:val="24"/>
        </w:rPr>
        <w:t>3</w:t>
      </w:r>
      <w:r>
        <w:rPr>
          <w:szCs w:val="24"/>
        </w:rPr>
        <w:t xml:space="preserve"> 年对应急预案进行了修订更新，202</w:t>
      </w:r>
      <w:r>
        <w:rPr>
          <w:rFonts w:hint="eastAsia"/>
          <w:szCs w:val="24"/>
        </w:rPr>
        <w:t>3</w:t>
      </w:r>
      <w:r>
        <w:rPr>
          <w:szCs w:val="24"/>
        </w:rPr>
        <w:t xml:space="preserve"> 年 7 月</w:t>
      </w:r>
      <w:r>
        <w:rPr>
          <w:rFonts w:hint="eastAsia"/>
          <w:szCs w:val="24"/>
        </w:rPr>
        <w:t>4</w:t>
      </w:r>
      <w:r>
        <w:rPr>
          <w:szCs w:val="24"/>
        </w:rPr>
        <w:t xml:space="preserve"> 日签署发布了《安徽金安矿业有限公司突发环境事件应急预案》， 并在六安市霍邱县生态环境分局备案</w:t>
      </w:r>
      <w:r>
        <w:rPr>
          <w:rFonts w:hint="eastAsia"/>
          <w:szCs w:val="24"/>
        </w:rPr>
        <w:t>（备案编号为341522-2023-056-L）</w:t>
      </w:r>
      <w:r>
        <w:rPr>
          <w:szCs w:val="24"/>
        </w:rPr>
        <w:t>。</w:t>
      </w:r>
    </w:p>
    <w:p w14:paraId="4B91FF22">
      <w:pPr>
        <w:ind w:firstLine="480"/>
        <w:rPr>
          <w:szCs w:val="24"/>
        </w:rPr>
      </w:pPr>
      <w:r>
        <w:rPr>
          <w:szCs w:val="24"/>
        </w:rPr>
        <w:t>安徽金安矿业有限公司成立突发环境事件应急救援指挥部和应急救援小组，应急救援指挥部办公室设在公司安全环保部。尾矿库应急组织机构包括所有尾矿库工作人员，此外还依托于公司的应急组织机构。应急救援指挥部设立通讯联络组、抢险救援组、医疗救护组、应急消防组、治安组、物资供应组、技术专家组、应急环境监测组。</w:t>
      </w:r>
    </w:p>
    <w:p w14:paraId="04E2C737">
      <w:pPr>
        <w:ind w:firstLine="480"/>
        <w:rPr>
          <w:szCs w:val="24"/>
        </w:rPr>
      </w:pPr>
      <w:r>
        <w:rPr>
          <w:rFonts w:hint="eastAsia"/>
          <w:szCs w:val="24"/>
        </w:rPr>
        <w:t>应急预案的编制符合相关规范要求，并及时进行了备案，公司也根据生产计划进行了应急演练，编制应急预案的环境风险防范措施是有效的。</w:t>
      </w:r>
    </w:p>
    <w:p w14:paraId="0B013411">
      <w:pPr>
        <w:ind w:firstLine="0" w:firstLineChars="0"/>
        <w:rPr>
          <w:rFonts w:cs="Times New Roman"/>
        </w:rPr>
      </w:pPr>
      <w:r>
        <w:rPr>
          <w:rFonts w:cs="Times New Roman"/>
        </w:rPr>
        <w:t>5</w:t>
      </w:r>
      <w:r>
        <w:rPr>
          <w:rFonts w:hint="eastAsia" w:cs="Times New Roman"/>
        </w:rPr>
        <w:t>.</w:t>
      </w:r>
      <w:r>
        <w:rPr>
          <w:rFonts w:cs="Times New Roman"/>
        </w:rPr>
        <w:t>7</w:t>
      </w:r>
      <w:r>
        <w:rPr>
          <w:rFonts w:hint="eastAsia" w:cs="Times New Roman"/>
        </w:rPr>
        <w:t>.</w:t>
      </w:r>
      <w:r>
        <w:rPr>
          <w:rFonts w:cs="Times New Roman"/>
        </w:rPr>
        <w:t xml:space="preserve">2.2 </w:t>
      </w:r>
      <w:r>
        <w:rPr>
          <w:rFonts w:hint="eastAsia" w:cs="Times New Roman"/>
        </w:rPr>
        <w:t>尾矿库管理</w:t>
      </w:r>
    </w:p>
    <w:p w14:paraId="483734A9">
      <w:pPr>
        <w:ind w:firstLine="480"/>
        <w:rPr>
          <w:szCs w:val="24"/>
        </w:rPr>
      </w:pPr>
      <w:r>
        <w:rPr>
          <w:szCs w:val="24"/>
        </w:rPr>
        <w:t>安徽金安矿业有限公司</w:t>
      </w:r>
      <w:r>
        <w:rPr>
          <w:rFonts w:hint="eastAsia"/>
          <w:szCs w:val="24"/>
        </w:rPr>
        <w:t>安全环保部配备专职管理人员，制定了具体可行、便于检查的规章制度，定期对尾矿库进行巡查，定期检查维护尾矿库设备、设施等。</w:t>
      </w:r>
    </w:p>
    <w:p w14:paraId="56438B39">
      <w:pPr>
        <w:ind w:firstLine="480"/>
        <w:rPr>
          <w:rFonts w:cs="Times New Roman"/>
        </w:rPr>
      </w:pPr>
      <w:r>
        <w:rPr>
          <w:rFonts w:hint="eastAsia" w:cs="Times New Roman"/>
        </w:rPr>
        <w:t>综上所述，</w:t>
      </w:r>
      <w:r>
        <w:rPr>
          <w:szCs w:val="24"/>
        </w:rPr>
        <w:t>安徽金安矿业有限公司</w:t>
      </w:r>
      <w:r>
        <w:rPr>
          <w:rFonts w:hint="eastAsia" w:cs="Times New Roman"/>
        </w:rPr>
        <w:t>草楼铁矿采取的环境风险防范措施是有效的，后期需要加强对设施的维护管理，以便出现尾砂泄漏情况时，矿浆相应流入事故池中，及时有效的采取措施来缓解尾砂泄漏事故的发生。</w:t>
      </w:r>
    </w:p>
    <w:p w14:paraId="7E937453">
      <w:pPr>
        <w:keepNext/>
        <w:keepLines/>
        <w:spacing w:before="260" w:after="260" w:line="415" w:lineRule="auto"/>
        <w:ind w:firstLine="0" w:firstLineChars="0"/>
        <w:jc w:val="left"/>
        <w:outlineLvl w:val="1"/>
        <w:rPr>
          <w:rFonts w:cstheme="majorBidi"/>
          <w:b/>
          <w:bCs/>
          <w:sz w:val="32"/>
          <w:szCs w:val="32"/>
        </w:rPr>
      </w:pPr>
      <w:bookmarkStart w:id="51" w:name="_Toc85213513"/>
      <w:r>
        <w:rPr>
          <w:rFonts w:cstheme="majorBidi"/>
          <w:b/>
          <w:bCs/>
          <w:sz w:val="32"/>
          <w:szCs w:val="32"/>
        </w:rPr>
        <w:t>5</w:t>
      </w:r>
      <w:r>
        <w:rPr>
          <w:rFonts w:hint="eastAsia" w:cstheme="majorBidi"/>
          <w:b/>
          <w:bCs/>
          <w:sz w:val="32"/>
          <w:szCs w:val="32"/>
        </w:rPr>
        <w:t>.</w:t>
      </w:r>
      <w:r>
        <w:rPr>
          <w:rFonts w:cstheme="majorBidi"/>
          <w:b/>
          <w:bCs/>
          <w:sz w:val="32"/>
          <w:szCs w:val="32"/>
        </w:rPr>
        <w:t xml:space="preserve">8 </w:t>
      </w:r>
      <w:r>
        <w:rPr>
          <w:rFonts w:hint="eastAsia" w:cstheme="majorBidi"/>
          <w:b/>
          <w:bCs/>
          <w:sz w:val="32"/>
          <w:szCs w:val="32"/>
        </w:rPr>
        <w:t>土壤污染防治措施有效性评估</w:t>
      </w:r>
      <w:bookmarkEnd w:id="51"/>
    </w:p>
    <w:p w14:paraId="79E27F99">
      <w:pPr>
        <w:keepNext/>
        <w:keepLines/>
        <w:spacing w:before="260" w:after="260" w:line="415" w:lineRule="auto"/>
        <w:ind w:firstLine="0" w:firstLineChars="0"/>
        <w:jc w:val="left"/>
        <w:outlineLvl w:val="2"/>
        <w:rPr>
          <w:b/>
          <w:bCs/>
          <w:sz w:val="28"/>
          <w:szCs w:val="32"/>
        </w:rPr>
      </w:pPr>
      <w:r>
        <w:rPr>
          <w:b/>
          <w:bCs/>
          <w:sz w:val="28"/>
          <w:szCs w:val="32"/>
        </w:rPr>
        <w:t>5</w:t>
      </w:r>
      <w:r>
        <w:rPr>
          <w:rFonts w:hint="eastAsia"/>
          <w:b/>
          <w:bCs/>
          <w:sz w:val="28"/>
          <w:szCs w:val="32"/>
        </w:rPr>
        <w:t>.</w:t>
      </w:r>
      <w:r>
        <w:rPr>
          <w:b/>
          <w:bCs/>
          <w:sz w:val="28"/>
          <w:szCs w:val="32"/>
        </w:rPr>
        <w:t>8</w:t>
      </w:r>
      <w:r>
        <w:rPr>
          <w:rFonts w:hint="eastAsia"/>
          <w:b/>
          <w:bCs/>
          <w:sz w:val="28"/>
          <w:szCs w:val="32"/>
        </w:rPr>
        <w:t>.1</w:t>
      </w:r>
      <w:r>
        <w:rPr>
          <w:b/>
          <w:bCs/>
          <w:sz w:val="28"/>
          <w:szCs w:val="32"/>
        </w:rPr>
        <w:t xml:space="preserve"> </w:t>
      </w:r>
      <w:r>
        <w:rPr>
          <w:rFonts w:hint="eastAsia"/>
          <w:b/>
          <w:bCs/>
          <w:sz w:val="28"/>
          <w:szCs w:val="32"/>
        </w:rPr>
        <w:t>已采取的土壤污染防治措施</w:t>
      </w:r>
    </w:p>
    <w:p w14:paraId="0145FCB5">
      <w:pPr>
        <w:ind w:firstLine="480"/>
        <w:rPr>
          <w:szCs w:val="24"/>
        </w:rPr>
      </w:pPr>
      <w:bookmarkStart w:id="52" w:name="_Ref508626460"/>
      <w:r>
        <w:rPr>
          <w:szCs w:val="24"/>
        </w:rPr>
        <w:t>工程运营期产生的选矿废水全部回用至选矿工艺；工业场地内</w:t>
      </w:r>
      <w:r>
        <w:rPr>
          <w:rFonts w:hint="eastAsia"/>
          <w:szCs w:val="24"/>
        </w:rPr>
        <w:t>及牛皮岭尾矿库一期子坝均</w:t>
      </w:r>
      <w:r>
        <w:rPr>
          <w:szCs w:val="24"/>
        </w:rPr>
        <w:t>采取</w:t>
      </w:r>
      <w:r>
        <w:rPr>
          <w:rFonts w:hint="eastAsia"/>
          <w:szCs w:val="24"/>
        </w:rPr>
        <w:t>了</w:t>
      </w:r>
      <w:r>
        <w:rPr>
          <w:szCs w:val="24"/>
        </w:rPr>
        <w:t>绿化措施，种植</w:t>
      </w:r>
      <w:r>
        <w:rPr>
          <w:rFonts w:hint="eastAsia"/>
          <w:szCs w:val="24"/>
        </w:rPr>
        <w:t>以</w:t>
      </w:r>
      <w:r>
        <w:rPr>
          <w:szCs w:val="24"/>
        </w:rPr>
        <w:t>具有较强吸附能力的植物为主；</w:t>
      </w:r>
      <w:r>
        <w:rPr>
          <w:rFonts w:hint="eastAsia"/>
          <w:szCs w:val="24"/>
        </w:rPr>
        <w:t>干选</w:t>
      </w:r>
      <w:r>
        <w:rPr>
          <w:szCs w:val="24"/>
        </w:rPr>
        <w:t>废石</w:t>
      </w:r>
      <w:r>
        <w:rPr>
          <w:rFonts w:hint="eastAsia"/>
          <w:szCs w:val="24"/>
        </w:rPr>
        <w:t>仓采用门式钢架结构，地面硬化，四壁密闭，顶棚遮盖</w:t>
      </w:r>
      <w:r>
        <w:rPr>
          <w:szCs w:val="24"/>
        </w:rPr>
        <w:t>；</w:t>
      </w:r>
      <w:r>
        <w:rPr>
          <w:rFonts w:hint="eastAsia"/>
          <w:szCs w:val="24"/>
        </w:rPr>
        <w:t>精矿及废石</w:t>
      </w:r>
      <w:r>
        <w:rPr>
          <w:szCs w:val="24"/>
        </w:rPr>
        <w:t>运输采用汽车运输，汽车运输时要求加盖篷布，并对运输道路洒水降尘，减少汽车运输时物料的洒落；</w:t>
      </w:r>
      <w:r>
        <w:rPr>
          <w:rFonts w:hint="eastAsia"/>
          <w:szCs w:val="24"/>
        </w:rPr>
        <w:t>按设计</w:t>
      </w:r>
      <w:r>
        <w:rPr>
          <w:szCs w:val="24"/>
        </w:rPr>
        <w:t>对厂区进行分区防渗，同时布设监控井，定期对地下水进行监测，降低了防渗工程损坏事故排放的风险，减小了事故排放对土壤的影响。</w:t>
      </w:r>
      <w:bookmarkEnd w:id="52"/>
    </w:p>
    <w:p w14:paraId="74FC636C">
      <w:pPr>
        <w:keepNext/>
        <w:keepLines/>
        <w:spacing w:before="260" w:after="260" w:line="415" w:lineRule="auto"/>
        <w:ind w:firstLine="0" w:firstLineChars="0"/>
        <w:jc w:val="left"/>
        <w:outlineLvl w:val="2"/>
        <w:rPr>
          <w:b/>
          <w:bCs/>
          <w:sz w:val="28"/>
          <w:szCs w:val="32"/>
        </w:rPr>
      </w:pPr>
      <w:r>
        <w:rPr>
          <w:b/>
          <w:bCs/>
          <w:sz w:val="28"/>
          <w:szCs w:val="32"/>
        </w:rPr>
        <w:t>5</w:t>
      </w:r>
      <w:r>
        <w:rPr>
          <w:rFonts w:hint="eastAsia"/>
          <w:b/>
          <w:bCs/>
          <w:sz w:val="28"/>
          <w:szCs w:val="32"/>
        </w:rPr>
        <w:t>.</w:t>
      </w:r>
      <w:r>
        <w:rPr>
          <w:b/>
          <w:bCs/>
          <w:sz w:val="28"/>
          <w:szCs w:val="32"/>
        </w:rPr>
        <w:t>8</w:t>
      </w:r>
      <w:r>
        <w:rPr>
          <w:rFonts w:hint="eastAsia"/>
          <w:b/>
          <w:bCs/>
          <w:sz w:val="28"/>
          <w:szCs w:val="32"/>
        </w:rPr>
        <w:t>.</w:t>
      </w:r>
      <w:r>
        <w:rPr>
          <w:b/>
          <w:bCs/>
          <w:sz w:val="28"/>
          <w:szCs w:val="32"/>
        </w:rPr>
        <w:t xml:space="preserve">2 </w:t>
      </w:r>
      <w:r>
        <w:rPr>
          <w:rFonts w:hint="eastAsia"/>
          <w:b/>
          <w:bCs/>
          <w:sz w:val="28"/>
          <w:szCs w:val="32"/>
        </w:rPr>
        <w:t>处置措施有效性分析</w:t>
      </w:r>
    </w:p>
    <w:p w14:paraId="59AB1061">
      <w:pPr>
        <w:ind w:firstLine="480"/>
        <w:rPr>
          <w:rFonts w:cs="Times New Roman"/>
        </w:rPr>
      </w:pPr>
      <w:r>
        <w:rPr>
          <w:rFonts w:hint="eastAsia"/>
          <w:szCs w:val="24"/>
        </w:rPr>
        <w:t>由本次后评价4</w:t>
      </w:r>
      <w:r>
        <w:rPr>
          <w:szCs w:val="24"/>
        </w:rPr>
        <w:t>.4.5</w:t>
      </w:r>
      <w:r>
        <w:rPr>
          <w:rFonts w:hint="eastAsia"/>
          <w:szCs w:val="24"/>
        </w:rPr>
        <w:t>章节中土壤环境质量现状监测数据可知，工业场地范围采集的土壤样品的各监测因子均满足《</w:t>
      </w:r>
      <w:r>
        <w:rPr>
          <w:szCs w:val="24"/>
        </w:rPr>
        <w:t>土壤环境质量建设用地土壤污染风险管控标准》（GB 36600-2018）（试行）中第二类用地筛选值标准</w:t>
      </w:r>
      <w:r>
        <w:rPr>
          <w:rFonts w:hint="eastAsia"/>
          <w:szCs w:val="24"/>
        </w:rPr>
        <w:t>要求。选矿厂工业场地周边区域土壤均能满足</w:t>
      </w:r>
      <w:r>
        <w:rPr>
          <w:szCs w:val="24"/>
        </w:rPr>
        <w:t>《土壤环境质量</w:t>
      </w:r>
      <w:r>
        <w:rPr>
          <w:rFonts w:hint="eastAsia"/>
          <w:szCs w:val="24"/>
        </w:rPr>
        <w:t>农用地</w:t>
      </w:r>
      <w:r>
        <w:rPr>
          <w:szCs w:val="24"/>
        </w:rPr>
        <w:t>土壤污染风险管控标准》（GB 15618-2018）（试行）</w:t>
      </w:r>
      <w:r>
        <w:rPr>
          <w:rFonts w:hint="eastAsia"/>
          <w:szCs w:val="24"/>
        </w:rPr>
        <w:t>中农用地土壤污染风险筛选值标准。项目区域内土壤环境质量良好。</w:t>
      </w:r>
      <w:r>
        <w:rPr>
          <w:rFonts w:cs="Times New Roman"/>
        </w:rPr>
        <w:br w:type="page"/>
      </w:r>
    </w:p>
    <w:p w14:paraId="0D3E1780">
      <w:pPr>
        <w:keepNext/>
        <w:keepLines/>
        <w:spacing w:before="340" w:after="330" w:line="578" w:lineRule="auto"/>
        <w:ind w:firstLine="0" w:firstLineChars="0"/>
        <w:jc w:val="center"/>
        <w:outlineLvl w:val="0"/>
        <w:rPr>
          <w:b/>
          <w:bCs/>
          <w:kern w:val="44"/>
          <w:sz w:val="44"/>
          <w:szCs w:val="44"/>
        </w:rPr>
      </w:pPr>
      <w:bookmarkStart w:id="53" w:name="_Toc85213514"/>
      <w:bookmarkStart w:id="54" w:name="_Toc55773239"/>
      <w:r>
        <w:rPr>
          <w:b/>
          <w:bCs/>
          <w:kern w:val="44"/>
          <w:sz w:val="44"/>
          <w:szCs w:val="44"/>
        </w:rPr>
        <w:t xml:space="preserve">6 </w:t>
      </w:r>
      <w:r>
        <w:rPr>
          <w:rFonts w:hint="eastAsia"/>
          <w:b/>
          <w:bCs/>
          <w:kern w:val="44"/>
          <w:sz w:val="44"/>
          <w:szCs w:val="44"/>
        </w:rPr>
        <w:t>环境影响预测验证</w:t>
      </w:r>
      <w:bookmarkEnd w:id="53"/>
      <w:bookmarkEnd w:id="54"/>
    </w:p>
    <w:p w14:paraId="2218467E">
      <w:pPr>
        <w:keepNext/>
        <w:keepLines/>
        <w:spacing w:before="260" w:after="260" w:line="415" w:lineRule="auto"/>
        <w:ind w:firstLine="0" w:firstLineChars="0"/>
        <w:jc w:val="left"/>
        <w:outlineLvl w:val="1"/>
        <w:rPr>
          <w:rFonts w:cstheme="majorBidi"/>
          <w:b/>
          <w:bCs/>
          <w:sz w:val="32"/>
          <w:szCs w:val="32"/>
        </w:rPr>
      </w:pPr>
      <w:bookmarkStart w:id="55" w:name="_Toc85213515"/>
      <w:bookmarkStart w:id="56" w:name="_Toc55773240"/>
      <w:r>
        <w:rPr>
          <w:rFonts w:cstheme="majorBidi"/>
          <w:b/>
          <w:bCs/>
          <w:sz w:val="32"/>
          <w:szCs w:val="32"/>
        </w:rPr>
        <w:t>6</w:t>
      </w:r>
      <w:r>
        <w:rPr>
          <w:rFonts w:hint="eastAsia" w:cstheme="majorBidi"/>
          <w:b/>
          <w:bCs/>
          <w:sz w:val="32"/>
          <w:szCs w:val="32"/>
        </w:rPr>
        <w:t>.1</w:t>
      </w:r>
      <w:r>
        <w:rPr>
          <w:rFonts w:cstheme="majorBidi"/>
          <w:b/>
          <w:bCs/>
          <w:sz w:val="32"/>
          <w:szCs w:val="32"/>
        </w:rPr>
        <w:t xml:space="preserve"> </w:t>
      </w:r>
      <w:r>
        <w:rPr>
          <w:rFonts w:hint="eastAsia" w:cstheme="majorBidi"/>
          <w:b/>
          <w:bCs/>
          <w:sz w:val="32"/>
          <w:szCs w:val="32"/>
        </w:rPr>
        <w:t>生态环境影响预测验证</w:t>
      </w:r>
      <w:bookmarkEnd w:id="55"/>
      <w:bookmarkEnd w:id="56"/>
    </w:p>
    <w:p w14:paraId="18552412">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.1.1生态环境影响分析</w:t>
      </w:r>
    </w:p>
    <w:p w14:paraId="15558748">
      <w:pPr>
        <w:ind w:firstLine="480"/>
      </w:pPr>
      <w:r>
        <w:rPr>
          <w:rFonts w:hint="eastAsia"/>
        </w:rPr>
        <w:t>（1）在运营期，由于采用充填采矿方法，利用尾砂充填地下采空区，地表基本不会塌陷，避免了因地表塌陷造成的生态系统破坏。</w:t>
      </w:r>
    </w:p>
    <w:p w14:paraId="0D33863D">
      <w:pPr>
        <w:ind w:firstLine="480"/>
      </w:pPr>
      <w:r>
        <w:rPr>
          <w:rFonts w:hint="eastAsia"/>
        </w:rPr>
        <w:t>（2）矿山没有形成充填条件时的尾矿，以及矿山正常生产期间因为事故、短时间不能连续生产而排放的尾矿排放至尾矿库。随着尾矿的堆放，尾矿库所在地的地貌也随之发生变化，尾矿库的风力扬沙将对周围的植被带来污染影响，造成水土流失。</w:t>
      </w:r>
    </w:p>
    <w:p w14:paraId="0CB184AA">
      <w:pPr>
        <w:ind w:firstLine="480"/>
      </w:pPr>
      <w:r>
        <w:rPr>
          <w:rFonts w:hint="eastAsia"/>
        </w:rPr>
        <w:t>（</w:t>
      </w:r>
      <w:r>
        <w:t>3</w:t>
      </w:r>
      <w:r>
        <w:rPr>
          <w:rFonts w:hint="eastAsia"/>
        </w:rPr>
        <w:t>）由于项目矿山开发工程采矿场、临时废石场和尾矿库引起了局部区域地表形态的改变，原有的汇水途径也因此而受到影响。</w:t>
      </w:r>
    </w:p>
    <w:p w14:paraId="113B3192">
      <w:pPr>
        <w:ind w:firstLine="480"/>
      </w:pPr>
      <w:r>
        <w:rPr>
          <w:rFonts w:hint="eastAsia"/>
        </w:rPr>
        <w:t>（</w:t>
      </w:r>
      <w:r>
        <w:t>4</w:t>
      </w:r>
      <w:r>
        <w:rPr>
          <w:rFonts w:hint="eastAsia"/>
        </w:rPr>
        <w:t>）但选矿厂地的建设对原有植物多样性产生一定的影响。</w:t>
      </w:r>
    </w:p>
    <w:p w14:paraId="26E97047">
      <w:pPr>
        <w:ind w:firstLine="0" w:firstLineChars="0"/>
        <w:rPr>
          <w:rFonts w:cs="Times New Roman"/>
        </w:rPr>
      </w:pPr>
      <w:r>
        <w:rPr>
          <w:rFonts w:cs="Times New Roman"/>
        </w:rPr>
        <w:t>6</w:t>
      </w:r>
      <w:r>
        <w:rPr>
          <w:rFonts w:hint="eastAsia" w:cs="Times New Roman"/>
        </w:rPr>
        <w:t>.</w:t>
      </w:r>
      <w:r>
        <w:rPr>
          <w:rFonts w:cs="Times New Roman"/>
        </w:rPr>
        <w:t>1</w:t>
      </w:r>
      <w:r>
        <w:rPr>
          <w:rFonts w:hint="eastAsia" w:cs="Times New Roman"/>
        </w:rPr>
        <w:t>.</w:t>
      </w:r>
      <w:r>
        <w:rPr>
          <w:rFonts w:cs="Times New Roman"/>
        </w:rPr>
        <w:t xml:space="preserve">1.1 </w:t>
      </w:r>
      <w:r>
        <w:rPr>
          <w:rFonts w:hint="eastAsia" w:cs="Times New Roman"/>
        </w:rPr>
        <w:t>土地利用变化情况</w:t>
      </w:r>
    </w:p>
    <w:p w14:paraId="64851D25">
      <w:pPr>
        <w:ind w:firstLine="480"/>
      </w:pPr>
      <w:r>
        <w:rPr>
          <w:rFonts w:hint="eastAsia"/>
        </w:rPr>
        <w:t>矿山开发建设占用土地的性质主要是农用地。矿山在开发建设过程中，所占用的土地性质均将变为工矿建设用地。本项目的开发建设将会对整个评价区局部范围内土地利用结构带来一定的变化。</w:t>
      </w:r>
    </w:p>
    <w:p w14:paraId="61BC0DF9">
      <w:pPr>
        <w:ind w:firstLine="0" w:firstLineChars="0"/>
        <w:rPr>
          <w:rFonts w:cs="Times New Roman"/>
        </w:rPr>
      </w:pPr>
      <w:r>
        <w:rPr>
          <w:rFonts w:cs="Times New Roman"/>
        </w:rPr>
        <w:t>6</w:t>
      </w:r>
      <w:r>
        <w:rPr>
          <w:rFonts w:hint="eastAsia" w:cs="Times New Roman"/>
        </w:rPr>
        <w:t>.</w:t>
      </w:r>
      <w:r>
        <w:rPr>
          <w:rFonts w:cs="Times New Roman"/>
        </w:rPr>
        <w:t>1</w:t>
      </w:r>
      <w:r>
        <w:rPr>
          <w:rFonts w:hint="eastAsia" w:cs="Times New Roman"/>
        </w:rPr>
        <w:t>.</w:t>
      </w:r>
      <w:r>
        <w:rPr>
          <w:rFonts w:cs="Times New Roman"/>
        </w:rPr>
        <w:t xml:space="preserve">1.2 </w:t>
      </w:r>
      <w:r>
        <w:rPr>
          <w:rFonts w:hint="eastAsia" w:cs="Times New Roman"/>
        </w:rPr>
        <w:t>对植物的影响分析</w:t>
      </w:r>
    </w:p>
    <w:p w14:paraId="0670FB21">
      <w:pPr>
        <w:ind w:firstLine="480"/>
      </w:pPr>
      <w:r>
        <w:rPr>
          <w:rFonts w:hint="eastAsia"/>
        </w:rPr>
        <w:t>草楼铁矿</w:t>
      </w:r>
      <w:r>
        <w:t>占地范围内主要是农田和村庄、工矿用地，</w:t>
      </w:r>
      <w:r>
        <w:rPr>
          <w:rFonts w:hint="eastAsia"/>
        </w:rPr>
        <w:t>矿山进入营运期</w:t>
      </w:r>
      <w:r>
        <w:t>至</w:t>
      </w:r>
      <w:r>
        <w:rPr>
          <w:rFonts w:hint="eastAsia"/>
        </w:rPr>
        <w:t>服务期满后</w:t>
      </w:r>
      <w:r>
        <w:t>，</w:t>
      </w:r>
      <w:r>
        <w:rPr>
          <w:rFonts w:hint="eastAsia"/>
        </w:rPr>
        <w:t>主要</w:t>
      </w:r>
      <w:r>
        <w:t>扰动区域</w:t>
      </w:r>
      <w:r>
        <w:rPr>
          <w:rFonts w:hint="eastAsia"/>
        </w:rPr>
        <w:t>内</w:t>
      </w:r>
      <w:r>
        <w:t>农田植被，矿山开采将造成一定面积农作物的毁坏。</w:t>
      </w:r>
      <w:r>
        <w:rPr>
          <w:rFonts w:hint="eastAsia"/>
        </w:rPr>
        <w:t>据现场调查，安徽金安矿业有限公司对工业场地的专用场地、场内道路进行了硬化，办公楼建筑物楼前和厂内道路两侧进行了植树种草绿化，主要绿化品种有：金叶女贞、桧柏、龙柏、紫薇、樱花、月季、雪松、冬青、银杏、法桐、木槿、红叶李、金边黄杨、合欢、雀舌黄杨、龙柏球、红叶石楠、红叶石楠球、八角金盘、棕榈、连翘、百慕大、高羊茅等60多种。厂区实际绿化覆盖率为41.28%。</w:t>
      </w:r>
    </w:p>
    <w:p w14:paraId="375EC328">
      <w:pPr>
        <w:ind w:firstLine="0" w:firstLineChars="0"/>
        <w:rPr>
          <w:rFonts w:cs="Times New Roman"/>
        </w:rPr>
      </w:pPr>
      <w:r>
        <w:rPr>
          <w:rFonts w:cs="Times New Roman"/>
        </w:rPr>
        <w:t>6</w:t>
      </w:r>
      <w:r>
        <w:rPr>
          <w:rFonts w:hint="eastAsia" w:cs="Times New Roman"/>
        </w:rPr>
        <w:t>.</w:t>
      </w:r>
      <w:r>
        <w:rPr>
          <w:rFonts w:cs="Times New Roman"/>
        </w:rPr>
        <w:t>1</w:t>
      </w:r>
      <w:r>
        <w:rPr>
          <w:rFonts w:hint="eastAsia" w:cs="Times New Roman"/>
        </w:rPr>
        <w:t>.</w:t>
      </w:r>
      <w:r>
        <w:rPr>
          <w:rFonts w:cs="Times New Roman"/>
        </w:rPr>
        <w:t xml:space="preserve">1.3 </w:t>
      </w:r>
      <w:r>
        <w:rPr>
          <w:rFonts w:hint="eastAsia" w:cs="Times New Roman"/>
        </w:rPr>
        <w:t>对动物的影响分析</w:t>
      </w:r>
    </w:p>
    <w:p w14:paraId="4971A8C7">
      <w:pPr>
        <w:ind w:firstLine="480"/>
      </w:pPr>
      <w:r>
        <w:rPr>
          <w:rFonts w:hint="eastAsia"/>
        </w:rPr>
        <w:t>本项目占地范围内主要是农田和村庄、工矿用地，项目范围内动物均为常见动物物种，多为鸟类和小型兽类，主要集中在现有尾矿库附近。经调查，矿区内未发现国家级和省级保护级别的动物的栖息繁殖地，矿区植被以农田为主，物种多样性简单，矿区内无国家珍稀濒危植物和国家重点保护植物。本项目运营期对野生动物生存活动基本无影响。</w:t>
      </w:r>
    </w:p>
    <w:p w14:paraId="2864AC91">
      <w:pPr>
        <w:ind w:firstLine="0" w:firstLineChars="0"/>
        <w:rPr>
          <w:rFonts w:cs="Times New Roman"/>
        </w:rPr>
      </w:pPr>
      <w:r>
        <w:rPr>
          <w:rFonts w:cs="Times New Roman"/>
        </w:rPr>
        <w:t>6</w:t>
      </w:r>
      <w:r>
        <w:rPr>
          <w:rFonts w:hint="eastAsia" w:cs="Times New Roman"/>
        </w:rPr>
        <w:t>.</w:t>
      </w:r>
      <w:r>
        <w:rPr>
          <w:rFonts w:cs="Times New Roman"/>
        </w:rPr>
        <w:t>1</w:t>
      </w:r>
      <w:r>
        <w:rPr>
          <w:rFonts w:hint="eastAsia" w:cs="Times New Roman"/>
        </w:rPr>
        <w:t>.</w:t>
      </w:r>
      <w:r>
        <w:rPr>
          <w:rFonts w:cs="Times New Roman"/>
        </w:rPr>
        <w:t xml:space="preserve">1.4 </w:t>
      </w:r>
      <w:r>
        <w:rPr>
          <w:rFonts w:hint="eastAsia" w:cs="Times New Roman"/>
        </w:rPr>
        <w:t>景观影响分析</w:t>
      </w:r>
    </w:p>
    <w:p w14:paraId="393CFB16">
      <w:pPr>
        <w:ind w:firstLine="480"/>
      </w:pPr>
      <w:r>
        <w:rPr>
          <w:rFonts w:hint="eastAsia"/>
        </w:rPr>
        <w:t>本项目</w:t>
      </w:r>
      <w:r>
        <w:rPr>
          <w:lang w:val="zh-CN"/>
        </w:rPr>
        <w:t>尾砂及回水管线</w:t>
      </w:r>
      <w:r>
        <w:t>施工对地表植被造成了一定影响，施工结束</w:t>
      </w:r>
      <w:r>
        <w:rPr>
          <w:rFonts w:hint="eastAsia"/>
        </w:rPr>
        <w:t>后</w:t>
      </w:r>
      <w:r>
        <w:t>地表植被已复垦，复垦方向为灌草地，撒播紫花苜蓿、狗尾草等草本植物。本项目尾砂充填输送管线采用地埋式建设，管线对景观的破坏主要集中在施工期，在</w:t>
      </w:r>
      <w:r>
        <w:rPr>
          <w:rFonts w:hint="eastAsia"/>
        </w:rPr>
        <w:t>区域内</w:t>
      </w:r>
      <w:r>
        <w:t>形成带状切割，管线施工结束后，随着地表植被的恢复，管线施工对施工区及周边的景观生态格局与功能的影响将得到逐步改善。</w:t>
      </w:r>
    </w:p>
    <w:p w14:paraId="73794E9C">
      <w:pPr>
        <w:ind w:firstLine="480"/>
      </w:pPr>
      <w:r>
        <w:rPr>
          <w:rFonts w:hint="eastAsia"/>
        </w:rPr>
        <w:t>因此，本项目的开发建设对草楼铁矿整体范围内的景观生态格局与功能的影响不大，但对项目建设所在地局部区域范围内的景观生态格局与功能影响较大。由于本项目闭矿后将采取土地复垦恢复措施，将逐步重建矿区土地利用结构和矿区生态系统。</w:t>
      </w:r>
    </w:p>
    <w:p w14:paraId="46D01443">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.1.</w:t>
      </w:r>
      <w:r>
        <w:rPr>
          <w:b/>
          <w:bCs/>
          <w:sz w:val="28"/>
          <w:szCs w:val="32"/>
        </w:rPr>
        <w:t xml:space="preserve">2 </w:t>
      </w:r>
      <w:r>
        <w:rPr>
          <w:rFonts w:hint="eastAsia"/>
          <w:b/>
          <w:bCs/>
          <w:sz w:val="28"/>
          <w:szCs w:val="32"/>
        </w:rPr>
        <w:t>预测验证</w:t>
      </w:r>
    </w:p>
    <w:p w14:paraId="37A62ACD">
      <w:pPr>
        <w:ind w:firstLine="0" w:firstLineChars="0"/>
        <w:rPr>
          <w:rFonts w:cs="Times New Roman"/>
        </w:rPr>
      </w:pPr>
      <w:r>
        <w:rPr>
          <w:rFonts w:cs="Times New Roman"/>
        </w:rPr>
        <w:t>6</w:t>
      </w:r>
      <w:r>
        <w:rPr>
          <w:rFonts w:hint="eastAsia" w:cs="Times New Roman"/>
        </w:rPr>
        <w:t>.</w:t>
      </w:r>
      <w:r>
        <w:rPr>
          <w:rFonts w:cs="Times New Roman"/>
        </w:rPr>
        <w:t>1</w:t>
      </w:r>
      <w:r>
        <w:rPr>
          <w:rFonts w:hint="eastAsia" w:cs="Times New Roman"/>
        </w:rPr>
        <w:t>.</w:t>
      </w:r>
      <w:r>
        <w:rPr>
          <w:rFonts w:cs="Times New Roman"/>
        </w:rPr>
        <w:t xml:space="preserve">2.1 </w:t>
      </w:r>
      <w:r>
        <w:rPr>
          <w:rFonts w:hint="eastAsia" w:cs="Times New Roman"/>
        </w:rPr>
        <w:t>土地利用现状</w:t>
      </w:r>
    </w:p>
    <w:p w14:paraId="7CC4D9DA">
      <w:pPr>
        <w:ind w:firstLine="480"/>
      </w:pPr>
      <w:r>
        <w:rPr>
          <w:rFonts w:hint="eastAsia"/>
        </w:rPr>
        <w:t>目前选矿厂内用地性质仍为工矿建设用地，未新增用地。</w:t>
      </w:r>
    </w:p>
    <w:p w14:paraId="26E6892B">
      <w:pPr>
        <w:ind w:firstLine="0" w:firstLineChars="0"/>
        <w:rPr>
          <w:rFonts w:cs="Times New Roman"/>
        </w:rPr>
      </w:pPr>
      <w:r>
        <w:rPr>
          <w:rFonts w:cs="Times New Roman"/>
        </w:rPr>
        <w:t>6</w:t>
      </w:r>
      <w:r>
        <w:rPr>
          <w:rFonts w:hint="eastAsia" w:cs="Times New Roman"/>
        </w:rPr>
        <w:t>.</w:t>
      </w:r>
      <w:r>
        <w:rPr>
          <w:rFonts w:cs="Times New Roman"/>
        </w:rPr>
        <w:t>1</w:t>
      </w:r>
      <w:r>
        <w:rPr>
          <w:rFonts w:hint="eastAsia" w:cs="Times New Roman"/>
        </w:rPr>
        <w:t>.</w:t>
      </w:r>
      <w:r>
        <w:rPr>
          <w:rFonts w:cs="Times New Roman"/>
        </w:rPr>
        <w:t xml:space="preserve">2.2 </w:t>
      </w:r>
      <w:r>
        <w:rPr>
          <w:rFonts w:hint="eastAsia" w:cs="Times New Roman"/>
        </w:rPr>
        <w:t>植被现状</w:t>
      </w:r>
    </w:p>
    <w:p w14:paraId="7528EB98">
      <w:pPr>
        <w:ind w:firstLine="480"/>
      </w:pPr>
      <w:r>
        <w:rPr>
          <w:rFonts w:hint="eastAsia"/>
        </w:rPr>
        <w:t>（1）植被类型</w:t>
      </w:r>
    </w:p>
    <w:p w14:paraId="3DE3102B">
      <w:pPr>
        <w:ind w:firstLine="480"/>
      </w:pPr>
      <w:r>
        <w:rPr>
          <w:rFonts w:hint="eastAsia"/>
        </w:rPr>
        <w:t>项目所在区域内植被为经济较单一的农业耕作区，主要以农田生态系统为主，植被以农作物为主。</w:t>
      </w:r>
    </w:p>
    <w:p w14:paraId="4AF01577">
      <w:pPr>
        <w:ind w:firstLine="480"/>
      </w:pPr>
      <w:r>
        <w:rPr>
          <w:rFonts w:hint="eastAsia"/>
        </w:rPr>
        <w:t>（2）土壤环境质量</w:t>
      </w:r>
    </w:p>
    <w:p w14:paraId="435EE453">
      <w:pPr>
        <w:ind w:firstLine="480"/>
      </w:pPr>
      <w:r>
        <w:rPr>
          <w:rFonts w:hint="eastAsia"/>
        </w:rPr>
        <w:t>由4.4.5章节中土壤环境质量现状可知，本项目工业场地及周边区域内范围采集的土壤样品的各监测因子均满足《土壤环境质量建设用地土壤污染风险管控标准》（GB 36600-2018）（试行）中第二类用地筛选值标准要求。选矿厂工业场地周边区域土壤均能满足《土壤环境质量农用地土壤污染风险管控标准》（GB 15618-2018）（试行）中农用地土壤污染风险筛选值标准。项目区域内土壤环境质量良好。草楼铁矿运营对周边土壤环境质量未产生明显影响。</w:t>
      </w:r>
    </w:p>
    <w:p w14:paraId="2A6A1E84">
      <w:pPr>
        <w:ind w:firstLine="0" w:firstLineChars="0"/>
        <w:rPr>
          <w:rFonts w:cs="Times New Roman"/>
        </w:rPr>
      </w:pPr>
      <w:r>
        <w:rPr>
          <w:rFonts w:cs="Times New Roman"/>
        </w:rPr>
        <w:t>6</w:t>
      </w:r>
      <w:r>
        <w:rPr>
          <w:rFonts w:hint="eastAsia" w:cs="Times New Roman"/>
        </w:rPr>
        <w:t>.</w:t>
      </w:r>
      <w:r>
        <w:rPr>
          <w:rFonts w:cs="Times New Roman"/>
        </w:rPr>
        <w:t>1</w:t>
      </w:r>
      <w:r>
        <w:rPr>
          <w:rFonts w:hint="eastAsia" w:cs="Times New Roman"/>
        </w:rPr>
        <w:t>.</w:t>
      </w:r>
      <w:r>
        <w:rPr>
          <w:rFonts w:cs="Times New Roman"/>
        </w:rPr>
        <w:t xml:space="preserve">2.3 </w:t>
      </w:r>
      <w:r>
        <w:rPr>
          <w:rFonts w:hint="eastAsia" w:cs="Times New Roman"/>
        </w:rPr>
        <w:t>周边动物</w:t>
      </w:r>
    </w:p>
    <w:p w14:paraId="44218A0A">
      <w:pPr>
        <w:ind w:firstLine="480"/>
      </w:pPr>
      <w:r>
        <w:rPr>
          <w:rFonts w:hint="eastAsia"/>
        </w:rPr>
        <w:t>矿区周边没有发现重点保护动物的活动痕迹，主要动物是小型动物、常见鸟类、常见的爬行类动物等，项目周边分布有居民区，动物的活动轨迹不明显。项目的运营对动物的影响与环评预测一致。</w:t>
      </w:r>
    </w:p>
    <w:p w14:paraId="55B9848A">
      <w:pPr>
        <w:ind w:firstLine="0" w:firstLineChars="0"/>
        <w:rPr>
          <w:rFonts w:cs="Times New Roman"/>
        </w:rPr>
      </w:pPr>
      <w:r>
        <w:rPr>
          <w:rFonts w:cs="Times New Roman"/>
        </w:rPr>
        <w:t>6</w:t>
      </w:r>
      <w:r>
        <w:rPr>
          <w:rFonts w:hint="eastAsia" w:cs="Times New Roman"/>
        </w:rPr>
        <w:t>.</w:t>
      </w:r>
      <w:r>
        <w:rPr>
          <w:rFonts w:cs="Times New Roman"/>
        </w:rPr>
        <w:t>1</w:t>
      </w:r>
      <w:r>
        <w:rPr>
          <w:rFonts w:hint="eastAsia" w:cs="Times New Roman"/>
        </w:rPr>
        <w:t>.</w:t>
      </w:r>
      <w:r>
        <w:rPr>
          <w:rFonts w:cs="Times New Roman"/>
        </w:rPr>
        <w:t xml:space="preserve">2.4 </w:t>
      </w:r>
      <w:r>
        <w:rPr>
          <w:rFonts w:hint="eastAsia" w:cs="Times New Roman"/>
        </w:rPr>
        <w:t>景观</w:t>
      </w:r>
    </w:p>
    <w:p w14:paraId="491E72FB">
      <w:pPr>
        <w:ind w:firstLine="480"/>
      </w:pPr>
      <w:r>
        <w:rPr>
          <w:rFonts w:hint="eastAsia"/>
        </w:rPr>
        <w:t>目前矿区为正常生产状态，采矿场、采选工业场地、临时废石场、尾矿库、生活区均对周边的景观有一定影响，与环评影响分析一致。</w:t>
      </w:r>
    </w:p>
    <w:p w14:paraId="302DE0A6">
      <w:pPr>
        <w:ind w:firstLine="0" w:firstLineChars="0"/>
        <w:rPr>
          <w:rFonts w:cs="Times New Roman"/>
        </w:rPr>
      </w:pPr>
      <w:r>
        <w:rPr>
          <w:rFonts w:cs="Times New Roman"/>
        </w:rPr>
        <w:t>6</w:t>
      </w:r>
      <w:r>
        <w:rPr>
          <w:rFonts w:hint="eastAsia" w:cs="Times New Roman"/>
        </w:rPr>
        <w:t>.</w:t>
      </w:r>
      <w:r>
        <w:rPr>
          <w:rFonts w:cs="Times New Roman"/>
        </w:rPr>
        <w:t>1</w:t>
      </w:r>
      <w:r>
        <w:rPr>
          <w:rFonts w:hint="eastAsia" w:cs="Times New Roman"/>
        </w:rPr>
        <w:t>.</w:t>
      </w:r>
      <w:r>
        <w:rPr>
          <w:rFonts w:cs="Times New Roman"/>
        </w:rPr>
        <w:t xml:space="preserve">2.5 </w:t>
      </w:r>
      <w:r>
        <w:rPr>
          <w:rFonts w:hint="eastAsia" w:cs="Times New Roman"/>
        </w:rPr>
        <w:t>水土流失</w:t>
      </w:r>
    </w:p>
    <w:p w14:paraId="63159721">
      <w:pPr>
        <w:ind w:firstLine="480"/>
      </w:pPr>
      <w:r>
        <w:rPr>
          <w:rFonts w:hint="eastAsia"/>
        </w:rPr>
        <w:t>保证尾矿库安全规程的前提下，当尾矿库部分干滩区域出现地面干裂、起皮等现象，现有喷淋系统不能完全覆盖，当出现干旱、大风天气时，可能会出现风沙扬尘现象，扬尘来源主要是沉积滩面细颗粒尾砂。若不进行及时防治，将会造成尾矿库水土流失加剧。</w:t>
      </w:r>
    </w:p>
    <w:p w14:paraId="4E53BFB4">
      <w:pPr>
        <w:ind w:firstLine="480"/>
      </w:pPr>
      <w:r>
        <w:rPr>
          <w:rFonts w:hint="eastAsia"/>
        </w:rPr>
        <w:t>综上所述，项目生态环境现状与环评阶段对生态环境影响的分析基本一致，目前主要问题是尾矿库的矿坝绿化不足、库区干滩区域会产生风沙扬尘，为进一步减少项目对生态环境的影响，需进一步对尾矿库提出改进措施。</w:t>
      </w:r>
    </w:p>
    <w:p w14:paraId="7DEE39BF">
      <w:pPr>
        <w:keepNext/>
        <w:keepLines/>
        <w:spacing w:before="260" w:after="260" w:line="415" w:lineRule="auto"/>
        <w:ind w:firstLine="0" w:firstLineChars="0"/>
        <w:jc w:val="left"/>
        <w:outlineLvl w:val="1"/>
        <w:rPr>
          <w:rFonts w:cstheme="majorBidi"/>
          <w:b/>
          <w:bCs/>
          <w:sz w:val="32"/>
          <w:szCs w:val="32"/>
        </w:rPr>
      </w:pPr>
      <w:bookmarkStart w:id="57" w:name="_Toc85213516"/>
      <w:bookmarkStart w:id="58" w:name="_Toc55773241"/>
      <w:r>
        <w:rPr>
          <w:rFonts w:cstheme="majorBidi"/>
          <w:b/>
          <w:bCs/>
          <w:sz w:val="32"/>
          <w:szCs w:val="32"/>
        </w:rPr>
        <w:t>6</w:t>
      </w:r>
      <w:r>
        <w:rPr>
          <w:rFonts w:hint="eastAsia" w:cstheme="majorBidi"/>
          <w:b/>
          <w:bCs/>
          <w:sz w:val="32"/>
          <w:szCs w:val="32"/>
        </w:rPr>
        <w:t>.</w:t>
      </w:r>
      <w:r>
        <w:rPr>
          <w:rFonts w:cstheme="majorBidi"/>
          <w:b/>
          <w:bCs/>
          <w:sz w:val="32"/>
          <w:szCs w:val="32"/>
        </w:rPr>
        <w:t xml:space="preserve">2 </w:t>
      </w:r>
      <w:r>
        <w:rPr>
          <w:rFonts w:hint="eastAsia" w:cstheme="majorBidi"/>
          <w:b/>
          <w:bCs/>
          <w:sz w:val="32"/>
          <w:szCs w:val="32"/>
        </w:rPr>
        <w:t>地下水环境影响预测验证</w:t>
      </w:r>
      <w:bookmarkEnd w:id="57"/>
      <w:bookmarkEnd w:id="58"/>
    </w:p>
    <w:p w14:paraId="372A6107">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2</w:t>
      </w:r>
      <w:r>
        <w:rPr>
          <w:rFonts w:hint="eastAsia"/>
          <w:b/>
          <w:bCs/>
          <w:sz w:val="28"/>
          <w:szCs w:val="32"/>
        </w:rPr>
        <w:t>.1</w:t>
      </w:r>
      <w:r>
        <w:rPr>
          <w:b/>
          <w:bCs/>
          <w:sz w:val="28"/>
          <w:szCs w:val="32"/>
        </w:rPr>
        <w:t xml:space="preserve"> </w:t>
      </w:r>
      <w:r>
        <w:rPr>
          <w:rFonts w:hint="eastAsia"/>
          <w:b/>
          <w:bCs/>
          <w:sz w:val="28"/>
          <w:szCs w:val="32"/>
        </w:rPr>
        <w:t>评价区水文地质条件评价</w:t>
      </w:r>
    </w:p>
    <w:p w14:paraId="6FD92122">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1.1</w:t>
      </w:r>
      <w:r>
        <w:rPr>
          <w:rFonts w:hint="eastAsia" w:cs="Times New Roman"/>
        </w:rPr>
        <w:t>区域地下水赋存条件及分布规律</w:t>
      </w:r>
    </w:p>
    <w:p w14:paraId="77D8FC26">
      <w:pPr>
        <w:autoSpaceDE w:val="0"/>
        <w:autoSpaceDN w:val="0"/>
        <w:adjustRightInd w:val="0"/>
        <w:ind w:firstLine="480"/>
        <w:jc w:val="left"/>
        <w:rPr>
          <w:rFonts w:hint="eastAsia" w:ascii="宋体" w:cs="宋体" w:hAnsiTheme="minorHAnsi"/>
          <w:kern w:val="0"/>
          <w:szCs w:val="24"/>
        </w:rPr>
      </w:pPr>
      <w:r>
        <w:rPr>
          <w:rFonts w:hint="eastAsia" w:ascii="宋体" w:cs="宋体" w:hAnsiTheme="minorHAnsi"/>
          <w:kern w:val="0"/>
          <w:szCs w:val="24"/>
        </w:rPr>
        <w:t>矿床位于二级阶地区，第四系岩性、厚度变化大。在矿床的不同部位第四系含水层厚度及富水性差异很大，南部含水贫乏，北部含水丰富。第四系上部上更新统厚度大，渗透性差，地表水和大气降水下渗困难。第四系地下水位与开采前大体相当，受矿山开采疏干排水影响不大。</w:t>
      </w:r>
    </w:p>
    <w:p w14:paraId="5A4E4619">
      <w:pPr>
        <w:autoSpaceDE w:val="0"/>
        <w:autoSpaceDN w:val="0"/>
        <w:adjustRightInd w:val="0"/>
        <w:ind w:firstLine="480"/>
        <w:jc w:val="left"/>
        <w:rPr>
          <w:rFonts w:hint="eastAsia" w:ascii="宋体" w:cs="宋体" w:hAnsiTheme="minorHAnsi"/>
          <w:kern w:val="0"/>
          <w:szCs w:val="24"/>
        </w:rPr>
      </w:pPr>
      <w:r>
        <w:rPr>
          <w:rFonts w:hint="eastAsia" w:ascii="宋体" w:cs="宋体" w:hAnsiTheme="minorHAnsi"/>
          <w:kern w:val="0"/>
          <w:szCs w:val="24"/>
        </w:rPr>
        <w:t>风化带裂隙含水岩组已位于地下水位之上，水文地质意义不大。新鲜基岩含水岩组总体含水贫乏，局部构造破碎部位含水稍丰富。</w:t>
      </w:r>
    </w:p>
    <w:p w14:paraId="07E41683">
      <w:pPr>
        <w:autoSpaceDE w:val="0"/>
        <w:autoSpaceDN w:val="0"/>
        <w:adjustRightInd w:val="0"/>
        <w:ind w:firstLine="480"/>
        <w:jc w:val="left"/>
        <w:rPr>
          <w:rFonts w:hint="eastAsia" w:ascii="宋体" w:cs="宋体" w:hAnsiTheme="minorHAnsi"/>
          <w:kern w:val="0"/>
          <w:szCs w:val="24"/>
        </w:rPr>
      </w:pPr>
      <w:r>
        <w:rPr>
          <w:rFonts w:hint="eastAsia" w:ascii="宋体" w:cs="宋体" w:hAnsiTheme="minorHAnsi"/>
          <w:kern w:val="0"/>
          <w:szCs w:val="24"/>
        </w:rPr>
        <w:t>第四系松散层孔隙、溶隙含水岩组与风化带裂隙含水岩组之间存在隔水层，但局部有</w:t>
      </w:r>
      <w:r>
        <w:rPr>
          <w:rFonts w:cs="Times New Roman"/>
          <w:kern w:val="0"/>
          <w:szCs w:val="24"/>
        </w:rPr>
        <w:t>“</w:t>
      </w:r>
      <w:r>
        <w:rPr>
          <w:rFonts w:hint="eastAsia" w:ascii="宋体" w:cs="宋体" w:hAnsiTheme="minorHAnsi"/>
          <w:kern w:val="0"/>
          <w:szCs w:val="24"/>
        </w:rPr>
        <w:t>天窗</w:t>
      </w:r>
      <w:r>
        <w:rPr>
          <w:rFonts w:cs="Times New Roman"/>
          <w:kern w:val="0"/>
          <w:szCs w:val="24"/>
        </w:rPr>
        <w:t>”</w:t>
      </w:r>
      <w:r>
        <w:rPr>
          <w:rFonts w:hint="eastAsia" w:ascii="宋体" w:cs="宋体" w:hAnsiTheme="minorHAnsi"/>
          <w:kern w:val="0"/>
          <w:szCs w:val="24"/>
        </w:rPr>
        <w:t>，存在一定的水力联系，联系微弱。预测未来-</w:t>
      </w:r>
      <w:r>
        <w:rPr>
          <w:rFonts w:cs="Times New Roman"/>
          <w:kern w:val="0"/>
          <w:szCs w:val="24"/>
        </w:rPr>
        <w:t>560</w:t>
      </w:r>
      <w:r>
        <w:rPr>
          <w:rFonts w:hint="eastAsia" w:ascii="宋体" w:cs="宋体" w:hAnsiTheme="minorHAnsi"/>
          <w:kern w:val="0"/>
          <w:szCs w:val="24"/>
        </w:rPr>
        <w:t>米以上所有中段全部贯通后，矿坑涌水量为</w:t>
      </w:r>
      <w:r>
        <w:rPr>
          <w:rFonts w:cs="Times New Roman"/>
          <w:kern w:val="0"/>
          <w:szCs w:val="24"/>
        </w:rPr>
        <w:t xml:space="preserve">3183.9 </w:t>
      </w:r>
      <w:r>
        <w:rPr>
          <w:rFonts w:hint="eastAsia" w:ascii="宋体" w:cs="宋体" w:hAnsiTheme="minorHAnsi"/>
          <w:kern w:val="0"/>
          <w:szCs w:val="24"/>
        </w:rPr>
        <w:t>米</w:t>
      </w:r>
      <w:r>
        <w:rPr>
          <w:rFonts w:cs="Times New Roman"/>
          <w:kern w:val="0"/>
          <w:szCs w:val="24"/>
        </w:rPr>
        <w:t>3/</w:t>
      </w:r>
      <w:r>
        <w:rPr>
          <w:rFonts w:hint="eastAsia" w:ascii="宋体" w:cs="宋体" w:hAnsiTheme="minorHAnsi"/>
          <w:kern w:val="0"/>
          <w:szCs w:val="24"/>
        </w:rPr>
        <w:t>日（不包括充填水量）。</w:t>
      </w:r>
    </w:p>
    <w:p w14:paraId="54404281">
      <w:pPr>
        <w:autoSpaceDE w:val="0"/>
        <w:autoSpaceDN w:val="0"/>
        <w:adjustRightInd w:val="0"/>
        <w:ind w:firstLine="480"/>
        <w:jc w:val="left"/>
        <w:rPr>
          <w:rFonts w:hint="eastAsia" w:ascii="宋体" w:cs="宋体" w:hAnsiTheme="minorHAnsi"/>
          <w:kern w:val="0"/>
          <w:szCs w:val="24"/>
        </w:rPr>
      </w:pPr>
      <w:r>
        <w:rPr>
          <w:rFonts w:hint="eastAsia" w:ascii="宋体" w:cs="宋体" w:hAnsiTheme="minorHAnsi"/>
          <w:kern w:val="0"/>
          <w:szCs w:val="24"/>
        </w:rPr>
        <w:t>综上所述，草楼铁矿矿床埋藏于当地侵蚀基准面之下，无大的地表水体，主要充水岩层富水性极弱，构造破碎带富水性弱，地下水补给来源差，矿床水文地质类型为以基岩裂隙水直截充水为主的水文地质条件简单的矿床。</w:t>
      </w:r>
    </w:p>
    <w:p w14:paraId="4044416E">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1.2</w:t>
      </w:r>
      <w:r>
        <w:rPr>
          <w:rFonts w:hint="eastAsia" w:cs="Times New Roman"/>
        </w:rPr>
        <w:t>地下水类型</w:t>
      </w:r>
    </w:p>
    <w:p w14:paraId="158EE863">
      <w:pPr>
        <w:autoSpaceDE w:val="0"/>
        <w:autoSpaceDN w:val="0"/>
        <w:adjustRightInd w:val="0"/>
        <w:ind w:firstLine="480"/>
        <w:jc w:val="left"/>
        <w:rPr>
          <w:rFonts w:hint="eastAsia" w:ascii="宋体" w:cs="宋体" w:hAnsiTheme="minorHAnsi"/>
          <w:kern w:val="0"/>
          <w:szCs w:val="24"/>
        </w:rPr>
      </w:pPr>
      <w:r>
        <w:rPr>
          <w:rFonts w:hint="eastAsia" w:ascii="宋体" w:cs="宋体" w:hAnsiTheme="minorHAnsi"/>
          <w:kern w:val="0"/>
          <w:szCs w:val="24"/>
        </w:rPr>
        <w:t>根据地下水赋存条件、本区地下水可分为松散岩类孔隙水、碎屑岩类裂隙、孔隙水、碳酸盐类裂隙岩溶水和变质岩类裂隙水四个基本类型。</w:t>
      </w:r>
    </w:p>
    <w:p w14:paraId="2675E61F">
      <w:pPr>
        <w:autoSpaceDE w:val="0"/>
        <w:autoSpaceDN w:val="0"/>
        <w:adjustRightInd w:val="0"/>
        <w:ind w:firstLine="480"/>
        <w:jc w:val="left"/>
        <w:rPr>
          <w:rFonts w:cs="Times New Roman"/>
          <w:kern w:val="0"/>
          <w:szCs w:val="24"/>
        </w:rPr>
      </w:pPr>
      <w:r>
        <w:rPr>
          <w:rFonts w:cs="Times New Roman"/>
          <w:kern w:val="0"/>
          <w:szCs w:val="24"/>
        </w:rPr>
        <w:t>（1）松散岩类孔隙水</w:t>
      </w:r>
    </w:p>
    <w:p w14:paraId="140A0A08">
      <w:pPr>
        <w:autoSpaceDE w:val="0"/>
        <w:autoSpaceDN w:val="0"/>
        <w:adjustRightInd w:val="0"/>
        <w:ind w:firstLine="480"/>
        <w:jc w:val="left"/>
        <w:rPr>
          <w:rFonts w:cs="Times New Roman"/>
          <w:kern w:val="0"/>
          <w:szCs w:val="24"/>
        </w:rPr>
      </w:pPr>
      <w:r>
        <w:rPr>
          <w:rFonts w:cs="Times New Roman"/>
          <w:kern w:val="0"/>
          <w:szCs w:val="24"/>
        </w:rPr>
        <w:t>广泛分布霍邱铁矿区，厚度80～260m。根据埋藏条件及水力特征划分为浅层含水岩组和深层含水岩组。</w:t>
      </w:r>
    </w:p>
    <w:p w14:paraId="602F956B">
      <w:pPr>
        <w:autoSpaceDE w:val="0"/>
        <w:autoSpaceDN w:val="0"/>
        <w:adjustRightInd w:val="0"/>
        <w:ind w:firstLine="480"/>
        <w:jc w:val="left"/>
        <w:rPr>
          <w:rFonts w:cs="Times New Roman"/>
          <w:kern w:val="0"/>
          <w:szCs w:val="24"/>
        </w:rPr>
      </w:pPr>
      <w:r>
        <w:rPr>
          <w:rFonts w:cs="Times New Roman"/>
          <w:kern w:val="0"/>
          <w:szCs w:val="24"/>
        </w:rPr>
        <w:t>浅层孔隙含水岩组：系指全新统含水层。分布于一级阶地及河漫滩地区。含水层厚度4～24.36m，水量中等～丰富，单井涌水量348.19～1061.71 t/d。直接受大气降水的补给，与淮河水存在互补关系。</w:t>
      </w:r>
    </w:p>
    <w:p w14:paraId="1C8412C6">
      <w:pPr>
        <w:autoSpaceDE w:val="0"/>
        <w:autoSpaceDN w:val="0"/>
        <w:adjustRightInd w:val="0"/>
        <w:ind w:firstLine="480"/>
        <w:jc w:val="left"/>
        <w:rPr>
          <w:rFonts w:cs="Times New Roman"/>
          <w:kern w:val="0"/>
          <w:szCs w:val="24"/>
        </w:rPr>
      </w:pPr>
      <w:r>
        <w:rPr>
          <w:rFonts w:cs="Times New Roman"/>
          <w:kern w:val="0"/>
          <w:szCs w:val="24"/>
        </w:rPr>
        <w:t>深层孔隙含水岩组：广泛分布于沿淮堆积平原区，地表无出露。二级阶地被上更新统所覆盖，东北部厚度达121.17m。西～西南四十里长山丘陵区逐渐变薄</w:t>
      </w:r>
      <w:r>
        <w:rPr>
          <w:rFonts w:hint="eastAsia" w:cs="Times New Roman"/>
          <w:kern w:val="0"/>
          <w:szCs w:val="24"/>
        </w:rPr>
        <w:t>以至尖灭，富水性亦随之变弱。含水层岩性北部以亚砂土、粗中砂及砂砾石层为主，南部主要为半胶结泥灰岩。其上覆盖20～70m 厚的亚粘土，将其与浅层孔隙含水岩组隔开，从而形成了具双层地质结构的地下水，见图</w:t>
      </w:r>
      <w:r>
        <w:rPr>
          <w:rFonts w:cs="Times New Roman"/>
          <w:kern w:val="0"/>
          <w:szCs w:val="24"/>
        </w:rPr>
        <w:t>6</w:t>
      </w:r>
      <w:r>
        <w:rPr>
          <w:rFonts w:hint="eastAsia" w:cs="Times New Roman"/>
          <w:kern w:val="0"/>
          <w:szCs w:val="24"/>
        </w:rPr>
        <w:t>.2-1。</w:t>
      </w:r>
    </w:p>
    <w:p w14:paraId="11D0F4CC">
      <w:pPr>
        <w:ind w:firstLine="0" w:firstLineChars="0"/>
        <w:jc w:val="center"/>
        <w:rPr>
          <w:rFonts w:hint="eastAsia" w:ascii="宋体" w:eastAsia="黑体" w:cs="宋体" w:hAnsiTheme="minorHAnsi"/>
          <w:kern w:val="0"/>
          <w:sz w:val="20"/>
          <w:szCs w:val="24"/>
        </w:rPr>
      </w:pPr>
      <w:r>
        <w:rPr>
          <w:rFonts w:ascii="Arial" w:hAnsi="Arial" w:eastAsia="黑体" w:cs="Arial"/>
          <w:b/>
          <w:sz w:val="21"/>
          <w:szCs w:val="20"/>
        </w:rPr>
        <w:drawing>
          <wp:inline distT="0" distB="0" distL="0" distR="0">
            <wp:extent cx="4267200" cy="2055495"/>
            <wp:effectExtent l="0" t="0" r="0" b="190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309224" cy="2075885"/>
                    </a:xfrm>
                    <a:prstGeom prst="rect">
                      <a:avLst/>
                    </a:prstGeom>
                    <a:noFill/>
                    <a:ln>
                      <a:noFill/>
                    </a:ln>
                  </pic:spPr>
                </pic:pic>
              </a:graphicData>
            </a:graphic>
          </wp:inline>
        </w:drawing>
      </w:r>
    </w:p>
    <w:p w14:paraId="184BF8CC">
      <w:pPr>
        <w:ind w:firstLine="0" w:firstLineChars="0"/>
        <w:jc w:val="center"/>
        <w:rPr>
          <w:rFonts w:cs="Times New Roman"/>
          <w:b/>
          <w:bCs/>
          <w:szCs w:val="24"/>
        </w:rPr>
      </w:pPr>
      <w:r>
        <w:rPr>
          <w:rFonts w:hint="eastAsia" w:cs="Times New Roman"/>
          <w:b/>
          <w:bCs/>
          <w:szCs w:val="24"/>
        </w:rPr>
        <w:t>表</w:t>
      </w:r>
      <w:r>
        <w:rPr>
          <w:rFonts w:cs="Times New Roman"/>
          <w:b/>
          <w:bCs/>
          <w:szCs w:val="24"/>
        </w:rPr>
        <w:t>6.2</w:t>
      </w:r>
      <w:r>
        <w:rPr>
          <w:rFonts w:hint="eastAsia" w:cs="Times New Roman"/>
          <w:b/>
          <w:bCs/>
          <w:szCs w:val="24"/>
        </w:rPr>
        <w:t>-</w:t>
      </w:r>
      <w:r>
        <w:rPr>
          <w:rFonts w:cs="Times New Roman"/>
          <w:b/>
          <w:bCs/>
          <w:szCs w:val="24"/>
        </w:rPr>
        <w:t xml:space="preserve">1 </w:t>
      </w:r>
      <w:r>
        <w:rPr>
          <w:rFonts w:hint="eastAsia" w:cs="Times New Roman"/>
          <w:b/>
          <w:bCs/>
          <w:szCs w:val="24"/>
        </w:rPr>
        <w:t>矿区第四系水文地质剖面图</w:t>
      </w:r>
    </w:p>
    <w:p w14:paraId="359476E9">
      <w:pPr>
        <w:autoSpaceDE w:val="0"/>
        <w:autoSpaceDN w:val="0"/>
        <w:adjustRightInd w:val="0"/>
        <w:ind w:firstLine="480"/>
        <w:jc w:val="left"/>
        <w:rPr>
          <w:rFonts w:cs="Times New Roman"/>
          <w:kern w:val="0"/>
          <w:szCs w:val="24"/>
        </w:rPr>
      </w:pPr>
      <w:r>
        <w:rPr>
          <w:rFonts w:hint="eastAsia" w:cs="Times New Roman"/>
          <w:kern w:val="0"/>
          <w:szCs w:val="24"/>
        </w:rPr>
        <w:t>（</w:t>
      </w:r>
      <w:r>
        <w:rPr>
          <w:rFonts w:cs="Times New Roman"/>
          <w:kern w:val="0"/>
          <w:szCs w:val="24"/>
        </w:rPr>
        <w:t>2</w:t>
      </w:r>
      <w:r>
        <w:rPr>
          <w:rFonts w:hint="eastAsia" w:cs="Times New Roman"/>
          <w:kern w:val="0"/>
          <w:szCs w:val="24"/>
        </w:rPr>
        <w:t>）碎屑岩类裂隙、孔隙水</w:t>
      </w:r>
    </w:p>
    <w:p w14:paraId="1BA2A974">
      <w:pPr>
        <w:autoSpaceDE w:val="0"/>
        <w:autoSpaceDN w:val="0"/>
        <w:adjustRightInd w:val="0"/>
        <w:ind w:firstLine="480"/>
        <w:jc w:val="left"/>
        <w:rPr>
          <w:rFonts w:cs="Times New Roman"/>
          <w:kern w:val="0"/>
          <w:szCs w:val="24"/>
        </w:rPr>
      </w:pPr>
      <w:r>
        <w:rPr>
          <w:rFonts w:hint="eastAsia" w:cs="Times New Roman"/>
          <w:kern w:val="0"/>
          <w:szCs w:val="24"/>
        </w:rPr>
        <w:t>由红层裂隙含水岩组及碎屑岩裂隙、孔隙含水岩组组成。两个含水岩组水量小于</w:t>
      </w:r>
      <w:r>
        <w:rPr>
          <w:rFonts w:cs="Times New Roman"/>
          <w:kern w:val="0"/>
          <w:szCs w:val="24"/>
        </w:rPr>
        <w:t>100t/d</w:t>
      </w:r>
      <w:r>
        <w:rPr>
          <w:rFonts w:hint="eastAsia" w:cs="Times New Roman"/>
          <w:kern w:val="0"/>
          <w:szCs w:val="24"/>
        </w:rPr>
        <w:t>。</w:t>
      </w:r>
    </w:p>
    <w:p w14:paraId="4A4B94B1">
      <w:pPr>
        <w:autoSpaceDE w:val="0"/>
        <w:autoSpaceDN w:val="0"/>
        <w:adjustRightInd w:val="0"/>
        <w:ind w:firstLine="480"/>
        <w:jc w:val="left"/>
        <w:rPr>
          <w:rFonts w:cs="Times New Roman"/>
          <w:kern w:val="0"/>
          <w:szCs w:val="24"/>
        </w:rPr>
      </w:pPr>
      <w:r>
        <w:rPr>
          <w:rFonts w:hint="eastAsia" w:cs="Times New Roman"/>
          <w:kern w:val="0"/>
          <w:szCs w:val="24"/>
        </w:rPr>
        <w:t>（</w:t>
      </w:r>
      <w:r>
        <w:rPr>
          <w:rFonts w:cs="Times New Roman"/>
          <w:kern w:val="0"/>
          <w:szCs w:val="24"/>
        </w:rPr>
        <w:t>3</w:t>
      </w:r>
      <w:r>
        <w:rPr>
          <w:rFonts w:hint="eastAsia" w:cs="Times New Roman"/>
          <w:kern w:val="0"/>
          <w:szCs w:val="24"/>
        </w:rPr>
        <w:t>）碳酸盐岩类裂隙岩溶水</w:t>
      </w:r>
    </w:p>
    <w:p w14:paraId="50942410">
      <w:pPr>
        <w:autoSpaceDE w:val="0"/>
        <w:autoSpaceDN w:val="0"/>
        <w:adjustRightInd w:val="0"/>
        <w:ind w:firstLine="480"/>
        <w:jc w:val="left"/>
        <w:rPr>
          <w:rFonts w:cs="Times New Roman"/>
          <w:kern w:val="0"/>
          <w:szCs w:val="24"/>
        </w:rPr>
      </w:pPr>
      <w:r>
        <w:rPr>
          <w:rFonts w:hint="eastAsia" w:cs="Times New Roman"/>
          <w:kern w:val="0"/>
          <w:szCs w:val="24"/>
        </w:rPr>
        <w:t>根据有无碎屑岩类夹层进一步划分为碳酸盐岩裂隙岩溶含水岩组和碎屑岩碳酸盐岩裂隙岩溶含水岩组，单井涌水量</w:t>
      </w:r>
      <w:r>
        <w:rPr>
          <w:rFonts w:cs="Times New Roman"/>
          <w:kern w:val="0"/>
          <w:szCs w:val="24"/>
        </w:rPr>
        <w:t>345.43</w:t>
      </w:r>
      <w:r>
        <w:rPr>
          <w:rFonts w:hint="eastAsia" w:cs="Times New Roman"/>
          <w:kern w:val="0"/>
          <w:szCs w:val="24"/>
        </w:rPr>
        <w:t>～</w:t>
      </w:r>
      <w:r>
        <w:rPr>
          <w:rFonts w:cs="Times New Roman"/>
          <w:kern w:val="0"/>
          <w:szCs w:val="24"/>
        </w:rPr>
        <w:t>441.68 t/d</w:t>
      </w:r>
      <w:r>
        <w:rPr>
          <w:rFonts w:hint="eastAsia" w:cs="Times New Roman"/>
          <w:kern w:val="0"/>
          <w:szCs w:val="24"/>
        </w:rPr>
        <w:t>，富水性中等。</w:t>
      </w:r>
    </w:p>
    <w:p w14:paraId="5E386AE1">
      <w:pPr>
        <w:autoSpaceDE w:val="0"/>
        <w:autoSpaceDN w:val="0"/>
        <w:adjustRightInd w:val="0"/>
        <w:ind w:firstLine="480"/>
        <w:jc w:val="left"/>
        <w:rPr>
          <w:rFonts w:cs="Times New Roman"/>
          <w:kern w:val="0"/>
          <w:szCs w:val="24"/>
        </w:rPr>
      </w:pPr>
      <w:r>
        <w:rPr>
          <w:rFonts w:hint="eastAsia" w:cs="Times New Roman"/>
          <w:kern w:val="0"/>
          <w:szCs w:val="24"/>
        </w:rPr>
        <w:t>（</w:t>
      </w:r>
      <w:r>
        <w:rPr>
          <w:rFonts w:cs="Times New Roman"/>
          <w:kern w:val="0"/>
          <w:szCs w:val="24"/>
        </w:rPr>
        <w:t>4</w:t>
      </w:r>
      <w:r>
        <w:rPr>
          <w:rFonts w:hint="eastAsia" w:cs="Times New Roman"/>
          <w:kern w:val="0"/>
          <w:szCs w:val="24"/>
        </w:rPr>
        <w:t>）变质岩类裂隙水</w:t>
      </w:r>
    </w:p>
    <w:p w14:paraId="35691740">
      <w:pPr>
        <w:autoSpaceDE w:val="0"/>
        <w:autoSpaceDN w:val="0"/>
        <w:adjustRightInd w:val="0"/>
        <w:ind w:firstLine="480"/>
        <w:jc w:val="left"/>
        <w:rPr>
          <w:rFonts w:cs="Times New Roman"/>
          <w:kern w:val="0"/>
          <w:szCs w:val="24"/>
        </w:rPr>
      </w:pPr>
      <w:r>
        <w:rPr>
          <w:rFonts w:hint="eastAsia" w:cs="Times New Roman"/>
          <w:kern w:val="0"/>
          <w:szCs w:val="24"/>
        </w:rPr>
        <w:t>广布于霍邱铁矿区中部，均为第四系所覆盖，裂隙不发育或被充填愈合。一般富水性贫乏，上部风化层富水性稍好。分布于重新集地段白云石大理岩岩溶发育，涌水量达</w:t>
      </w:r>
      <w:r>
        <w:rPr>
          <w:rFonts w:cs="Times New Roman"/>
          <w:kern w:val="0"/>
          <w:szCs w:val="24"/>
        </w:rPr>
        <w:t>1229.82t/d</w:t>
      </w:r>
      <w:r>
        <w:rPr>
          <w:rFonts w:hint="eastAsia" w:cs="Times New Roman"/>
          <w:kern w:val="0"/>
          <w:szCs w:val="24"/>
        </w:rPr>
        <w:t>，属水量丰富的。</w:t>
      </w:r>
    </w:p>
    <w:p w14:paraId="1BADC01A">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 xml:space="preserve">1.3 </w:t>
      </w:r>
      <w:r>
        <w:rPr>
          <w:rFonts w:hint="eastAsia" w:cs="Times New Roman"/>
        </w:rPr>
        <w:t>地下水补、径、排条件及化学特征</w:t>
      </w:r>
    </w:p>
    <w:p w14:paraId="73AF74B7">
      <w:pPr>
        <w:ind w:firstLine="480"/>
      </w:pPr>
      <w:bookmarkStart w:id="59" w:name="_Toc333771556"/>
      <w:bookmarkStart w:id="60" w:name="_Toc387823845"/>
      <w:r>
        <w:rPr>
          <w:rFonts w:hint="eastAsia"/>
        </w:rPr>
        <w:t>（</w:t>
      </w:r>
      <w:r>
        <w:t>1</w:t>
      </w:r>
      <w:r>
        <w:rPr>
          <w:rFonts w:hint="eastAsia"/>
        </w:rPr>
        <w:t>）地表水与地下水的关系</w:t>
      </w:r>
      <w:bookmarkEnd w:id="59"/>
      <w:bookmarkEnd w:id="60"/>
    </w:p>
    <w:p w14:paraId="2D1D976E">
      <w:pPr>
        <w:autoSpaceDE w:val="0"/>
        <w:autoSpaceDN w:val="0"/>
        <w:ind w:firstLine="480"/>
        <w:rPr>
          <w:rFonts w:cs="宋体"/>
          <w:kern w:val="0"/>
        </w:rPr>
      </w:pPr>
      <w:r>
        <w:rPr>
          <w:rFonts w:hint="eastAsia" w:cs="宋体"/>
          <w:kern w:val="0"/>
        </w:rPr>
        <w:t>受地质结构的控制，淮河水除与全新统浅层水存在着水力联系外，与其他含水岩组地下水的关系，并不十分密切，全新统砂层水位与淮河水位呈同步升降，全年大部分时段是全新统浅层水水位高于淮河水位，唯雨季反之。一般是全新统浅层水补给淮河水，雨季则是淮河水补给全新统浅层水，淮河下蚀全新统砂层示意见</w:t>
      </w:r>
      <w:r>
        <w:fldChar w:fldCharType="begin"/>
      </w:r>
      <w:r>
        <w:instrText xml:space="preserve"> REF _Ref384843305 \h  \* MERGEFORMAT </w:instrText>
      </w:r>
      <w:r>
        <w:fldChar w:fldCharType="separate"/>
      </w:r>
      <w:r>
        <w:rPr>
          <w:rFonts w:hint="eastAsia" w:cs="宋体"/>
          <w:kern w:val="0"/>
        </w:rPr>
        <w:t>图</w:t>
      </w:r>
      <w:r>
        <w:rPr>
          <w:rFonts w:cs="宋体"/>
          <w:kern w:val="0"/>
        </w:rPr>
        <w:t>6</w:t>
      </w:r>
      <w:r>
        <w:rPr>
          <w:rFonts w:hint="eastAsia" w:cs="宋体"/>
          <w:kern w:val="0"/>
        </w:rPr>
        <w:t>.3-</w:t>
      </w:r>
      <w:r>
        <w:rPr>
          <w:rFonts w:cs="宋体"/>
          <w:kern w:val="0"/>
        </w:rPr>
        <w:t>2</w:t>
      </w:r>
      <w:r>
        <w:fldChar w:fldCharType="end"/>
      </w:r>
      <w:r>
        <w:rPr>
          <w:rFonts w:hint="eastAsia" w:cs="宋体"/>
          <w:kern w:val="0"/>
        </w:rPr>
        <w:t>、全新统浅层水与淮河水Na、F及M含量变化曲线见图</w:t>
      </w:r>
      <w:r>
        <w:rPr>
          <w:rFonts w:cs="宋体"/>
          <w:kern w:val="0"/>
        </w:rPr>
        <w:t>6.2</w:t>
      </w:r>
      <w:r>
        <w:rPr>
          <w:rFonts w:hint="eastAsia" w:cs="宋体"/>
          <w:kern w:val="0"/>
        </w:rPr>
        <w:t>-</w:t>
      </w:r>
      <w:r>
        <w:rPr>
          <w:rFonts w:cs="宋体"/>
          <w:kern w:val="0"/>
        </w:rPr>
        <w:t>3</w:t>
      </w:r>
      <w:r>
        <w:rPr>
          <w:rFonts w:hint="eastAsia" w:cs="宋体"/>
          <w:kern w:val="0"/>
        </w:rPr>
        <w:t>。</w:t>
      </w:r>
    </w:p>
    <w:p w14:paraId="63470FAE">
      <w:pPr>
        <w:ind w:firstLine="0" w:firstLineChars="0"/>
        <w:jc w:val="center"/>
      </w:pPr>
      <w:r>
        <w:drawing>
          <wp:inline distT="0" distB="0" distL="0" distR="0">
            <wp:extent cx="2988945" cy="2926080"/>
            <wp:effectExtent l="0" t="0" r="1905" b="762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3003478" cy="2939847"/>
                    </a:xfrm>
                    <a:prstGeom prst="rect">
                      <a:avLst/>
                    </a:prstGeom>
                    <a:noFill/>
                    <a:ln>
                      <a:noFill/>
                    </a:ln>
                  </pic:spPr>
                </pic:pic>
              </a:graphicData>
            </a:graphic>
          </wp:inline>
        </w:drawing>
      </w:r>
    </w:p>
    <w:p w14:paraId="3831734F">
      <w:pPr>
        <w:spacing w:line="240" w:lineRule="auto"/>
        <w:ind w:firstLine="482" w:firstLineChars="0"/>
        <w:jc w:val="center"/>
        <w:rPr>
          <w:rFonts w:cs="宋体"/>
          <w:b/>
          <w:kern w:val="0"/>
          <w:szCs w:val="24"/>
        </w:rPr>
      </w:pPr>
      <w:bookmarkStart w:id="61" w:name="_Ref384843271"/>
      <w:r>
        <w:rPr>
          <w:rFonts w:hint="eastAsia" w:cs="宋体"/>
          <w:b/>
          <w:kern w:val="0"/>
          <w:szCs w:val="24"/>
        </w:rPr>
        <w:t>图</w:t>
      </w:r>
      <w:r>
        <w:rPr>
          <w:rFonts w:cs="宋体"/>
          <w:b/>
          <w:kern w:val="0"/>
          <w:szCs w:val="24"/>
        </w:rPr>
        <w:t>6</w:t>
      </w:r>
      <w:r>
        <w:rPr>
          <w:rFonts w:hint="eastAsia" w:cs="宋体"/>
          <w:b/>
          <w:kern w:val="0"/>
          <w:szCs w:val="24"/>
        </w:rPr>
        <w:t>.3-</w:t>
      </w:r>
      <w:r>
        <w:rPr>
          <w:rFonts w:cs="宋体"/>
          <w:b/>
          <w:kern w:val="0"/>
          <w:szCs w:val="24"/>
        </w:rPr>
        <w:fldChar w:fldCharType="begin"/>
      </w:r>
      <w:r>
        <w:rPr>
          <w:rFonts w:hint="eastAsia" w:cs="宋体"/>
          <w:b/>
          <w:kern w:val="0"/>
          <w:szCs w:val="24"/>
        </w:rPr>
        <w:instrText xml:space="preserve">SEQ 图2.3- \* ARABIC</w:instrText>
      </w:r>
      <w:r>
        <w:rPr>
          <w:rFonts w:cs="宋体"/>
          <w:b/>
          <w:kern w:val="0"/>
          <w:szCs w:val="24"/>
        </w:rPr>
        <w:fldChar w:fldCharType="separate"/>
      </w:r>
      <w:r>
        <w:rPr>
          <w:rFonts w:cs="宋体"/>
          <w:b/>
          <w:kern w:val="0"/>
          <w:szCs w:val="24"/>
        </w:rPr>
        <w:t>1</w:t>
      </w:r>
      <w:r>
        <w:rPr>
          <w:rFonts w:cs="宋体"/>
          <w:b/>
          <w:kern w:val="0"/>
          <w:szCs w:val="24"/>
        </w:rPr>
        <w:fldChar w:fldCharType="end"/>
      </w:r>
      <w:bookmarkEnd w:id="61"/>
      <w:r>
        <w:rPr>
          <w:rFonts w:hint="eastAsia" w:cs="宋体"/>
          <w:b/>
          <w:kern w:val="0"/>
          <w:szCs w:val="24"/>
        </w:rPr>
        <w:t>全新统浅层水位与淮河水位变化曲线图</w:t>
      </w:r>
    </w:p>
    <w:p w14:paraId="5C216328">
      <w:pPr>
        <w:ind w:firstLine="0" w:firstLineChars="0"/>
        <w:jc w:val="center"/>
      </w:pPr>
      <w:r>
        <w:drawing>
          <wp:inline distT="0" distB="0" distL="0" distR="0">
            <wp:extent cx="3021330" cy="2623820"/>
            <wp:effectExtent l="0" t="0" r="7620" b="508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052661" cy="2651166"/>
                    </a:xfrm>
                    <a:prstGeom prst="rect">
                      <a:avLst/>
                    </a:prstGeom>
                    <a:noFill/>
                    <a:ln>
                      <a:noFill/>
                    </a:ln>
                  </pic:spPr>
                </pic:pic>
              </a:graphicData>
            </a:graphic>
          </wp:inline>
        </w:drawing>
      </w:r>
    </w:p>
    <w:p w14:paraId="07E5DDFC">
      <w:pPr>
        <w:spacing w:line="240" w:lineRule="auto"/>
        <w:ind w:firstLine="482" w:firstLineChars="0"/>
        <w:jc w:val="center"/>
        <w:rPr>
          <w:rFonts w:cs="宋体"/>
          <w:b/>
          <w:kern w:val="0"/>
          <w:szCs w:val="24"/>
        </w:rPr>
      </w:pPr>
      <w:bookmarkStart w:id="62" w:name="_Ref384843305"/>
      <w:r>
        <w:rPr>
          <w:rFonts w:hint="eastAsia" w:cs="宋体"/>
          <w:b/>
          <w:kern w:val="0"/>
          <w:szCs w:val="24"/>
        </w:rPr>
        <w:t>图</w:t>
      </w:r>
      <w:r>
        <w:rPr>
          <w:rFonts w:cs="宋体"/>
          <w:b/>
          <w:kern w:val="0"/>
          <w:szCs w:val="24"/>
        </w:rPr>
        <w:t>6</w:t>
      </w:r>
      <w:r>
        <w:rPr>
          <w:rFonts w:hint="eastAsia" w:cs="宋体"/>
          <w:b/>
          <w:kern w:val="0"/>
          <w:szCs w:val="24"/>
        </w:rPr>
        <w:t>.3-</w:t>
      </w:r>
      <w:r>
        <w:rPr>
          <w:rFonts w:cs="宋体"/>
          <w:b/>
          <w:kern w:val="0"/>
          <w:szCs w:val="24"/>
        </w:rPr>
        <w:fldChar w:fldCharType="begin"/>
      </w:r>
      <w:r>
        <w:rPr>
          <w:rFonts w:hint="eastAsia" w:cs="宋体"/>
          <w:b/>
          <w:kern w:val="0"/>
          <w:szCs w:val="24"/>
        </w:rPr>
        <w:instrText xml:space="preserve">SEQ 图2.3- \* ARABIC</w:instrText>
      </w:r>
      <w:r>
        <w:rPr>
          <w:rFonts w:cs="宋体"/>
          <w:b/>
          <w:kern w:val="0"/>
          <w:szCs w:val="24"/>
        </w:rPr>
        <w:fldChar w:fldCharType="separate"/>
      </w:r>
      <w:r>
        <w:rPr>
          <w:rFonts w:cs="宋体"/>
          <w:b/>
          <w:kern w:val="0"/>
          <w:szCs w:val="24"/>
        </w:rPr>
        <w:t>2</w:t>
      </w:r>
      <w:r>
        <w:rPr>
          <w:rFonts w:cs="宋体"/>
          <w:b/>
          <w:kern w:val="0"/>
          <w:szCs w:val="24"/>
        </w:rPr>
        <w:fldChar w:fldCharType="end"/>
      </w:r>
      <w:bookmarkEnd w:id="62"/>
      <w:r>
        <w:rPr>
          <w:rFonts w:hint="eastAsia" w:cs="宋体"/>
          <w:b/>
          <w:kern w:val="0"/>
          <w:szCs w:val="24"/>
        </w:rPr>
        <w:t>淮河下蚀全新统砂层示意图</w:t>
      </w:r>
    </w:p>
    <w:p w14:paraId="1881C7F8">
      <w:pPr>
        <w:ind w:firstLine="0" w:firstLineChars="0"/>
        <w:jc w:val="center"/>
      </w:pPr>
      <w:r>
        <w:drawing>
          <wp:inline distT="0" distB="0" distL="0" distR="0">
            <wp:extent cx="4042410" cy="308038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042410" cy="3080385"/>
                    </a:xfrm>
                    <a:prstGeom prst="rect">
                      <a:avLst/>
                    </a:prstGeom>
                    <a:noFill/>
                    <a:ln>
                      <a:noFill/>
                    </a:ln>
                  </pic:spPr>
                </pic:pic>
              </a:graphicData>
            </a:graphic>
          </wp:inline>
        </w:drawing>
      </w:r>
    </w:p>
    <w:p w14:paraId="45E12A25">
      <w:pPr>
        <w:spacing w:line="240" w:lineRule="auto"/>
        <w:ind w:firstLine="482" w:firstLineChars="0"/>
        <w:jc w:val="center"/>
        <w:rPr>
          <w:rFonts w:cs="宋体"/>
          <w:b/>
          <w:kern w:val="0"/>
          <w:szCs w:val="24"/>
        </w:rPr>
      </w:pPr>
      <w:bookmarkStart w:id="63" w:name="_Ref385011880"/>
      <w:r>
        <w:rPr>
          <w:rFonts w:hint="eastAsia" w:cs="宋体"/>
          <w:b/>
          <w:kern w:val="0"/>
          <w:szCs w:val="24"/>
        </w:rPr>
        <w:t>图</w:t>
      </w:r>
      <w:r>
        <w:rPr>
          <w:rFonts w:cs="宋体"/>
          <w:b/>
          <w:kern w:val="0"/>
          <w:szCs w:val="24"/>
        </w:rPr>
        <w:t>6</w:t>
      </w:r>
      <w:r>
        <w:rPr>
          <w:rFonts w:hint="eastAsia" w:cs="宋体"/>
          <w:b/>
          <w:kern w:val="0"/>
          <w:szCs w:val="24"/>
        </w:rPr>
        <w:t>.3-</w:t>
      </w:r>
      <w:r>
        <w:rPr>
          <w:rFonts w:cs="宋体"/>
          <w:b/>
          <w:kern w:val="0"/>
          <w:szCs w:val="24"/>
        </w:rPr>
        <w:fldChar w:fldCharType="begin"/>
      </w:r>
      <w:r>
        <w:rPr>
          <w:rFonts w:hint="eastAsia" w:cs="宋体"/>
          <w:b/>
          <w:kern w:val="0"/>
          <w:szCs w:val="24"/>
        </w:rPr>
        <w:instrText xml:space="preserve">SEQ 图2.3- \* ARABIC</w:instrText>
      </w:r>
      <w:r>
        <w:rPr>
          <w:rFonts w:cs="宋体"/>
          <w:b/>
          <w:kern w:val="0"/>
          <w:szCs w:val="24"/>
        </w:rPr>
        <w:fldChar w:fldCharType="separate"/>
      </w:r>
      <w:r>
        <w:rPr>
          <w:rFonts w:cs="宋体"/>
          <w:b/>
          <w:kern w:val="0"/>
          <w:szCs w:val="24"/>
        </w:rPr>
        <w:t>3</w:t>
      </w:r>
      <w:r>
        <w:rPr>
          <w:rFonts w:cs="宋体"/>
          <w:b/>
          <w:kern w:val="0"/>
          <w:szCs w:val="24"/>
        </w:rPr>
        <w:fldChar w:fldCharType="end"/>
      </w:r>
      <w:bookmarkEnd w:id="63"/>
      <w:r>
        <w:rPr>
          <w:rFonts w:hint="eastAsia" w:cs="宋体"/>
          <w:b/>
          <w:kern w:val="0"/>
          <w:szCs w:val="24"/>
        </w:rPr>
        <w:t>全新统浅层水与淮河水Na、F及M含量变化曲线图</w:t>
      </w:r>
    </w:p>
    <w:p w14:paraId="6A1A97FE">
      <w:pPr>
        <w:ind w:firstLine="480"/>
      </w:pPr>
      <w:bookmarkStart w:id="64" w:name="_Toc333771557"/>
      <w:bookmarkStart w:id="65" w:name="_Toc387823846"/>
      <w:r>
        <w:rPr>
          <w:rFonts w:hint="eastAsia"/>
        </w:rPr>
        <w:t>（2）各含水层间的水力联系</w:t>
      </w:r>
      <w:bookmarkEnd w:id="64"/>
      <w:bookmarkEnd w:id="65"/>
    </w:p>
    <w:p w14:paraId="1945E137">
      <w:pPr>
        <w:ind w:firstLine="480"/>
      </w:pPr>
      <w:r>
        <w:rPr>
          <w:rFonts w:hint="eastAsia"/>
        </w:rPr>
        <w:t>项目所在整个区域内地势平坦，为淮河流域组成部分，总体地势南高北低，矿区分布Ⅱ级阶地上，地表发育次级分水岭，地表大面积以上更新统的粘土，亚粘土为主，降水入渗补给条件较差。但降雨量充沛，在大范围的汇水面积可提供一定的大气降水入渗量，但是地下水主要来源西南部基岩裸露区大气降水入渗补给区，自西南向北东缓慢径流，在地下水径流过程中，部分地下水还通过“天窗”向深层孔隙含水层（组）越流补给。浅层孔隙水主要以蒸发形式及居民生活民井等排泄。地下水运动以垂向交替运动为主，侧向交替运动为辅，最终排泄至淮河。</w:t>
      </w:r>
    </w:p>
    <w:p w14:paraId="28DDAAB6">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 xml:space="preserve">1.4 </w:t>
      </w:r>
      <w:r>
        <w:rPr>
          <w:rFonts w:hint="eastAsia" w:cs="Times New Roman"/>
        </w:rPr>
        <w:t>地下水分布规律</w:t>
      </w:r>
    </w:p>
    <w:p w14:paraId="5AEAD6A4">
      <w:pPr>
        <w:ind w:firstLine="480"/>
        <w:rPr>
          <w:rFonts w:cs="Times New Roman"/>
        </w:rPr>
      </w:pPr>
      <w:r>
        <w:rPr>
          <w:rFonts w:hint="eastAsia" w:cs="Times New Roman"/>
        </w:rPr>
        <w:t>（1）水平分布规律</w:t>
      </w:r>
    </w:p>
    <w:p w14:paraId="7E393933">
      <w:pPr>
        <w:ind w:firstLine="480"/>
      </w:pPr>
      <w:r>
        <w:t>A</w:t>
      </w:r>
      <w:r>
        <w:rPr>
          <w:rFonts w:hint="eastAsia"/>
        </w:rPr>
        <w:t>、浅层孔隙水：分布于一级阶地及河漫滩地区，直接接受大气降水的补给，水质以重碳酸—或钙、镁及重碳酸—钠型低矿化水为主。一级阶地多为重碳酸—钙或钙、镁型水；河漫滩在地下水迳流过程中，交换能力较强的钙离子和镁离子渐渐为含水介质所吸附，同时交换出原来吸附在含水介质之上的钠离子，因而使河漫滩浅层水中钠离子随着地下迳流的变缓而富集起来，其水化学类型则由重碳酸—钙、镁逐渐过渡为重碳酸—钙、钠型，矿化度由0.24g/L增至0.30g/L。</w:t>
      </w:r>
    </w:p>
    <w:p w14:paraId="745461BE">
      <w:pPr>
        <w:ind w:firstLine="480"/>
      </w:pPr>
      <w:r>
        <w:t>B</w:t>
      </w:r>
      <w:r>
        <w:rPr>
          <w:rFonts w:hint="eastAsia"/>
        </w:rPr>
        <w:t>、深层孔隙水：其化学类型的分布，有较明显的规律性，重碳酸—钙、镁型水主要分布在南部；重碳酸—钠、钙或钠、钙、镁型水则分布于北部。此种水化学类型的形成和分布，主要受区域特定的自然环境所控制，特别与补给、迳流、排泄条件和地层岩性特征的关系更为密切。南部的构造剥蚀丘陵地段，其绝对标高大于30m，具有较好的补给、排泄条件，地下水迳流途径短促，交替迅速，同时含水层多为泥灰岩，是地下水中钙和镁离子的主要来源。所以形成低矿化度重碳酸—钙、镁型水，是符合客观自然规律的。</w:t>
      </w:r>
    </w:p>
    <w:p w14:paraId="6436BEEA">
      <w:pPr>
        <w:ind w:firstLine="480"/>
      </w:pPr>
      <w:r>
        <w:rPr>
          <w:rFonts w:hint="eastAsia"/>
        </w:rPr>
        <w:t>北部在同样较湿润多雨的气候条件下，地下水迳流、排泄条件较南部四十里长山构造剥蚀丘陵区差，同时岩石中粘土矿物增加，而钠离子主要来自粘土矿物，因而水化学类型从南向北，由重碳酸—钙、镁型水，逐渐变为重碳酸—钠、钙、镁型水，矿化度由0.29g/L增至0.45g/L。</w:t>
      </w:r>
    </w:p>
    <w:p w14:paraId="234711D1">
      <w:pPr>
        <w:ind w:firstLine="480"/>
      </w:pPr>
      <w:r>
        <w:t>C</w:t>
      </w:r>
      <w:r>
        <w:rPr>
          <w:rFonts w:hint="eastAsia"/>
        </w:rPr>
        <w:t>、基岩风化层裂隙水：水化学成份的变化基本上符合上述规律，南部自四十里长山构造剥蚀丘陵区起向北部堆积平原区地下水类型由重碳酸—钙、镁型过渡为重碳酸、氯—钠、钙型水，最后变为氯、硫酸—钠、镁型水，矿化度也由0.30g/L逐渐向北增至为1.78g/L。</w:t>
      </w:r>
    </w:p>
    <w:p w14:paraId="78834D99">
      <w:pPr>
        <w:ind w:firstLine="480"/>
        <w:rPr>
          <w:rFonts w:cs="Times New Roman"/>
        </w:rPr>
      </w:pPr>
      <w:r>
        <w:rPr>
          <w:rFonts w:hint="eastAsia" w:cs="Times New Roman"/>
        </w:rPr>
        <w:t>（</w:t>
      </w:r>
      <w:r>
        <w:rPr>
          <w:rFonts w:cs="Times New Roman"/>
        </w:rPr>
        <w:t>2</w:t>
      </w:r>
      <w:r>
        <w:rPr>
          <w:rFonts w:hint="eastAsia" w:cs="Times New Roman"/>
        </w:rPr>
        <w:t>）垂直分布规律</w:t>
      </w:r>
    </w:p>
    <w:p w14:paraId="6044DC25">
      <w:pPr>
        <w:ind w:firstLine="480"/>
      </w:pPr>
      <w:r>
        <w:rPr>
          <w:rFonts w:hint="eastAsia"/>
        </w:rPr>
        <w:t>本区地下水，由于含水层的地质结构、特征和埋深的差异，在水质上除由南往北出现有规律性的变化外，还在垂直分布上，表现出一定的规律性。</w:t>
      </w:r>
    </w:p>
    <w:p w14:paraId="4CBE5121">
      <w:pPr>
        <w:ind w:firstLine="480"/>
      </w:pPr>
      <w:r>
        <w:rPr>
          <w:rFonts w:hint="eastAsia"/>
        </w:rPr>
        <w:t>浅层孔隙水矿化度很低，主要矿化组分中以重碳酸和钙的含量最高，水化学类型为重碳酸—钙、钠型；深层孔隙水矿化度0.40g/L，主要矿化组分以重碳酸和钠的含量最高，水中钙大于镁，水质类型为重碳酸—钠、钙或钠、钙、镁型；基岩风化层裂隙水，矿化度0.68g/L，主要矿化组分以重碳酸和钠的含量最高，氯大于硫酸，钙大于镁，水化学类型为重碳酸—钙、镁，重碳酸、氯—钠、钙型，局部为氯、硫酸—钠、钙、镁型；变质岩类裂隙水，矿化度较高，最高达1.95g/L，主要矿化组分以氯和钠的含量最高，水中硫酸大于重碳酸，钙大于镁的含量，水质类型为氯、硫酸—钠和氯—钠、镁或钠型。</w:t>
      </w:r>
    </w:p>
    <w:p w14:paraId="3C3B4916">
      <w:pPr>
        <w:ind w:firstLine="480"/>
      </w:pPr>
      <w:r>
        <w:rPr>
          <w:rFonts w:hint="eastAsia"/>
        </w:rPr>
        <w:t>综上所述，草楼铁矿地下水水化学类型变化规律中可以看出，自浅而深，地下水由重碳酸—钙、镁型为主，逐渐过渡为以氯—钠型为主，矿化度由0.34g/L增为1.95g/L，比较清楚地显示了地下水的垂直分带性。</w:t>
      </w:r>
    </w:p>
    <w:p w14:paraId="496FB2A0">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 xml:space="preserve">1.5 </w:t>
      </w:r>
      <w:r>
        <w:rPr>
          <w:rFonts w:hint="eastAsia" w:cs="Times New Roman"/>
        </w:rPr>
        <w:t>地下水动态变化特征</w:t>
      </w:r>
    </w:p>
    <w:p w14:paraId="5D247199">
      <w:pPr>
        <w:ind w:firstLine="480"/>
      </w:pPr>
      <w:r>
        <w:rPr>
          <w:rFonts w:hint="eastAsia"/>
        </w:rPr>
        <w:t>天然状态下，地下水动态为降水—蒸发型。目前，由于草楼铁矿矿井及附近矿山排水成为地下水主要排泄项，影响地下水位动态变化的主要因素为大气降水量和矿山排水量。</w:t>
      </w:r>
    </w:p>
    <w:p w14:paraId="5A26F3BD">
      <w:pPr>
        <w:ind w:firstLine="480"/>
      </w:pPr>
      <w:r>
        <w:rPr>
          <w:rFonts w:hint="eastAsia"/>
        </w:rPr>
        <w:t>在垂向上，不同深度地下水受这两个因素影响程度不同。第四系浅部地下水主要受降水量、蒸发量变化影响，丰水期比枯水期水头上升0.06~1.36m，第四系深部地下水主要受降水量、探矿工程矿井排水量影响，枯水期与丰水期相比水头有升有降，水头变幅-0.79~1.01m，深部基岩地下水主要受探矿工程矿井排水量影响，水头缓慢下降。</w:t>
      </w:r>
    </w:p>
    <w:p w14:paraId="23618EDA">
      <w:pPr>
        <w:ind w:firstLine="480"/>
      </w:pPr>
      <w:r>
        <w:rPr>
          <w:rFonts w:hint="eastAsia"/>
        </w:rPr>
        <w:t>地下水动态变化特征反映了地下水系统内在规律：首先，第四系含水层垂向越流补给矿井水的同时，还接受大气降水入渗、密布的地表水体渗漏等源源不断地补给，并且第四系接受入渗补给量大于其垂向越流补给矿井水量，因此矿井水无法疏干；其次，矿井排水首先消耗地下水静储量，随着时间的推移，地下水静储量逐渐减少，矿井排水逐渐减小，最终排水量趋于基本不变，此时矿井排水量等于趋于地下水对矿井水的垂向越流补给量和侧向补给量，由于第四系厚大弱含水体的垂向越流补给缓慢，达到相对稳定状态需要漫长的过程。</w:t>
      </w:r>
    </w:p>
    <w:p w14:paraId="70B1F7F7">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2</w:t>
      </w:r>
      <w:r>
        <w:rPr>
          <w:rFonts w:hint="eastAsia"/>
          <w:b/>
          <w:bCs/>
          <w:sz w:val="28"/>
          <w:szCs w:val="32"/>
        </w:rPr>
        <w:t>.</w:t>
      </w:r>
      <w:r>
        <w:rPr>
          <w:b/>
          <w:bCs/>
          <w:sz w:val="28"/>
          <w:szCs w:val="32"/>
        </w:rPr>
        <w:t xml:space="preserve">2 </w:t>
      </w:r>
      <w:r>
        <w:rPr>
          <w:rFonts w:hint="eastAsia"/>
          <w:b/>
          <w:bCs/>
          <w:sz w:val="28"/>
          <w:szCs w:val="32"/>
        </w:rPr>
        <w:t>地下水环境影响分析</w:t>
      </w:r>
    </w:p>
    <w:p w14:paraId="7682B676">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 xml:space="preserve">2.1 </w:t>
      </w:r>
      <w:r>
        <w:rPr>
          <w:rFonts w:hint="eastAsia" w:cs="Times New Roman"/>
        </w:rPr>
        <w:t>采矿区地下水影响分析</w:t>
      </w:r>
    </w:p>
    <w:p w14:paraId="0F9ED743">
      <w:pPr>
        <w:ind w:firstLine="480"/>
      </w:pPr>
      <w:r>
        <w:rPr>
          <w:rFonts w:hint="eastAsia"/>
        </w:rPr>
        <w:t>（</w:t>
      </w:r>
      <w:r>
        <w:t>1</w:t>
      </w:r>
      <w:r>
        <w:rPr>
          <w:rFonts w:hint="eastAsia"/>
        </w:rPr>
        <w:t>）矿井涌水抽排对第四系浅层地下水水位影响分析</w:t>
      </w:r>
    </w:p>
    <w:p w14:paraId="5BB4EBB2">
      <w:pPr>
        <w:ind w:firstLine="480"/>
      </w:pPr>
      <w:r>
        <w:rPr>
          <w:rFonts w:hint="eastAsia"/>
        </w:rPr>
        <w:t>矿坑直接充水水源主要为风化裂隙含水岩组和新鲜基岩裂隙水含水岩组，第四系底部局部有</w:t>
      </w:r>
      <w:r>
        <w:t>“</w:t>
      </w:r>
      <w:r>
        <w:rPr>
          <w:rFonts w:hint="eastAsia"/>
        </w:rPr>
        <w:t>天窗</w:t>
      </w:r>
      <w:r>
        <w:t>”</w:t>
      </w:r>
      <w:r>
        <w:rPr>
          <w:rFonts w:hint="eastAsia"/>
        </w:rPr>
        <w:t>可直接进水，第四系主要含水层下普遍有一层厚度稳定的粘性土阻隔，不会直接进入矿坑。矿山长期排水引起的第四系潜水水位下降幅度较小，井下排水对第四系浅层地下水水位影响分析不明显，其原因如下：</w:t>
      </w:r>
    </w:p>
    <w:p w14:paraId="46C2FB02">
      <w:pPr>
        <w:ind w:firstLine="480"/>
      </w:pPr>
      <w:r>
        <w:rPr>
          <w:rFonts w:hint="eastAsia"/>
        </w:rPr>
        <w:t>①第四系浅层含水层与深部孔隙水及含水岩组之间普遍有一层厚度稳定的粘性土阻隔，矿井排水改变地下水运动方向，释放深部承压水水压力，上覆厚大弱含水体仍处于无压饱水状态，第四系厚大弱含水体的垂向越流补给缓慢。</w:t>
      </w:r>
    </w:p>
    <w:p w14:paraId="4124526B">
      <w:pPr>
        <w:ind w:firstLine="480"/>
      </w:pPr>
      <w:r>
        <w:rPr>
          <w:rFonts w:hint="eastAsia"/>
        </w:rPr>
        <w:t>②根据采矿专业设计方案，矿山采用充填采矿法，基本不破坏地表及上覆岩层，矿坑涌水主要是风化带裂隙水和新鲜基岩裂隙水，本身富水性较差。</w:t>
      </w:r>
    </w:p>
    <w:p w14:paraId="297AB2C8">
      <w:pPr>
        <w:ind w:firstLine="480"/>
      </w:pPr>
      <w:r>
        <w:rPr>
          <w:rFonts w:hint="eastAsia"/>
        </w:rPr>
        <w:t>③第四系浅层水接受大气降水、地表水体的源源不断地补给。</w:t>
      </w:r>
    </w:p>
    <w:p w14:paraId="63296950">
      <w:pPr>
        <w:ind w:firstLine="480"/>
      </w:pPr>
      <w:r>
        <w:rPr>
          <w:rFonts w:hint="eastAsia"/>
        </w:rPr>
        <w:t>（</w:t>
      </w:r>
      <w:r>
        <w:t>2</w:t>
      </w:r>
      <w:r>
        <w:rPr>
          <w:rFonts w:hint="eastAsia"/>
        </w:rPr>
        <w:t>）矿井涌水抽排对第四系深部及基岩裂隙水水位影响分析</w:t>
      </w:r>
    </w:p>
    <w:p w14:paraId="46BA06EA">
      <w:pPr>
        <w:ind w:firstLine="480"/>
      </w:pPr>
      <w:r>
        <w:rPr>
          <w:rFonts w:hint="eastAsia"/>
        </w:rPr>
        <w:t>第四系深部孔隙水和基岩裂隙水含水层地下水为承压性质，即地下水头高于含水层顶板，矿井排水首先消耗地下水静储量，随着时间的推移，地下水静储量逐渐减少，矿井排水逐渐减小，最终排水量趋于基本不变，此时矿井排水量等于区域地下水对矿井水的补给量，即矿井正常涌水量。</w:t>
      </w:r>
    </w:p>
    <w:p w14:paraId="69A82B94">
      <w:pPr>
        <w:ind w:firstLine="480"/>
      </w:pPr>
      <w:r>
        <w:rPr>
          <w:rFonts w:hint="eastAsia"/>
        </w:rPr>
        <w:t>矿井涌水抽排对第四系深部及基岩裂隙水有一定影响，最大影响半径为</w:t>
      </w:r>
      <w:r>
        <w:t>728m</w:t>
      </w:r>
      <w:r>
        <w:rPr>
          <w:rFonts w:hint="eastAsia"/>
        </w:rPr>
        <w:t>。</w:t>
      </w:r>
    </w:p>
    <w:p w14:paraId="739CAE2B">
      <w:pPr>
        <w:ind w:firstLine="480"/>
      </w:pPr>
      <w:r>
        <w:rPr>
          <w:rFonts w:hint="eastAsia"/>
        </w:rPr>
        <w:t>（</w:t>
      </w:r>
      <w:r>
        <w:t>3</w:t>
      </w:r>
      <w:r>
        <w:rPr>
          <w:rFonts w:hint="eastAsia"/>
        </w:rPr>
        <w:t>）矿井涌水抽排对周围村庄浅水井的影响</w:t>
      </w:r>
    </w:p>
    <w:p w14:paraId="5CD2ACEB">
      <w:pPr>
        <w:ind w:firstLine="480"/>
      </w:pPr>
      <w:r>
        <w:rPr>
          <w:rFonts w:hint="eastAsia"/>
        </w:rPr>
        <w:t>矿坑直接充水水源主要为风化裂隙含水岩组和新鲜基岩裂隙水含水岩组，第四系主要含水层普遍有一层厚度稳定的粘性土阻隔，不会直接进入矿坑。矿山长期排水引起的第四系潜水水位下降幅度较小。</w:t>
      </w:r>
    </w:p>
    <w:p w14:paraId="1940929C">
      <w:pPr>
        <w:ind w:firstLine="480"/>
      </w:pPr>
      <w:r>
        <w:rPr>
          <w:rFonts w:hint="eastAsia"/>
        </w:rPr>
        <w:t>草楼铁矿的开采实际表明，井下涌水抽排对第四系浅层地下水水位影响很小，对周围村庄浅水井水未基本无影响。</w:t>
      </w:r>
    </w:p>
    <w:p w14:paraId="5D4518FA">
      <w:pPr>
        <w:ind w:firstLine="480"/>
      </w:pPr>
      <w:r>
        <w:rPr>
          <w:rFonts w:hint="eastAsia"/>
        </w:rPr>
        <w:t>经现场踏勘，项目所在地居民饮用水源为第四系浅层地下水，水井深度在</w:t>
      </w:r>
      <w:r>
        <w:t xml:space="preserve">15m </w:t>
      </w:r>
      <w:r>
        <w:rPr>
          <w:rFonts w:hint="eastAsia"/>
        </w:rPr>
        <w:t>以内，水位埋深在</w:t>
      </w:r>
      <w:r>
        <w:t>10~12m</w:t>
      </w:r>
      <w:r>
        <w:rPr>
          <w:rFonts w:hint="eastAsia"/>
        </w:rPr>
        <w:t>。矿坑涌水抽排对第四系浅层地下水水位影响不甚明显，对周围村庄浅水井水位基本无影响。</w:t>
      </w:r>
    </w:p>
    <w:p w14:paraId="3EDC1267">
      <w:pPr>
        <w:ind w:firstLine="480"/>
      </w:pPr>
      <w:r>
        <w:rPr>
          <w:rFonts w:hint="eastAsia"/>
        </w:rPr>
        <w:t>（</w:t>
      </w:r>
      <w:r>
        <w:t>4</w:t>
      </w:r>
      <w:r>
        <w:rPr>
          <w:rFonts w:hint="eastAsia"/>
        </w:rPr>
        <w:t>）矿井涌水抽排对沿岗河的影响</w:t>
      </w:r>
    </w:p>
    <w:p w14:paraId="1BBABC42">
      <w:pPr>
        <w:ind w:firstLine="480"/>
      </w:pPr>
      <w:r>
        <w:rPr>
          <w:rFonts w:hint="eastAsia"/>
        </w:rPr>
        <w:t>沿岗河位于矿区东侧</w:t>
      </w:r>
      <w:r>
        <w:t>7.2km</w:t>
      </w:r>
      <w:r>
        <w:rPr>
          <w:rFonts w:hint="eastAsia"/>
        </w:rPr>
        <w:t>，在本项目深层地下水影响范围之外，河床土质为粉质粘土，渗透性很小，故本项目矿井涌水对沿岗河基本无影响。</w:t>
      </w:r>
    </w:p>
    <w:p w14:paraId="65D4E459">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 xml:space="preserve">2.2 </w:t>
      </w:r>
      <w:r>
        <w:rPr>
          <w:rFonts w:hint="eastAsia" w:cs="Times New Roman"/>
        </w:rPr>
        <w:t>尾矿库地下水影响分析</w:t>
      </w:r>
    </w:p>
    <w:p w14:paraId="33492943">
      <w:pPr>
        <w:ind w:firstLine="480"/>
      </w:pPr>
      <w:r>
        <w:rPr>
          <w:rFonts w:hint="eastAsia"/>
        </w:rPr>
        <w:t>尾矿水渗漏量最大约200m</w:t>
      </w:r>
      <w:r>
        <w:rPr>
          <w:rFonts w:hint="eastAsia"/>
          <w:vertAlign w:val="superscript"/>
        </w:rPr>
        <w:t>3</w:t>
      </w:r>
      <w:r>
        <w:rPr>
          <w:rFonts w:hint="eastAsia"/>
        </w:rPr>
        <w:t>/d，故通过渗透进入地下水的量很小。尾矿库所在地南高北低，南部为阶地，北侧、西侧、东侧为排洪沟，少量渗透水进入地下水后沿地下水向北汇入地表水。故尾矿库渗漏对周围地区地下水影响很小。</w:t>
      </w:r>
    </w:p>
    <w:p w14:paraId="18C0BDA5">
      <w:pPr>
        <w:ind w:firstLine="480"/>
      </w:pPr>
      <w:r>
        <w:rPr>
          <w:rFonts w:hint="eastAsia"/>
        </w:rPr>
        <w:t>尾矿浸出毒性试验中重金属很低。尾矿澄清水中各项指标均可满足《污水综合排放标准》（GB/T8978-1996）中表4 一级排放标准要求。</w:t>
      </w:r>
    </w:p>
    <w:p w14:paraId="35380F4D">
      <w:pPr>
        <w:ind w:firstLine="480"/>
      </w:pPr>
      <w:r>
        <w:rPr>
          <w:rFonts w:hint="eastAsia"/>
        </w:rPr>
        <w:t>土壤对COD、SS 和石油类降解、过滤、吸附能力较强，少量尾矿水渗漏进入表土层后，除过滤、截留、沉淀、土壤吸附、植物吸收之外，还由于土壤中存在大量微生物而发生较强的降解作用。本项目尾矿渗漏水首先经压实的细尾砂过滤，再经库底土壤吸附降解，使得下渗水在进入含水层时的COD、SS 和石油类浓度大大降低，进入地下水后，与上游地下水进一步混合、稀释、污染物浓度还可得到进一步降低，故本项目尾矿水渗漏对周围浅层地下水影响很小，不会对周围居民饮用水造成污染。</w:t>
      </w:r>
    </w:p>
    <w:p w14:paraId="42AFC4D4">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 xml:space="preserve">2.3 </w:t>
      </w:r>
      <w:r>
        <w:rPr>
          <w:rFonts w:hint="eastAsia" w:cs="Times New Roman"/>
        </w:rPr>
        <w:t>选矿工业场地地下水影响分析</w:t>
      </w:r>
    </w:p>
    <w:p w14:paraId="6C1EDA45">
      <w:pPr>
        <w:ind w:firstLine="480"/>
      </w:pPr>
      <w:r>
        <w:rPr>
          <w:rFonts w:hint="eastAsia"/>
        </w:rPr>
        <w:t>项目正常生产中无生产废水和生活污水外排。当井下涌水超过矿山生产需水量时，多余的矿井涌水和尾矿库泄洪排水外排至沿岗河，沿途渗漏对浅层地下水影响甚微。</w:t>
      </w:r>
    </w:p>
    <w:p w14:paraId="76A8806D">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2</w:t>
      </w:r>
      <w:r>
        <w:rPr>
          <w:rFonts w:hint="eastAsia"/>
          <w:b/>
          <w:bCs/>
          <w:sz w:val="28"/>
          <w:szCs w:val="32"/>
        </w:rPr>
        <w:t>.</w:t>
      </w:r>
      <w:r>
        <w:rPr>
          <w:b/>
          <w:bCs/>
          <w:sz w:val="28"/>
          <w:szCs w:val="32"/>
        </w:rPr>
        <w:t xml:space="preserve">3 </w:t>
      </w:r>
      <w:r>
        <w:rPr>
          <w:rFonts w:hint="eastAsia"/>
          <w:b/>
          <w:bCs/>
          <w:sz w:val="28"/>
          <w:szCs w:val="32"/>
        </w:rPr>
        <w:t>预测验证</w:t>
      </w:r>
    </w:p>
    <w:p w14:paraId="3953BD13">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 xml:space="preserve">3.1 </w:t>
      </w:r>
      <w:r>
        <w:rPr>
          <w:rFonts w:hint="eastAsia" w:cs="Times New Roman"/>
        </w:rPr>
        <w:t>采矿区及选矿工业场地地下水</w:t>
      </w:r>
    </w:p>
    <w:p w14:paraId="5C8955E5">
      <w:pPr>
        <w:ind w:firstLine="480"/>
      </w:pPr>
      <w:r>
        <w:rPr>
          <w:rFonts w:hint="eastAsia"/>
        </w:rPr>
        <w:t>根据项目《安徽金安矿业有限公司例行监测报告》采矿区及选矿工业场地周边地下水水质监测结果可知，项目采矿区及选矿工业场地周边地下水质量均能满足《地下水质量标准》（</w:t>
      </w:r>
      <w:r>
        <w:t>GB/T 14848-2017</w:t>
      </w:r>
      <w:r>
        <w:rPr>
          <w:rFonts w:hint="eastAsia"/>
        </w:rPr>
        <w:t>）中的Ⅲ类标准，项目所在区域地下水环境质量较好。</w:t>
      </w:r>
    </w:p>
    <w:p w14:paraId="1BB123C9">
      <w:pPr>
        <w:ind w:firstLine="480"/>
      </w:pPr>
      <w:r>
        <w:rPr>
          <w:rFonts w:hint="eastAsia"/>
        </w:rPr>
        <w:t>根据选矿厂周边地下水位变化情况监测结果可知，选矿区周边地下水监测井点的地下水水位埋深变浅，说明项目地下采矿对周边地下水不产生明显影响。</w:t>
      </w:r>
    </w:p>
    <w:p w14:paraId="75B69794">
      <w:pPr>
        <w:ind w:firstLine="0" w:firstLineChars="0"/>
        <w:rPr>
          <w:rFonts w:cs="Times New Roman"/>
        </w:rPr>
      </w:pPr>
      <w:r>
        <w:rPr>
          <w:rFonts w:cs="Times New Roman"/>
        </w:rPr>
        <w:t>6</w:t>
      </w:r>
      <w:r>
        <w:rPr>
          <w:rFonts w:hint="eastAsia" w:cs="Times New Roman"/>
        </w:rPr>
        <w:t>.</w:t>
      </w:r>
      <w:r>
        <w:rPr>
          <w:rFonts w:cs="Times New Roman"/>
        </w:rPr>
        <w:t>2</w:t>
      </w:r>
      <w:r>
        <w:rPr>
          <w:rFonts w:hint="eastAsia" w:cs="Times New Roman"/>
        </w:rPr>
        <w:t>.</w:t>
      </w:r>
      <w:r>
        <w:rPr>
          <w:rFonts w:cs="Times New Roman"/>
        </w:rPr>
        <w:t xml:space="preserve">3.2 </w:t>
      </w:r>
      <w:r>
        <w:rPr>
          <w:rFonts w:hint="eastAsia" w:cs="Times New Roman"/>
        </w:rPr>
        <w:t>尾矿库地下水</w:t>
      </w:r>
    </w:p>
    <w:p w14:paraId="78E2067E">
      <w:pPr>
        <w:ind w:firstLine="480"/>
      </w:pPr>
      <w:r>
        <w:rPr>
          <w:rFonts w:hint="eastAsia"/>
        </w:rPr>
        <w:t>根据项目尾矿库周边地下水水质监测结果以及后评价阶段地下水监测结果可知，项目尾矿库周边地下水质量能够满足《地下水质量标准》（</w:t>
      </w:r>
      <w:r>
        <w:t>GB/T 14848-2017</w:t>
      </w:r>
      <w:r>
        <w:rPr>
          <w:rFonts w:hint="eastAsia"/>
        </w:rPr>
        <w:t>）中的Ⅲ类标准，尾矿库所在区域地下水环境质量较好。</w:t>
      </w:r>
    </w:p>
    <w:p w14:paraId="12200830">
      <w:pPr>
        <w:ind w:firstLine="480"/>
      </w:pPr>
      <w:r>
        <w:rPr>
          <w:rFonts w:hint="eastAsia"/>
        </w:rPr>
        <w:t>综上所述，项目对周边地下水的影响情况与环评阶段对地下水环境影响的分析基本一致。在今后运营期内，需要加强对周边地下水水位的定期监测，以进一步了解区域地下水水位变化情况，为地下水环境保护提供更多依据。</w:t>
      </w:r>
    </w:p>
    <w:p w14:paraId="71E6C904">
      <w:pPr>
        <w:keepNext/>
        <w:keepLines/>
        <w:spacing w:before="260" w:after="260" w:line="415" w:lineRule="auto"/>
        <w:ind w:firstLine="0" w:firstLineChars="0"/>
        <w:jc w:val="left"/>
        <w:outlineLvl w:val="1"/>
        <w:rPr>
          <w:rFonts w:cstheme="majorBidi"/>
          <w:b/>
          <w:bCs/>
          <w:sz w:val="32"/>
          <w:szCs w:val="32"/>
        </w:rPr>
      </w:pPr>
      <w:bookmarkStart w:id="66" w:name="_Toc85213517"/>
      <w:bookmarkStart w:id="67" w:name="_Toc55773242"/>
      <w:r>
        <w:rPr>
          <w:rFonts w:cstheme="majorBidi"/>
          <w:b/>
          <w:bCs/>
          <w:sz w:val="32"/>
          <w:szCs w:val="32"/>
        </w:rPr>
        <w:t>6</w:t>
      </w:r>
      <w:r>
        <w:rPr>
          <w:rFonts w:hint="eastAsia" w:cstheme="majorBidi"/>
          <w:b/>
          <w:bCs/>
          <w:sz w:val="32"/>
          <w:szCs w:val="32"/>
        </w:rPr>
        <w:t>.</w:t>
      </w:r>
      <w:r>
        <w:rPr>
          <w:rFonts w:cstheme="majorBidi"/>
          <w:b/>
          <w:bCs/>
          <w:sz w:val="32"/>
          <w:szCs w:val="32"/>
        </w:rPr>
        <w:t xml:space="preserve">3 </w:t>
      </w:r>
      <w:r>
        <w:rPr>
          <w:rFonts w:hint="eastAsia" w:cstheme="majorBidi"/>
          <w:b/>
          <w:bCs/>
          <w:sz w:val="32"/>
          <w:szCs w:val="32"/>
        </w:rPr>
        <w:t>大气环境影响预测验证</w:t>
      </w:r>
      <w:bookmarkEnd w:id="66"/>
      <w:bookmarkEnd w:id="67"/>
    </w:p>
    <w:p w14:paraId="3DBA8568">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3</w:t>
      </w:r>
      <w:r>
        <w:rPr>
          <w:rFonts w:hint="eastAsia"/>
          <w:b/>
          <w:bCs/>
          <w:sz w:val="28"/>
          <w:szCs w:val="32"/>
        </w:rPr>
        <w:t>.1</w:t>
      </w:r>
      <w:r>
        <w:rPr>
          <w:b/>
          <w:bCs/>
          <w:sz w:val="28"/>
          <w:szCs w:val="32"/>
        </w:rPr>
        <w:t xml:space="preserve"> </w:t>
      </w:r>
      <w:r>
        <w:rPr>
          <w:rFonts w:hint="eastAsia"/>
          <w:b/>
          <w:bCs/>
          <w:sz w:val="28"/>
          <w:szCs w:val="32"/>
        </w:rPr>
        <w:t>大气环境影响预测分析</w:t>
      </w:r>
    </w:p>
    <w:p w14:paraId="379CB070">
      <w:pPr>
        <w:ind w:firstLine="0" w:firstLineChars="0"/>
        <w:rPr>
          <w:rFonts w:cs="Times New Roman"/>
        </w:rPr>
      </w:pPr>
      <w:r>
        <w:rPr>
          <w:rFonts w:cs="Times New Roman"/>
        </w:rPr>
        <w:t>6</w:t>
      </w:r>
      <w:r>
        <w:rPr>
          <w:rFonts w:hint="eastAsia" w:cs="Times New Roman"/>
        </w:rPr>
        <w:t>.</w:t>
      </w:r>
      <w:r>
        <w:rPr>
          <w:rFonts w:cs="Times New Roman"/>
        </w:rPr>
        <w:t>3</w:t>
      </w:r>
      <w:r>
        <w:rPr>
          <w:rFonts w:hint="eastAsia" w:cs="Times New Roman"/>
        </w:rPr>
        <w:t>.</w:t>
      </w:r>
      <w:r>
        <w:rPr>
          <w:rFonts w:cs="Times New Roman"/>
        </w:rPr>
        <w:t xml:space="preserve">1.1 </w:t>
      </w:r>
      <w:r>
        <w:rPr>
          <w:rFonts w:hint="eastAsia" w:cs="Times New Roman"/>
        </w:rPr>
        <w:t>有组织污染源预测结果及分析</w:t>
      </w:r>
    </w:p>
    <w:p w14:paraId="1129815F">
      <w:pPr>
        <w:ind w:firstLine="480"/>
      </w:pPr>
      <w:r>
        <w:rPr>
          <w:rFonts w:hint="eastAsia"/>
        </w:rPr>
        <w:t>采用A</w:t>
      </w:r>
      <w:r>
        <w:t>ERSCREEN</w:t>
      </w:r>
      <w:r>
        <w:rPr>
          <w:rFonts w:hint="eastAsia"/>
        </w:rPr>
        <w:t>模型对有组织污染源排放粉尘进行计算，预测评价所有有组织污染源的最大占标率均不超过1</w:t>
      </w:r>
      <w:r>
        <w:t>0</w:t>
      </w:r>
      <w:r>
        <w:rPr>
          <w:rFonts w:hint="eastAsia"/>
        </w:rPr>
        <w:t>%，最大占标率出现的距离为989m，因此评价认为，本工程有组织排放大气污染源对周边环境空气影响不显著。</w:t>
      </w:r>
    </w:p>
    <w:p w14:paraId="0054D456">
      <w:pPr>
        <w:ind w:firstLine="0" w:firstLineChars="0"/>
        <w:rPr>
          <w:rFonts w:cs="Times New Roman"/>
        </w:rPr>
      </w:pPr>
      <w:r>
        <w:rPr>
          <w:rFonts w:cs="Times New Roman"/>
        </w:rPr>
        <w:t>6</w:t>
      </w:r>
      <w:r>
        <w:rPr>
          <w:rFonts w:hint="eastAsia" w:cs="Times New Roman"/>
        </w:rPr>
        <w:t>.</w:t>
      </w:r>
      <w:r>
        <w:rPr>
          <w:rFonts w:cs="Times New Roman"/>
        </w:rPr>
        <w:t>3</w:t>
      </w:r>
      <w:r>
        <w:rPr>
          <w:rFonts w:hint="eastAsia" w:cs="Times New Roman"/>
        </w:rPr>
        <w:t>.</w:t>
      </w:r>
      <w:r>
        <w:rPr>
          <w:rFonts w:cs="Times New Roman"/>
        </w:rPr>
        <w:t xml:space="preserve">1.2 </w:t>
      </w:r>
      <w:r>
        <w:rPr>
          <w:rFonts w:hint="eastAsia" w:cs="Times New Roman"/>
        </w:rPr>
        <w:t>无组织污染源预测结果及分析</w:t>
      </w:r>
    </w:p>
    <w:p w14:paraId="51628AE8">
      <w:pPr>
        <w:ind w:firstLine="480"/>
      </w:pPr>
      <w:r>
        <w:rPr>
          <w:rFonts w:hint="eastAsia"/>
        </w:rPr>
        <w:t>采用</w:t>
      </w:r>
      <w:r>
        <w:t>AERSCREEN</w:t>
      </w:r>
      <w:r>
        <w:rPr>
          <w:rFonts w:hint="eastAsia"/>
        </w:rPr>
        <w:t>模型对无组织污染源进行预测，筛选计算各种污染物的最大地面浓度占标率</w:t>
      </w:r>
      <w:r>
        <w:t>Pi</w:t>
      </w:r>
      <w:r>
        <w:rPr>
          <w:rFonts w:hint="eastAsia"/>
        </w:rPr>
        <w:t>。</w:t>
      </w:r>
    </w:p>
    <w:p w14:paraId="4C77D1CE">
      <w:pPr>
        <w:ind w:firstLine="480"/>
      </w:pPr>
      <w:r>
        <w:rPr>
          <w:rFonts w:hint="eastAsia"/>
        </w:rPr>
        <w:t>由预测结果可知，矿石堆场、临时废石场和尾矿库的占标率均未超过</w:t>
      </w:r>
      <w:r>
        <w:t>10%</w:t>
      </w:r>
      <w:r>
        <w:rPr>
          <w:rFonts w:hint="eastAsia"/>
        </w:rPr>
        <w:t>，因此本次评价认为，本工程无组织排放大气污染源对周边环境空气影响不显著。</w:t>
      </w:r>
    </w:p>
    <w:p w14:paraId="2BB8A6CD">
      <w:pPr>
        <w:ind w:firstLine="0" w:firstLineChars="0"/>
        <w:rPr>
          <w:rFonts w:cs="Times New Roman"/>
        </w:rPr>
      </w:pPr>
      <w:r>
        <w:rPr>
          <w:rFonts w:cs="Times New Roman"/>
        </w:rPr>
        <w:t>6</w:t>
      </w:r>
      <w:r>
        <w:rPr>
          <w:rFonts w:hint="eastAsia" w:cs="Times New Roman"/>
        </w:rPr>
        <w:t>.</w:t>
      </w:r>
      <w:r>
        <w:rPr>
          <w:rFonts w:cs="Times New Roman"/>
        </w:rPr>
        <w:t>3</w:t>
      </w:r>
      <w:r>
        <w:rPr>
          <w:rFonts w:hint="eastAsia" w:cs="Times New Roman"/>
        </w:rPr>
        <w:t>.</w:t>
      </w:r>
      <w:r>
        <w:rPr>
          <w:rFonts w:cs="Times New Roman"/>
        </w:rPr>
        <w:t xml:space="preserve">1.3 </w:t>
      </w:r>
      <w:r>
        <w:rPr>
          <w:rFonts w:hint="eastAsia" w:cs="Times New Roman"/>
        </w:rPr>
        <w:t>敏感目标影响预测分析</w:t>
      </w:r>
    </w:p>
    <w:p w14:paraId="65E3CD94">
      <w:pPr>
        <w:ind w:firstLine="480"/>
      </w:pPr>
      <w:r>
        <w:rPr>
          <w:rFonts w:hint="eastAsia"/>
        </w:rPr>
        <w:t>采用</w:t>
      </w:r>
      <w:r>
        <w:t>AERSCREEN</w:t>
      </w:r>
      <w:r>
        <w:rPr>
          <w:rFonts w:hint="eastAsia"/>
        </w:rPr>
        <w:t>模型对有组织污染源排放粉尘进行计算，结果表明，本工程在周边敏感点最大占标率为</w:t>
      </w:r>
      <w:r>
        <w:t>1</w:t>
      </w:r>
      <w:r>
        <w:rPr>
          <w:rFonts w:hint="eastAsia"/>
        </w:rPr>
        <w:t>%小于</w:t>
      </w:r>
      <w:r>
        <w:t>10</w:t>
      </w:r>
      <w:r>
        <w:rPr>
          <w:rFonts w:hint="eastAsia"/>
        </w:rPr>
        <w:t>%。其余村庄与污染源相对距离增加，因此有组织污染源对其他村庄的影响较小。</w:t>
      </w:r>
    </w:p>
    <w:p w14:paraId="6F528F10">
      <w:pPr>
        <w:ind w:firstLine="0" w:firstLineChars="0"/>
        <w:rPr>
          <w:rFonts w:cs="Times New Roman"/>
        </w:rPr>
      </w:pPr>
      <w:r>
        <w:rPr>
          <w:rFonts w:cs="Times New Roman"/>
        </w:rPr>
        <w:t>6</w:t>
      </w:r>
      <w:r>
        <w:rPr>
          <w:rFonts w:hint="eastAsia" w:cs="Times New Roman"/>
        </w:rPr>
        <w:t>.</w:t>
      </w:r>
      <w:r>
        <w:rPr>
          <w:rFonts w:cs="Times New Roman"/>
        </w:rPr>
        <w:t>3</w:t>
      </w:r>
      <w:r>
        <w:rPr>
          <w:rFonts w:hint="eastAsia" w:cs="Times New Roman"/>
        </w:rPr>
        <w:t>.</w:t>
      </w:r>
      <w:r>
        <w:rPr>
          <w:rFonts w:cs="Times New Roman"/>
        </w:rPr>
        <w:t xml:space="preserve">1.4 </w:t>
      </w:r>
      <w:r>
        <w:rPr>
          <w:rFonts w:hint="eastAsia" w:cs="Times New Roman"/>
        </w:rPr>
        <w:t>环境防护距离</w:t>
      </w:r>
    </w:p>
    <w:p w14:paraId="4D475305">
      <w:pPr>
        <w:ind w:firstLine="480"/>
      </w:pPr>
      <w:r>
        <w:rPr>
          <w:rFonts w:hint="eastAsia"/>
        </w:rPr>
        <w:t>经预测，本项目各污染源最大落地浓度占标率小于</w:t>
      </w:r>
      <w:r>
        <w:t>10%</w:t>
      </w:r>
      <w:r>
        <w:rPr>
          <w:rFonts w:hint="eastAsia"/>
        </w:rPr>
        <w:t>，根据《环境影响评价技术导则大气环境》（</w:t>
      </w:r>
      <w:r>
        <w:t>HJ2.2-2018</w:t>
      </w:r>
      <w:r>
        <w:rPr>
          <w:rFonts w:hint="eastAsia"/>
        </w:rPr>
        <w:t>），本次后评价确定大气环境影响评价等级为二级，二级评价项目不进行进一步预测与评价，本项目无需单独设置环境防护距离。</w:t>
      </w:r>
    </w:p>
    <w:p w14:paraId="4448CA8C">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3</w:t>
      </w:r>
      <w:r>
        <w:rPr>
          <w:rFonts w:hint="eastAsia"/>
          <w:b/>
          <w:bCs/>
          <w:sz w:val="28"/>
          <w:szCs w:val="32"/>
        </w:rPr>
        <w:t>.</w:t>
      </w:r>
      <w:r>
        <w:rPr>
          <w:b/>
          <w:bCs/>
          <w:sz w:val="28"/>
          <w:szCs w:val="32"/>
        </w:rPr>
        <w:t xml:space="preserve">2 </w:t>
      </w:r>
      <w:r>
        <w:rPr>
          <w:rFonts w:hint="eastAsia"/>
          <w:b/>
          <w:bCs/>
          <w:sz w:val="28"/>
          <w:szCs w:val="32"/>
        </w:rPr>
        <w:t>预测验证</w:t>
      </w:r>
    </w:p>
    <w:p w14:paraId="378F2DA2">
      <w:pPr>
        <w:ind w:firstLine="0" w:firstLineChars="0"/>
        <w:rPr>
          <w:rFonts w:cs="Times New Roman"/>
        </w:rPr>
      </w:pPr>
      <w:r>
        <w:rPr>
          <w:rFonts w:cs="Times New Roman"/>
        </w:rPr>
        <w:t>6</w:t>
      </w:r>
      <w:r>
        <w:rPr>
          <w:rFonts w:hint="eastAsia" w:cs="Times New Roman"/>
        </w:rPr>
        <w:t>.</w:t>
      </w:r>
      <w:r>
        <w:rPr>
          <w:rFonts w:cs="Times New Roman"/>
        </w:rPr>
        <w:t>3</w:t>
      </w:r>
      <w:r>
        <w:rPr>
          <w:rFonts w:hint="eastAsia" w:cs="Times New Roman"/>
        </w:rPr>
        <w:t>.</w:t>
      </w:r>
      <w:r>
        <w:rPr>
          <w:rFonts w:cs="Times New Roman"/>
        </w:rPr>
        <w:t xml:space="preserve">2.1 </w:t>
      </w:r>
      <w:r>
        <w:rPr>
          <w:rFonts w:hint="eastAsia" w:cs="Times New Roman"/>
        </w:rPr>
        <w:t>敏感点环境空气质量现状</w:t>
      </w:r>
    </w:p>
    <w:p w14:paraId="0AD6725A">
      <w:pPr>
        <w:ind w:firstLine="480"/>
      </w:pPr>
      <w:r>
        <w:rPr>
          <w:rFonts w:hint="eastAsia"/>
        </w:rPr>
        <w:t>根据选矿区和尾矿库周边敏感点环境空气质量现状监测数据可知，敏感点环境空气质量现状满足《环境空气质量标准》（</w:t>
      </w:r>
      <w:r>
        <w:t>GB3095-2012</w:t>
      </w:r>
      <w:r>
        <w:rPr>
          <w:rFonts w:hint="eastAsia"/>
        </w:rPr>
        <w:t>）中二级标准。</w:t>
      </w:r>
    </w:p>
    <w:p w14:paraId="5FED99A5">
      <w:pPr>
        <w:ind w:firstLine="480"/>
      </w:pPr>
      <w:r>
        <w:rPr>
          <w:rFonts w:hint="eastAsia"/>
        </w:rPr>
        <w:t>根据区域环境空气质量变化情况表可知，项目周边敏感点环境空气质量有所好转，环境空气污染物指标呈现下降趋势。</w:t>
      </w:r>
    </w:p>
    <w:p w14:paraId="392C3C90">
      <w:pPr>
        <w:ind w:firstLine="480"/>
      </w:pPr>
      <w:r>
        <w:rPr>
          <w:rFonts w:hint="eastAsia"/>
        </w:rPr>
        <w:t>综上所述，项目对周边环境空气的影响情况与环评阶段的预测分析基本一致，项目的开采及选矿活动不会对大气环境质量造成明显不利影响。</w:t>
      </w:r>
    </w:p>
    <w:p w14:paraId="711C302F">
      <w:pPr>
        <w:ind w:firstLine="480"/>
      </w:pPr>
      <w:r>
        <w:rPr>
          <w:rFonts w:hint="eastAsia"/>
        </w:rPr>
        <w:t>依据《国务院关于印发打赢蓝天保卫战三年行动计划的通知》（国发</w:t>
      </w:r>
      <w:r>
        <w:t>[2018]22</w:t>
      </w:r>
      <w:r>
        <w:rPr>
          <w:rFonts w:hint="eastAsia"/>
        </w:rPr>
        <w:t>号文），项目所在区域颗粒物排放需执行大气污染物特别排放限值，根据2</w:t>
      </w:r>
      <w:r>
        <w:t>019</w:t>
      </w:r>
      <w:r>
        <w:rPr>
          <w:rFonts w:hint="eastAsia"/>
        </w:rPr>
        <w:t>年1</w:t>
      </w:r>
      <w:r>
        <w:t>1</w:t>
      </w:r>
      <w:r>
        <w:rPr>
          <w:rFonts w:hint="eastAsia"/>
        </w:rPr>
        <w:t>月4日生态环境部、发改委、工信部等14部联合印发的《</w:t>
      </w:r>
      <w:r>
        <w:fldChar w:fldCharType="begin"/>
      </w:r>
      <w:r>
        <w:instrText xml:space="preserve"> HYPERLINK "http://daqi.bjx.com.cn/zt.asp?topic=%b3%a4%c8%fd%bd%c7%b5%d8%c7%f8" \t "_blank" \o "长三角地区新闻专题" </w:instrText>
      </w:r>
      <w:r>
        <w:fldChar w:fldCharType="separate"/>
      </w:r>
      <w:r>
        <w:rPr>
          <w:rFonts w:hint="eastAsia"/>
        </w:rPr>
        <w:t>长三角地区</w:t>
      </w:r>
      <w:r>
        <w:fldChar w:fldCharType="end"/>
      </w:r>
      <w:r>
        <w:rPr>
          <w:rFonts w:hint="eastAsia"/>
        </w:rPr>
        <w:t>2019-2020年秋冬季</w:t>
      </w:r>
      <w:r>
        <w:fldChar w:fldCharType="begin"/>
      </w:r>
      <w:r>
        <w:instrText xml:space="preserve"> HYPERLINK "http://daqi.bjx.com.cn/zt.asp?topic=%b4%f3%c6%f8%ce%db%c8%be%d7%db%ba%cf%d6%ce%c0%ed" \t "_blank" \o "大气污染综合治理新闻专题" </w:instrText>
      </w:r>
      <w:r>
        <w:fldChar w:fldCharType="separate"/>
      </w:r>
      <w:r>
        <w:rPr>
          <w:rFonts w:hint="eastAsia"/>
        </w:rPr>
        <w:t>大气污染综合治理</w:t>
      </w:r>
      <w:r>
        <w:fldChar w:fldCharType="end"/>
      </w:r>
      <w:r>
        <w:rPr>
          <w:rFonts w:hint="eastAsia"/>
        </w:rPr>
        <w:t>攻坚行动方案》，安徽金安矿业有限公司应加快制定超低排放改造方案，并严格执行超低排放指标要求。目前现有工程有组织粉尘排放浓度虽可满足环评及验收要求，但不能满足《铁矿采选工业污染物排放标准》（</w:t>
      </w:r>
      <w:r>
        <w:t>GB28661-2012</w:t>
      </w:r>
      <w:r>
        <w:rPr>
          <w:rFonts w:hint="eastAsia"/>
        </w:rPr>
        <w:t>）表</w:t>
      </w:r>
      <w:r>
        <w:t>6</w:t>
      </w:r>
      <w:r>
        <w:rPr>
          <w:rFonts w:hint="eastAsia"/>
        </w:rPr>
        <w:t>中特别排放限值要求（</w:t>
      </w:r>
      <w:r>
        <w:t>10mg/m</w:t>
      </w:r>
      <w:r>
        <w:rPr>
          <w:vertAlign w:val="superscript"/>
        </w:rPr>
        <w:t>3</w:t>
      </w:r>
      <w:r>
        <w:rPr>
          <w:rFonts w:hint="eastAsia"/>
        </w:rPr>
        <w:t>）。</w:t>
      </w:r>
    </w:p>
    <w:p w14:paraId="61716D0A">
      <w:pPr>
        <w:ind w:firstLine="480"/>
      </w:pPr>
      <w:r>
        <w:rPr>
          <w:rFonts w:hint="eastAsia"/>
        </w:rPr>
        <w:t>本次后评价要求需要安徽金安矿业有限公司对除尘设备进行提标改造，使得除尘效率至上满足</w:t>
      </w:r>
      <w:r>
        <w:t>99.5%</w:t>
      </w:r>
      <w:r>
        <w:rPr>
          <w:rFonts w:hint="eastAsia"/>
        </w:rPr>
        <w:t>的要求，以保障颗粒物满足最新政策要求（低于</w:t>
      </w:r>
      <w:r>
        <w:t>10mg/m</w:t>
      </w:r>
      <w:r>
        <w:rPr>
          <w:vertAlign w:val="superscript"/>
        </w:rPr>
        <w:t>3</w:t>
      </w:r>
      <w:r>
        <w:rPr>
          <w:rFonts w:hint="eastAsia"/>
        </w:rPr>
        <w:t>），稳定达标排放。</w:t>
      </w:r>
    </w:p>
    <w:p w14:paraId="5770FD1C">
      <w:pPr>
        <w:keepNext/>
        <w:keepLines/>
        <w:spacing w:before="260" w:after="260" w:line="415" w:lineRule="auto"/>
        <w:ind w:firstLine="0" w:firstLineChars="0"/>
        <w:jc w:val="left"/>
        <w:outlineLvl w:val="1"/>
        <w:rPr>
          <w:rFonts w:cstheme="majorBidi"/>
          <w:b/>
          <w:bCs/>
          <w:sz w:val="32"/>
          <w:szCs w:val="32"/>
        </w:rPr>
      </w:pPr>
      <w:bookmarkStart w:id="68" w:name="_Toc55773243"/>
      <w:bookmarkStart w:id="69" w:name="_Toc85213518"/>
      <w:r>
        <w:rPr>
          <w:rFonts w:cstheme="majorBidi"/>
          <w:b/>
          <w:bCs/>
          <w:sz w:val="32"/>
          <w:szCs w:val="32"/>
        </w:rPr>
        <w:t>6</w:t>
      </w:r>
      <w:r>
        <w:rPr>
          <w:rFonts w:hint="eastAsia" w:cstheme="majorBidi"/>
          <w:b/>
          <w:bCs/>
          <w:sz w:val="32"/>
          <w:szCs w:val="32"/>
        </w:rPr>
        <w:t>.</w:t>
      </w:r>
      <w:r>
        <w:rPr>
          <w:rFonts w:cstheme="majorBidi"/>
          <w:b/>
          <w:bCs/>
          <w:sz w:val="32"/>
          <w:szCs w:val="32"/>
        </w:rPr>
        <w:t xml:space="preserve">4 </w:t>
      </w:r>
      <w:r>
        <w:rPr>
          <w:rFonts w:hint="eastAsia" w:cstheme="majorBidi"/>
          <w:b/>
          <w:bCs/>
          <w:sz w:val="32"/>
          <w:szCs w:val="32"/>
        </w:rPr>
        <w:t>地表水环境影响预测验证</w:t>
      </w:r>
      <w:bookmarkEnd w:id="68"/>
      <w:bookmarkEnd w:id="69"/>
    </w:p>
    <w:p w14:paraId="24AB0B44">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4</w:t>
      </w:r>
      <w:r>
        <w:rPr>
          <w:rFonts w:hint="eastAsia"/>
          <w:b/>
          <w:bCs/>
          <w:sz w:val="28"/>
          <w:szCs w:val="32"/>
        </w:rPr>
        <w:t>.</w:t>
      </w:r>
      <w:r>
        <w:rPr>
          <w:b/>
          <w:bCs/>
          <w:sz w:val="28"/>
          <w:szCs w:val="32"/>
        </w:rPr>
        <w:t xml:space="preserve">1 </w:t>
      </w:r>
      <w:r>
        <w:rPr>
          <w:rFonts w:hint="eastAsia"/>
          <w:b/>
          <w:bCs/>
          <w:sz w:val="28"/>
          <w:szCs w:val="32"/>
        </w:rPr>
        <w:t>地表水环境影响预测分析</w:t>
      </w:r>
    </w:p>
    <w:p w14:paraId="50DBFF5A">
      <w:pPr>
        <w:ind w:firstLine="0" w:firstLineChars="0"/>
        <w:rPr>
          <w:rFonts w:cs="Times New Roman"/>
        </w:rPr>
      </w:pPr>
      <w:r>
        <w:rPr>
          <w:rFonts w:cs="Times New Roman"/>
        </w:rPr>
        <w:t>6</w:t>
      </w:r>
      <w:r>
        <w:rPr>
          <w:rFonts w:hint="eastAsia" w:cs="Times New Roman"/>
        </w:rPr>
        <w:t>.</w:t>
      </w:r>
      <w:r>
        <w:rPr>
          <w:rFonts w:cs="Times New Roman"/>
        </w:rPr>
        <w:t>4</w:t>
      </w:r>
      <w:r>
        <w:rPr>
          <w:rFonts w:hint="eastAsia" w:cs="Times New Roman"/>
        </w:rPr>
        <w:t>.</w:t>
      </w:r>
      <w:r>
        <w:rPr>
          <w:rFonts w:cs="Times New Roman"/>
        </w:rPr>
        <w:t xml:space="preserve">1.1 </w:t>
      </w:r>
      <w:r>
        <w:rPr>
          <w:rFonts w:hint="eastAsia" w:cs="Times New Roman"/>
        </w:rPr>
        <w:t>矿山正常情况对地表水环境影响分析</w:t>
      </w:r>
    </w:p>
    <w:p w14:paraId="22DFFCC2">
      <w:pPr>
        <w:ind w:firstLine="480"/>
      </w:pPr>
      <w:r>
        <w:rPr>
          <w:rFonts w:hint="eastAsia"/>
        </w:rPr>
        <w:t>正常情况下，井下涌水、设备冷却水、选矿厂浓缩池溢流水、充填站废水、除尘废水及冲洗地坪水、生活污水、尾矿库溢流水全部返回选矿环节进行回用，不外排。</w:t>
      </w:r>
    </w:p>
    <w:p w14:paraId="05F068E2">
      <w:pPr>
        <w:ind w:firstLine="480"/>
      </w:pPr>
      <w:r>
        <w:rPr>
          <w:rFonts w:hint="eastAsia"/>
        </w:rPr>
        <w:t>因此，正常情况下，工程不会对周边地表水产生不利影响。</w:t>
      </w:r>
    </w:p>
    <w:p w14:paraId="72F467BC">
      <w:pPr>
        <w:ind w:firstLine="0" w:firstLineChars="0"/>
        <w:rPr>
          <w:rFonts w:cs="Times New Roman"/>
        </w:rPr>
      </w:pPr>
      <w:r>
        <w:rPr>
          <w:rFonts w:cs="Times New Roman"/>
        </w:rPr>
        <w:t>6</w:t>
      </w:r>
      <w:r>
        <w:rPr>
          <w:rFonts w:hint="eastAsia" w:cs="Times New Roman"/>
        </w:rPr>
        <w:t>.</w:t>
      </w:r>
      <w:r>
        <w:rPr>
          <w:rFonts w:cs="Times New Roman"/>
        </w:rPr>
        <w:t>4</w:t>
      </w:r>
      <w:r>
        <w:rPr>
          <w:rFonts w:hint="eastAsia" w:cs="Times New Roman"/>
        </w:rPr>
        <w:t>.</w:t>
      </w:r>
      <w:r>
        <w:rPr>
          <w:rFonts w:cs="Times New Roman"/>
        </w:rPr>
        <w:t xml:space="preserve">1.2 </w:t>
      </w:r>
      <w:r>
        <w:rPr>
          <w:rFonts w:hint="eastAsia" w:cs="Times New Roman"/>
        </w:rPr>
        <w:t>矿山正常情况对地表水环境影响分析</w:t>
      </w:r>
    </w:p>
    <w:p w14:paraId="253C9BFF">
      <w:pPr>
        <w:ind w:firstLine="480"/>
      </w:pPr>
      <w:r>
        <w:rPr>
          <w:rFonts w:hint="eastAsia"/>
        </w:rPr>
        <w:t>非正常工况废水排放主要分为：在矿山停产和选矿设备检修时的井下涌水排放、尾矿库排洪。</w:t>
      </w:r>
    </w:p>
    <w:p w14:paraId="2139537D">
      <w:pPr>
        <w:ind w:firstLine="480"/>
      </w:pPr>
      <w:r>
        <w:rPr>
          <w:rFonts w:hint="eastAsia"/>
        </w:rPr>
        <w:t>（1）矿山停产和选矿设备检修时的井下涌水排放</w:t>
      </w:r>
    </w:p>
    <w:p w14:paraId="2F44B1B0">
      <w:pPr>
        <w:ind w:firstLine="480"/>
      </w:pPr>
      <w:r>
        <w:rPr>
          <w:rFonts w:hint="eastAsia"/>
        </w:rPr>
        <w:t>在矿山停产和进行检修时，井下涌水需要外排，井下涌水从井下提升到循环水池后，沉淀处理后外排，进入沿岗河。施工调试期间井下涌水量比原环评预测井下涌水量有所减少，因此在矿山停产和选矿设备检修时井下涌水排放不会对</w:t>
      </w:r>
      <w:r>
        <w:t>陈大庄沟支流</w:t>
      </w:r>
      <w:r>
        <w:rPr>
          <w:rFonts w:hint="eastAsia"/>
        </w:rPr>
        <w:t>和沿岗河产生明显不利影响。</w:t>
      </w:r>
    </w:p>
    <w:p w14:paraId="79616727">
      <w:pPr>
        <w:ind w:firstLine="480"/>
      </w:pPr>
      <w:r>
        <w:rPr>
          <w:rFonts w:hint="eastAsia"/>
        </w:rPr>
        <w:t>（2）尾矿库排洪</w:t>
      </w:r>
    </w:p>
    <w:p w14:paraId="28BF488B">
      <w:pPr>
        <w:ind w:firstLine="480"/>
      </w:pPr>
      <w:r>
        <w:rPr>
          <w:rFonts w:hint="eastAsia"/>
        </w:rPr>
        <w:t>尾矿库排洪水通过溢洪塔排入尾矿库回水池，排入</w:t>
      </w:r>
      <w:r>
        <w:t>陈大庄沟支流</w:t>
      </w:r>
      <w:r>
        <w:rPr>
          <w:rFonts w:hint="eastAsia"/>
        </w:rPr>
        <w:t>，汇入沿岗河。尾矿库通过调洪后，泄洪量较小，且尾矿库溢流水质满足《铁矿采选工业污染物排放标准》（GB28661-2012）表2限值要求，尾矿库排洪水不会对</w:t>
      </w:r>
      <w:r>
        <w:t>陈大庄沟支流</w:t>
      </w:r>
      <w:r>
        <w:rPr>
          <w:rFonts w:hint="eastAsia"/>
        </w:rPr>
        <w:t>和沿岗河产生明显不利影响。</w:t>
      </w:r>
    </w:p>
    <w:p w14:paraId="4D4EBC42">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4</w:t>
      </w:r>
      <w:r>
        <w:rPr>
          <w:rFonts w:hint="eastAsia"/>
          <w:b/>
          <w:bCs/>
          <w:sz w:val="28"/>
          <w:szCs w:val="32"/>
        </w:rPr>
        <w:t>.</w:t>
      </w:r>
      <w:r>
        <w:rPr>
          <w:b/>
          <w:bCs/>
          <w:sz w:val="28"/>
          <w:szCs w:val="32"/>
        </w:rPr>
        <w:t xml:space="preserve">2 </w:t>
      </w:r>
      <w:r>
        <w:rPr>
          <w:rFonts w:hint="eastAsia"/>
          <w:b/>
          <w:bCs/>
          <w:sz w:val="28"/>
          <w:szCs w:val="32"/>
        </w:rPr>
        <w:t>预测验证</w:t>
      </w:r>
    </w:p>
    <w:p w14:paraId="6D6A6272">
      <w:pPr>
        <w:ind w:firstLine="480"/>
      </w:pPr>
      <w:r>
        <w:rPr>
          <w:rFonts w:hint="eastAsia"/>
        </w:rPr>
        <w:t>本次后评价阶段引用项目地表水例行监测数据，根据监测结果可知，沿岗河和</w:t>
      </w:r>
      <w:r>
        <w:t>陈大庄沟支流</w:t>
      </w:r>
      <w:r>
        <w:rPr>
          <w:rFonts w:hint="eastAsia"/>
        </w:rPr>
        <w:t>环境质量可满足《地表水环境质量标准》（GB3838-2002）中的III类标准限值要求。</w:t>
      </w:r>
    </w:p>
    <w:p w14:paraId="254F94B8">
      <w:pPr>
        <w:ind w:firstLine="480"/>
      </w:pPr>
      <w:r>
        <w:rPr>
          <w:rFonts w:hint="eastAsia"/>
        </w:rPr>
        <w:t>项目实际正常运行过程中不进行废水排放，可以实现废水在厂区的循环使用，原环评中要求项目正常情况下废水全部回用生产，不外排，不会对周边地表水体水环境质量造成影响，因此，项目对地表水的影响情况与环评阶段的预测分析基本一致。目前存在的问题是选矿厂区内喷淋废水未能及时有效收集至万吨水池，可能随着雨水排入周边地表水水体，对周边地表水环境产生一定影响。</w:t>
      </w:r>
    </w:p>
    <w:p w14:paraId="7909207F">
      <w:pPr>
        <w:keepNext/>
        <w:keepLines/>
        <w:spacing w:before="260" w:after="260" w:line="415" w:lineRule="auto"/>
        <w:ind w:firstLine="0" w:firstLineChars="0"/>
        <w:jc w:val="left"/>
        <w:outlineLvl w:val="1"/>
        <w:rPr>
          <w:rFonts w:cstheme="majorBidi"/>
          <w:b/>
          <w:bCs/>
          <w:sz w:val="32"/>
          <w:szCs w:val="32"/>
        </w:rPr>
      </w:pPr>
      <w:bookmarkStart w:id="70" w:name="_Toc55773244"/>
      <w:bookmarkStart w:id="71" w:name="_Toc85213519"/>
      <w:r>
        <w:rPr>
          <w:rFonts w:cstheme="majorBidi"/>
          <w:b/>
          <w:bCs/>
          <w:sz w:val="32"/>
          <w:szCs w:val="32"/>
        </w:rPr>
        <w:t>6</w:t>
      </w:r>
      <w:r>
        <w:rPr>
          <w:rFonts w:hint="eastAsia" w:cstheme="majorBidi"/>
          <w:b/>
          <w:bCs/>
          <w:sz w:val="32"/>
          <w:szCs w:val="32"/>
        </w:rPr>
        <w:t>.</w:t>
      </w:r>
      <w:r>
        <w:rPr>
          <w:rFonts w:cstheme="majorBidi"/>
          <w:b/>
          <w:bCs/>
          <w:sz w:val="32"/>
          <w:szCs w:val="32"/>
        </w:rPr>
        <w:t xml:space="preserve">5 </w:t>
      </w:r>
      <w:r>
        <w:rPr>
          <w:rFonts w:hint="eastAsia" w:cstheme="majorBidi"/>
          <w:b/>
          <w:bCs/>
          <w:sz w:val="32"/>
          <w:szCs w:val="32"/>
        </w:rPr>
        <w:t>声环境影响预测验证</w:t>
      </w:r>
      <w:bookmarkEnd w:id="70"/>
      <w:bookmarkEnd w:id="71"/>
    </w:p>
    <w:p w14:paraId="6E30972E">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5</w:t>
      </w:r>
      <w:r>
        <w:rPr>
          <w:rFonts w:hint="eastAsia"/>
          <w:b/>
          <w:bCs/>
          <w:sz w:val="28"/>
          <w:szCs w:val="32"/>
        </w:rPr>
        <w:t>.</w:t>
      </w:r>
      <w:r>
        <w:rPr>
          <w:b/>
          <w:bCs/>
          <w:sz w:val="28"/>
          <w:szCs w:val="32"/>
        </w:rPr>
        <w:t xml:space="preserve">1 </w:t>
      </w:r>
      <w:r>
        <w:rPr>
          <w:rFonts w:hint="eastAsia"/>
          <w:b/>
          <w:bCs/>
          <w:sz w:val="28"/>
          <w:szCs w:val="32"/>
        </w:rPr>
        <w:t>声环境影响预测</w:t>
      </w:r>
    </w:p>
    <w:p w14:paraId="5924A10B">
      <w:pPr>
        <w:ind w:firstLine="0" w:firstLineChars="0"/>
        <w:rPr>
          <w:rFonts w:cs="Times New Roman"/>
        </w:rPr>
      </w:pPr>
      <w:r>
        <w:rPr>
          <w:rFonts w:cs="Times New Roman"/>
        </w:rPr>
        <w:t>6</w:t>
      </w:r>
      <w:r>
        <w:rPr>
          <w:rFonts w:hint="eastAsia" w:cs="Times New Roman"/>
        </w:rPr>
        <w:t>.</w:t>
      </w:r>
      <w:r>
        <w:rPr>
          <w:rFonts w:cs="Times New Roman"/>
        </w:rPr>
        <w:t>5</w:t>
      </w:r>
      <w:r>
        <w:rPr>
          <w:rFonts w:hint="eastAsia" w:cs="Times New Roman"/>
        </w:rPr>
        <w:t>.</w:t>
      </w:r>
      <w:r>
        <w:rPr>
          <w:rFonts w:cs="Times New Roman"/>
        </w:rPr>
        <w:t xml:space="preserve">1.1 </w:t>
      </w:r>
      <w:r>
        <w:rPr>
          <w:rFonts w:hint="eastAsia" w:cs="Times New Roman"/>
        </w:rPr>
        <w:t>采选工业场地场界噪声环境影响预测与评价</w:t>
      </w:r>
    </w:p>
    <w:p w14:paraId="3DA57285">
      <w:pPr>
        <w:ind w:firstLine="480"/>
      </w:pPr>
      <w:r>
        <w:t>通过厂界噪声监测</w:t>
      </w:r>
      <w:r>
        <w:rPr>
          <w:rFonts w:hint="eastAsia"/>
        </w:rPr>
        <w:t>结果</w:t>
      </w:r>
      <w:r>
        <w:t>与评价标准对比可知，</w:t>
      </w:r>
      <w:r>
        <w:rPr>
          <w:rFonts w:hint="eastAsia"/>
        </w:rPr>
        <w:t>选矿工业场地各厂界噪声能够满足《工业企业厂界环境噪声排放标准》（</w:t>
      </w:r>
      <w:r>
        <w:t>GB12348-2008</w:t>
      </w:r>
      <w:r>
        <w:rPr>
          <w:rFonts w:hint="eastAsia"/>
        </w:rPr>
        <w:t>）中</w:t>
      </w:r>
      <w:r>
        <w:t>2</w:t>
      </w:r>
      <w:r>
        <w:rPr>
          <w:rFonts w:hint="eastAsia"/>
        </w:rPr>
        <w:t>类功能区标准限值要求。</w:t>
      </w:r>
    </w:p>
    <w:p w14:paraId="0F2721AD">
      <w:pPr>
        <w:ind w:firstLine="480"/>
      </w:pPr>
      <w:r>
        <w:rPr>
          <w:rFonts w:cs="Times New Roman"/>
        </w:rPr>
        <w:t>6</w:t>
      </w:r>
      <w:r>
        <w:rPr>
          <w:rFonts w:hint="eastAsia" w:cs="Times New Roman"/>
        </w:rPr>
        <w:t>.</w:t>
      </w:r>
      <w:r>
        <w:rPr>
          <w:rFonts w:cs="Times New Roman"/>
        </w:rPr>
        <w:t>5</w:t>
      </w:r>
      <w:r>
        <w:rPr>
          <w:rFonts w:hint="eastAsia" w:cs="Times New Roman"/>
        </w:rPr>
        <w:t>.</w:t>
      </w:r>
      <w:r>
        <w:rPr>
          <w:rFonts w:cs="Times New Roman"/>
        </w:rPr>
        <w:t xml:space="preserve">1.2 </w:t>
      </w:r>
      <w:r>
        <w:rPr>
          <w:rFonts w:hint="eastAsia" w:cs="Times New Roman"/>
        </w:rPr>
        <w:t>敏</w:t>
      </w:r>
      <w:r>
        <w:rPr>
          <w:rFonts w:hint="eastAsia"/>
        </w:rPr>
        <w:t>感点噪声环境影响分析</w:t>
      </w:r>
    </w:p>
    <w:p w14:paraId="6B4396A7">
      <w:pPr>
        <w:ind w:firstLine="480"/>
      </w:pPr>
      <w:r>
        <w:rPr>
          <w:rFonts w:hint="eastAsia"/>
        </w:rPr>
        <w:t>本项目周边有</w:t>
      </w:r>
      <w:r>
        <w:t>孟家后楼</w:t>
      </w:r>
      <w:r>
        <w:rPr>
          <w:rFonts w:hint="eastAsia"/>
        </w:rPr>
        <w:t>、</w:t>
      </w:r>
      <w:r>
        <w:t>刘郢</w:t>
      </w:r>
      <w:r>
        <w:rPr>
          <w:rFonts w:hint="eastAsia"/>
        </w:rPr>
        <w:t>、</w:t>
      </w:r>
      <w:r>
        <w:t>王圩</w:t>
      </w:r>
      <w:r>
        <w:rPr>
          <w:rFonts w:hint="eastAsia"/>
        </w:rPr>
        <w:t>等声环境敏感点，各敏感点所在位置较之前环评阶段未发生变化，本次后评价以原环评现状监测值为背景值叠加选厂各厂界贡献值得到敏感点最终的噪声预测值。</w:t>
      </w:r>
    </w:p>
    <w:p w14:paraId="1AF77656">
      <w:pPr>
        <w:ind w:firstLine="480"/>
      </w:pPr>
      <w:r>
        <w:rPr>
          <w:rFonts w:hint="eastAsia"/>
        </w:rPr>
        <w:t>由预测结果可知，各敏感点靠近厂界一侧声环境质量满足《声环境质量标准》（GB3096-2008）中2 类声环境功能区标准限值要求。</w:t>
      </w:r>
    </w:p>
    <w:p w14:paraId="228389DA">
      <w:pPr>
        <w:ind w:firstLine="480"/>
      </w:pPr>
      <w:r>
        <w:rPr>
          <w:rFonts w:hint="eastAsia"/>
        </w:rPr>
        <w:t>综上，评价认为采选工业场地和井口噪声对周边敏感点不会造成明显影响。</w:t>
      </w:r>
    </w:p>
    <w:p w14:paraId="2B4C240C">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5</w:t>
      </w:r>
      <w:r>
        <w:rPr>
          <w:rFonts w:hint="eastAsia"/>
          <w:b/>
          <w:bCs/>
          <w:sz w:val="28"/>
          <w:szCs w:val="32"/>
        </w:rPr>
        <w:t>.</w:t>
      </w:r>
      <w:r>
        <w:rPr>
          <w:b/>
          <w:bCs/>
          <w:sz w:val="28"/>
          <w:szCs w:val="32"/>
        </w:rPr>
        <w:t xml:space="preserve">2 </w:t>
      </w:r>
      <w:r>
        <w:rPr>
          <w:rFonts w:hint="eastAsia"/>
          <w:b/>
          <w:bCs/>
          <w:sz w:val="28"/>
          <w:szCs w:val="32"/>
        </w:rPr>
        <w:t>预测验证</w:t>
      </w:r>
    </w:p>
    <w:p w14:paraId="230FAE83">
      <w:pPr>
        <w:ind w:firstLine="480"/>
      </w:pPr>
      <w:r>
        <w:rPr>
          <w:rFonts w:hint="eastAsia"/>
        </w:rPr>
        <w:t>1、厂界达标预测验证</w:t>
      </w:r>
    </w:p>
    <w:p w14:paraId="2BA69C60">
      <w:pPr>
        <w:ind w:firstLine="480"/>
      </w:pPr>
      <w:r>
        <w:rPr>
          <w:rFonts w:hint="eastAsia"/>
        </w:rPr>
        <w:t>根据《安徽金安矿业有限公司年度例行监测》中厂界噪声监测结果，项目厂界噪声满足《工业企业厂界环境噪声排放标准》（</w:t>
      </w:r>
      <w:r>
        <w:t>GB12348-2008</w:t>
      </w:r>
      <w:r>
        <w:rPr>
          <w:rFonts w:hint="eastAsia"/>
        </w:rPr>
        <w:t>）中</w:t>
      </w:r>
      <w:r>
        <w:t xml:space="preserve">2 </w:t>
      </w:r>
      <w:r>
        <w:rPr>
          <w:rFonts w:hint="eastAsia"/>
        </w:rPr>
        <w:t>类区标准。项目厂界噪声影响结果与环评预测结果一致。</w:t>
      </w:r>
    </w:p>
    <w:p w14:paraId="31C9DEF9">
      <w:pPr>
        <w:ind w:firstLine="480"/>
      </w:pPr>
      <w:r>
        <w:t>2</w:t>
      </w:r>
      <w:r>
        <w:rPr>
          <w:rFonts w:hint="eastAsia"/>
        </w:rPr>
        <w:t>、敏感点预测验证</w:t>
      </w:r>
    </w:p>
    <w:p w14:paraId="287BD6F7">
      <w:pPr>
        <w:ind w:firstLine="480"/>
      </w:pPr>
      <w:r>
        <w:rPr>
          <w:rFonts w:hint="eastAsia"/>
        </w:rPr>
        <w:t>根据项目的例行监测报告，项目周边敏感点声环境质量现状满足《声环境质量标准》（</w:t>
      </w:r>
      <w:r>
        <w:t>GB3095-2008</w:t>
      </w:r>
      <w:r>
        <w:rPr>
          <w:rFonts w:hint="eastAsia"/>
        </w:rPr>
        <w:t>）</w:t>
      </w:r>
      <w:r>
        <w:t xml:space="preserve">2 </w:t>
      </w:r>
      <w:r>
        <w:rPr>
          <w:rFonts w:hint="eastAsia"/>
        </w:rPr>
        <w:t>类区标准要求，项目正常生产中噪声对周边声环境不产生明显影响。目前存在的主要问题是厂房的的部分门窗存在破损现场，正常生产中不能有效阻隔噪声的传播，若不进行及时修复，将会对周边声环境产生影响。</w:t>
      </w:r>
    </w:p>
    <w:p w14:paraId="31F299C6">
      <w:pPr>
        <w:keepNext/>
        <w:keepLines/>
        <w:spacing w:before="260" w:after="260" w:line="415" w:lineRule="auto"/>
        <w:ind w:firstLine="0" w:firstLineChars="0"/>
        <w:jc w:val="left"/>
        <w:outlineLvl w:val="1"/>
        <w:rPr>
          <w:rFonts w:cstheme="majorBidi"/>
          <w:b/>
          <w:bCs/>
          <w:sz w:val="32"/>
          <w:szCs w:val="32"/>
        </w:rPr>
      </w:pPr>
      <w:bookmarkStart w:id="72" w:name="_Toc85213520"/>
      <w:bookmarkStart w:id="73" w:name="_Toc55773245"/>
      <w:r>
        <w:rPr>
          <w:rFonts w:cstheme="majorBidi"/>
          <w:b/>
          <w:bCs/>
          <w:sz w:val="32"/>
          <w:szCs w:val="32"/>
        </w:rPr>
        <w:t>6</w:t>
      </w:r>
      <w:r>
        <w:rPr>
          <w:rFonts w:hint="eastAsia" w:cstheme="majorBidi"/>
          <w:b/>
          <w:bCs/>
          <w:sz w:val="32"/>
          <w:szCs w:val="32"/>
        </w:rPr>
        <w:t>.</w:t>
      </w:r>
      <w:r>
        <w:rPr>
          <w:rFonts w:cstheme="majorBidi"/>
          <w:b/>
          <w:bCs/>
          <w:sz w:val="32"/>
          <w:szCs w:val="32"/>
        </w:rPr>
        <w:t xml:space="preserve">6 </w:t>
      </w:r>
      <w:r>
        <w:rPr>
          <w:rFonts w:hint="eastAsia" w:cstheme="majorBidi"/>
          <w:b/>
          <w:bCs/>
          <w:sz w:val="32"/>
          <w:szCs w:val="32"/>
        </w:rPr>
        <w:t>固体废物环境影响预测验证</w:t>
      </w:r>
      <w:bookmarkEnd w:id="72"/>
      <w:bookmarkEnd w:id="73"/>
    </w:p>
    <w:p w14:paraId="430204D1">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6</w:t>
      </w:r>
      <w:r>
        <w:rPr>
          <w:rFonts w:hint="eastAsia"/>
          <w:b/>
          <w:bCs/>
          <w:sz w:val="28"/>
          <w:szCs w:val="32"/>
        </w:rPr>
        <w:t>.</w:t>
      </w:r>
      <w:r>
        <w:rPr>
          <w:b/>
          <w:bCs/>
          <w:sz w:val="28"/>
          <w:szCs w:val="32"/>
        </w:rPr>
        <w:t xml:space="preserve">1 </w:t>
      </w:r>
      <w:r>
        <w:rPr>
          <w:rFonts w:hint="eastAsia"/>
          <w:b/>
          <w:bCs/>
          <w:sz w:val="28"/>
          <w:szCs w:val="32"/>
        </w:rPr>
        <w:t>固体废物贮存处置场环境影响分析</w:t>
      </w:r>
    </w:p>
    <w:p w14:paraId="4ECA87A1">
      <w:pPr>
        <w:ind w:firstLine="480"/>
      </w:pPr>
      <w:r>
        <w:t>项目产生的固体废物主要有废石、尾矿、生活垃圾等。</w:t>
      </w:r>
    </w:p>
    <w:p w14:paraId="4AC20746">
      <w:pPr>
        <w:ind w:firstLine="480"/>
      </w:pPr>
      <w:r>
        <w:t>（1）产生的废石，全部外售给霍邱县建材企业供综合利用。与原环评一致。</w:t>
      </w:r>
    </w:p>
    <w:p w14:paraId="109DF5D4">
      <w:pPr>
        <w:ind w:firstLine="480"/>
      </w:pPr>
      <w:r>
        <w:t>（2）尾矿经浓密机浓缩后直接入井下填充，剩余少量排入尾矿库。与原环评相比，填充量增加，排入尾矿库量减少，尾矿对环境的影响减小。</w:t>
      </w:r>
    </w:p>
    <w:p w14:paraId="16EC80FD">
      <w:pPr>
        <w:ind w:firstLine="480"/>
      </w:pPr>
      <w:r>
        <w:t>（3）废矿物油存放在厂区危废暂存库内，并与危险处置单位安徽中久润滑油有限公司签订了处置协议。项目环评及验收文件中未说明废矿物油，在实际生产中会 产生废矿物油。</w:t>
      </w:r>
    </w:p>
    <w:p w14:paraId="0A1D1B84">
      <w:pPr>
        <w:ind w:firstLine="480"/>
      </w:pPr>
      <w:r>
        <w:t>（4）废包装桶存放在厂区危废暂存库内，并与危废处置单位安徽嘉朋特环保科技服务有限公司签订了处置协议。项目环评及验收文件中未说明废包装桶，在实际 生产中会产生废包装桶。</w:t>
      </w:r>
    </w:p>
    <w:p w14:paraId="19B553DF">
      <w:pPr>
        <w:ind w:firstLine="480"/>
      </w:pPr>
      <w:r>
        <w:t>（5）废化学试剂</w:t>
      </w:r>
    </w:p>
    <w:p w14:paraId="5C5F5F56">
      <w:pPr>
        <w:ind w:firstLine="480"/>
      </w:pPr>
      <w:r>
        <w:t>废化学试剂暂存于危废暂存库内。项目环评及验收文件中未说明，在实际生产中会产生。</w:t>
      </w:r>
    </w:p>
    <w:p w14:paraId="51D95177">
      <w:pPr>
        <w:ind w:firstLine="480"/>
      </w:pPr>
      <w:r>
        <w:t>（6）废化学试剂瓶暂存于危废暂存库内。项目环评及验收文件中未说明，在实际生产中会产生。</w:t>
      </w:r>
    </w:p>
    <w:p w14:paraId="1917194D">
      <w:pPr>
        <w:ind w:firstLine="480"/>
      </w:pPr>
      <w:r>
        <w:t>（7）生活垃圾收集后定期运至当地环卫部门指定的生活垃圾处理厂处置。与原环评一致。</w:t>
      </w:r>
    </w:p>
    <w:p w14:paraId="263254FF">
      <w:pPr>
        <w:ind w:firstLine="480"/>
      </w:pPr>
      <w:r>
        <w:t>由此可知，后评价项目产生的固体废物得到有效利用及合理处置。</w:t>
      </w:r>
    </w:p>
    <w:p w14:paraId="19A30773">
      <w:pPr>
        <w:ind w:firstLine="480"/>
      </w:pPr>
      <w:r>
        <w:t>综上，项目固体废物的影响情况与环评阶段的分析基本一致，项目的开采及选 矿活动不会对环境造成明显不利影响。</w:t>
      </w:r>
    </w:p>
    <w:p w14:paraId="2062CFBB">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6</w:t>
      </w:r>
      <w:r>
        <w:rPr>
          <w:rFonts w:hint="eastAsia"/>
          <w:b/>
          <w:bCs/>
          <w:sz w:val="28"/>
          <w:szCs w:val="32"/>
        </w:rPr>
        <w:t>.</w:t>
      </w:r>
      <w:r>
        <w:rPr>
          <w:b/>
          <w:bCs/>
          <w:sz w:val="28"/>
          <w:szCs w:val="32"/>
        </w:rPr>
        <w:t xml:space="preserve">2 </w:t>
      </w:r>
      <w:r>
        <w:rPr>
          <w:rFonts w:hint="eastAsia"/>
          <w:b/>
          <w:bCs/>
          <w:sz w:val="28"/>
          <w:szCs w:val="32"/>
        </w:rPr>
        <w:t>预测验证</w:t>
      </w:r>
    </w:p>
    <w:p w14:paraId="09C7FF12">
      <w:pPr>
        <w:ind w:firstLine="480"/>
      </w:pPr>
      <w:r>
        <w:t>1</w:t>
      </w:r>
      <w:r>
        <w:rPr>
          <w:rFonts w:hint="eastAsia"/>
        </w:rPr>
        <w:t>、尾矿库</w:t>
      </w:r>
    </w:p>
    <w:p w14:paraId="5891099D">
      <w:pPr>
        <w:ind w:firstLine="480"/>
      </w:pPr>
      <w:r>
        <w:rPr>
          <w:rFonts w:hint="eastAsia"/>
        </w:rPr>
        <w:t>根据现场踏勘，目前尾矿坝已堆积至二期子坝，经现场踏勘发现，二期子坝部分区域绿化不足，坝体表土裸露严重，存在风沙扬尘风险。若不进行及时绿化，堆积坝环境问题日趋严重。</w:t>
      </w:r>
    </w:p>
    <w:p w14:paraId="4F2AAF17">
      <w:pPr>
        <w:ind w:firstLine="480"/>
      </w:pPr>
      <w:r>
        <w:rPr>
          <w:rFonts w:hint="eastAsia"/>
        </w:rPr>
        <w:t>尾矿库东部干滩区域出现地面干裂、起皮等现象，现有喷淋系统不能完全覆盖，当出现干旱、大风天气时，尾矿库可能会出现风沙扬尘现象，扬尘来源主要是沉积滩面细颗粒尾砂。若不进行及时防治，将会对尾矿库周边植被和土壤产生不利影响。</w:t>
      </w:r>
    </w:p>
    <w:p w14:paraId="338BE424">
      <w:pPr>
        <w:ind w:firstLine="480"/>
      </w:pPr>
      <w:r>
        <w:rPr>
          <w:rFonts w:hint="eastAsia"/>
        </w:rPr>
        <w:t>尾矿事故池出现严重堵塞现象，事故池中淤泥堆积，已有部分植物生长在事故池堆积的淤泥上，且有不少杂物存在于事故池中，如塑料袋、枯树枝等。当出现尾砂泄漏情况时，矿浆相应流入事故池中，事故池不能提供及时有效的措施来缓解尾砂泄漏事故的发生。</w:t>
      </w:r>
    </w:p>
    <w:p w14:paraId="18BC0A4E">
      <w:pPr>
        <w:ind w:firstLine="480"/>
      </w:pPr>
      <w:r>
        <w:t>2</w:t>
      </w:r>
      <w:r>
        <w:rPr>
          <w:rFonts w:hint="eastAsia"/>
        </w:rPr>
        <w:t>、表土堆场</w:t>
      </w:r>
    </w:p>
    <w:p w14:paraId="00E401EB">
      <w:pPr>
        <w:ind w:firstLine="480"/>
      </w:pPr>
      <w:r>
        <w:rPr>
          <w:rFonts w:hint="eastAsia"/>
        </w:rPr>
        <w:t>目前随着项目选矿厂建设完毕，表土已全部妥善处置。表土堆场已按照环境管理要求进行了生态复垦，对周边的环境将不会再造成明显影响。</w:t>
      </w:r>
    </w:p>
    <w:p w14:paraId="462A54F6">
      <w:pPr>
        <w:ind w:firstLine="480"/>
      </w:pPr>
      <w:r>
        <w:rPr>
          <w:rFonts w:hint="eastAsia"/>
        </w:rPr>
        <w:t>综上所述，项目固体废物堆场需要进一步完善生态保护措施，以减少固体废物贮存场所对周边环境的影响。</w:t>
      </w:r>
    </w:p>
    <w:p w14:paraId="610A2ADF">
      <w:pPr>
        <w:keepNext/>
        <w:keepLines/>
        <w:spacing w:before="260" w:after="260" w:line="415" w:lineRule="auto"/>
        <w:ind w:firstLine="0" w:firstLineChars="0"/>
        <w:jc w:val="left"/>
        <w:outlineLvl w:val="1"/>
        <w:rPr>
          <w:rFonts w:cstheme="majorBidi"/>
          <w:b/>
          <w:bCs/>
          <w:sz w:val="32"/>
          <w:szCs w:val="32"/>
        </w:rPr>
      </w:pPr>
      <w:bookmarkStart w:id="74" w:name="_Toc85213521"/>
      <w:bookmarkStart w:id="75" w:name="_Toc55773246"/>
      <w:r>
        <w:rPr>
          <w:rFonts w:cstheme="majorBidi"/>
          <w:b/>
          <w:bCs/>
          <w:sz w:val="32"/>
          <w:szCs w:val="32"/>
        </w:rPr>
        <w:t>6</w:t>
      </w:r>
      <w:r>
        <w:rPr>
          <w:rFonts w:hint="eastAsia" w:cstheme="majorBidi"/>
          <w:b/>
          <w:bCs/>
          <w:sz w:val="32"/>
          <w:szCs w:val="32"/>
        </w:rPr>
        <w:t>.</w:t>
      </w:r>
      <w:r>
        <w:rPr>
          <w:rFonts w:cstheme="majorBidi"/>
          <w:b/>
          <w:bCs/>
          <w:sz w:val="32"/>
          <w:szCs w:val="32"/>
        </w:rPr>
        <w:t xml:space="preserve">7 </w:t>
      </w:r>
      <w:r>
        <w:rPr>
          <w:rFonts w:hint="eastAsia" w:cstheme="majorBidi"/>
          <w:b/>
          <w:bCs/>
          <w:sz w:val="32"/>
          <w:szCs w:val="32"/>
        </w:rPr>
        <w:t>环境风险影响预测验证</w:t>
      </w:r>
      <w:bookmarkEnd w:id="74"/>
      <w:bookmarkEnd w:id="75"/>
    </w:p>
    <w:p w14:paraId="5E1B9995">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7</w:t>
      </w:r>
      <w:r>
        <w:rPr>
          <w:rFonts w:hint="eastAsia"/>
          <w:b/>
          <w:bCs/>
          <w:sz w:val="28"/>
          <w:szCs w:val="32"/>
        </w:rPr>
        <w:t>.</w:t>
      </w:r>
      <w:r>
        <w:rPr>
          <w:b/>
          <w:bCs/>
          <w:sz w:val="28"/>
          <w:szCs w:val="32"/>
        </w:rPr>
        <w:t xml:space="preserve">1 </w:t>
      </w:r>
      <w:r>
        <w:rPr>
          <w:rFonts w:hint="eastAsia"/>
          <w:b/>
          <w:bCs/>
          <w:sz w:val="28"/>
          <w:szCs w:val="32"/>
        </w:rPr>
        <w:t>环境风险影响分析</w:t>
      </w:r>
    </w:p>
    <w:p w14:paraId="63DFCA89">
      <w:pPr>
        <w:ind w:firstLine="0" w:firstLineChars="0"/>
        <w:rPr>
          <w:rFonts w:cs="Times New Roman"/>
        </w:rPr>
      </w:pPr>
      <w:r>
        <w:rPr>
          <w:rFonts w:cs="Times New Roman"/>
        </w:rPr>
        <w:t>6</w:t>
      </w:r>
      <w:r>
        <w:rPr>
          <w:rFonts w:hint="eastAsia" w:cs="Times New Roman"/>
        </w:rPr>
        <w:t>.</w:t>
      </w:r>
      <w:r>
        <w:rPr>
          <w:rFonts w:cs="Times New Roman"/>
        </w:rPr>
        <w:t>7</w:t>
      </w:r>
      <w:r>
        <w:rPr>
          <w:rFonts w:hint="eastAsia" w:cs="Times New Roman"/>
        </w:rPr>
        <w:t>.</w:t>
      </w:r>
      <w:r>
        <w:rPr>
          <w:rFonts w:cs="Times New Roman"/>
        </w:rPr>
        <w:t xml:space="preserve">1.1 </w:t>
      </w:r>
      <w:r>
        <w:rPr>
          <w:rFonts w:hint="eastAsia" w:cs="Times New Roman"/>
        </w:rPr>
        <w:t>炸药库风险分析</w:t>
      </w:r>
    </w:p>
    <w:p w14:paraId="1B69C8B5">
      <w:pPr>
        <w:ind w:firstLine="480"/>
      </w:pPr>
      <w:r>
        <w:rPr>
          <w:rFonts w:hint="eastAsia"/>
        </w:rPr>
        <w:t>根据霍邱县公安局最新告知，霍邱县矿区集中点由县公安局统一建地面炸药库，不允许矿山自建，矿山企业使用炸药实行专车配送制。采掘所需炸药和爆破器材由县民爆公司按矿山要求提供，特殊情况下剩余的部分炸药和爆破器材存放到草楼铁矿井下炸药库。</w:t>
      </w:r>
    </w:p>
    <w:p w14:paraId="4445808D">
      <w:pPr>
        <w:ind w:firstLine="480"/>
      </w:pPr>
      <w:r>
        <w:rPr>
          <w:rFonts w:hint="eastAsia"/>
        </w:rPr>
        <w:t>本项目炸药库位于井下，地面不设炸药库，因此，如果炸药库发生爆炸，其对地面环境的影响范围较小。</w:t>
      </w:r>
    </w:p>
    <w:p w14:paraId="39616EED">
      <w:pPr>
        <w:ind w:firstLine="0" w:firstLineChars="0"/>
        <w:rPr>
          <w:rFonts w:cs="Times New Roman"/>
        </w:rPr>
      </w:pPr>
      <w:r>
        <w:rPr>
          <w:rFonts w:cs="Times New Roman"/>
        </w:rPr>
        <w:t>6</w:t>
      </w:r>
      <w:r>
        <w:rPr>
          <w:rFonts w:hint="eastAsia" w:cs="Times New Roman"/>
        </w:rPr>
        <w:t>.</w:t>
      </w:r>
      <w:r>
        <w:rPr>
          <w:rFonts w:cs="Times New Roman"/>
        </w:rPr>
        <w:t>7</w:t>
      </w:r>
      <w:r>
        <w:rPr>
          <w:rFonts w:hint="eastAsia" w:cs="Times New Roman"/>
        </w:rPr>
        <w:t>.</w:t>
      </w:r>
      <w:r>
        <w:rPr>
          <w:rFonts w:cs="Times New Roman"/>
        </w:rPr>
        <w:t xml:space="preserve">1.2 </w:t>
      </w:r>
      <w:r>
        <w:rPr>
          <w:rFonts w:hint="eastAsia" w:cs="Times New Roman"/>
        </w:rPr>
        <w:t>地表塌陷后果分析</w:t>
      </w:r>
    </w:p>
    <w:p w14:paraId="69E93B6F">
      <w:pPr>
        <w:ind w:firstLine="480"/>
      </w:pPr>
      <w:r>
        <w:rPr>
          <w:rFonts w:hint="eastAsia"/>
        </w:rPr>
        <w:t>根据同类矿山对比，围岩移动角：上、下盘及端部岩石65°；第四系表土45°确定地表错动范围，为了保障安全生产，要求矿山新系统建成前，《设计》要求-200m以上的采空区要求充填80％，并保证充填质量，同时要求建地表岩移观测站。同时评价要求严格按照《安徽省铁矿采选行业准入条件》要求，</w:t>
      </w:r>
      <w:r>
        <w:t>利用废石</w:t>
      </w:r>
      <w:r>
        <w:rPr>
          <w:rFonts w:hint="eastAsia"/>
        </w:rPr>
        <w:t>、尾砂</w:t>
      </w:r>
      <w:r>
        <w:t>回填</w:t>
      </w:r>
      <w:r>
        <w:rPr>
          <w:rFonts w:hint="eastAsia"/>
        </w:rPr>
        <w:t>等措施</w:t>
      </w:r>
      <w:r>
        <w:t>稳定井下采空区</w:t>
      </w:r>
      <w:r>
        <w:rPr>
          <w:rFonts w:hint="eastAsia"/>
        </w:rPr>
        <w:t>。通过以上措施的实施评价项目可满足《安徽省铁矿采选行业准入条件》中“采用其他采矿法的矿山，地表位移程度不得破坏地表植被、自然景观、建（构）筑物等。”要求。</w:t>
      </w:r>
    </w:p>
    <w:p w14:paraId="69A4ECFB">
      <w:pPr>
        <w:keepNext/>
        <w:keepLines/>
        <w:spacing w:before="260" w:after="260" w:line="415" w:lineRule="auto"/>
        <w:ind w:firstLine="0" w:firstLineChars="0"/>
        <w:jc w:val="left"/>
        <w:outlineLvl w:val="2"/>
        <w:rPr>
          <w:b/>
          <w:bCs/>
          <w:sz w:val="28"/>
          <w:szCs w:val="32"/>
        </w:rPr>
      </w:pPr>
      <w:r>
        <w:rPr>
          <w:b/>
          <w:bCs/>
          <w:sz w:val="28"/>
          <w:szCs w:val="32"/>
        </w:rPr>
        <w:t>6</w:t>
      </w:r>
      <w:r>
        <w:rPr>
          <w:rFonts w:hint="eastAsia"/>
          <w:b/>
          <w:bCs/>
          <w:sz w:val="28"/>
          <w:szCs w:val="32"/>
        </w:rPr>
        <w:t>.</w:t>
      </w:r>
      <w:r>
        <w:rPr>
          <w:b/>
          <w:bCs/>
          <w:sz w:val="28"/>
          <w:szCs w:val="32"/>
        </w:rPr>
        <w:t>7</w:t>
      </w:r>
      <w:r>
        <w:rPr>
          <w:rFonts w:hint="eastAsia"/>
          <w:b/>
          <w:bCs/>
          <w:sz w:val="28"/>
          <w:szCs w:val="32"/>
        </w:rPr>
        <w:t>.</w:t>
      </w:r>
      <w:r>
        <w:rPr>
          <w:b/>
          <w:bCs/>
          <w:sz w:val="28"/>
          <w:szCs w:val="32"/>
        </w:rPr>
        <w:t xml:space="preserve">2 </w:t>
      </w:r>
      <w:r>
        <w:rPr>
          <w:rFonts w:hint="eastAsia"/>
          <w:b/>
          <w:bCs/>
          <w:sz w:val="28"/>
          <w:szCs w:val="32"/>
        </w:rPr>
        <w:t>预测验证</w:t>
      </w:r>
    </w:p>
    <w:p w14:paraId="77244BF8">
      <w:pPr>
        <w:ind w:firstLine="480"/>
      </w:pPr>
      <w:r>
        <w:rPr>
          <w:rFonts w:hint="eastAsia"/>
        </w:rPr>
        <w:t>项目自建设运营以来，未发生环境风险事故，暂不能验证环境风险发生后产生的环境影响。为避免环境风险事故的发生，公司根据环境管理要求，编制了《安徽金安矿业有限公司突发环境事件应急预案》，在日常生产管理中也按照应急预案要求，储备应急物资和进行应急演练，定期对尾矿库进行巡查，定期检查维护尾矿库设备、设施等，最大程度避免发生环境风险事故。</w:t>
      </w:r>
    </w:p>
    <w:p w14:paraId="468373C9">
      <w:pPr>
        <w:ind w:firstLine="480"/>
      </w:pPr>
      <w:r>
        <w:rPr>
          <w:rFonts w:hint="eastAsia"/>
        </w:rPr>
        <w:t>综上所述，定期巡查监控尾矿输送管线及事故水池，及时清空尾矿事故池淤泥堆土杂物，确保沿线事故池处于空池状态，确保事故池在尾砂泄漏事故发生时能起到相应作用，通过实施环境风险防范措施，可以有效降低环境风险发生概率。</w:t>
      </w:r>
    </w:p>
    <w:p w14:paraId="548EA85C">
      <w:pPr>
        <w:widowControl/>
        <w:spacing w:line="240" w:lineRule="auto"/>
        <w:ind w:firstLine="0" w:firstLineChars="0"/>
        <w:jc w:val="left"/>
      </w:pPr>
    </w:p>
    <w:p w14:paraId="7FDDA6D6">
      <w:pPr>
        <w:keepNext/>
        <w:keepLines/>
        <w:spacing w:before="340" w:after="330" w:line="578" w:lineRule="auto"/>
        <w:ind w:firstLine="0" w:firstLineChars="0"/>
        <w:jc w:val="center"/>
        <w:outlineLvl w:val="0"/>
        <w:rPr>
          <w:b/>
          <w:bCs/>
          <w:kern w:val="44"/>
          <w:sz w:val="44"/>
          <w:szCs w:val="44"/>
        </w:rPr>
      </w:pPr>
      <w:bookmarkStart w:id="76" w:name="_Toc55773247"/>
      <w:bookmarkStart w:id="77" w:name="_Toc85213522"/>
      <w:r>
        <w:rPr>
          <w:rFonts w:hint="eastAsia"/>
          <w:b/>
          <w:bCs/>
          <w:kern w:val="44"/>
          <w:sz w:val="44"/>
          <w:szCs w:val="44"/>
        </w:rPr>
        <w:t>7</w:t>
      </w:r>
      <w:r>
        <w:rPr>
          <w:b/>
          <w:bCs/>
          <w:kern w:val="44"/>
          <w:sz w:val="44"/>
          <w:szCs w:val="44"/>
        </w:rPr>
        <w:t xml:space="preserve"> </w:t>
      </w:r>
      <w:r>
        <w:rPr>
          <w:rFonts w:hint="eastAsia"/>
          <w:b/>
          <w:bCs/>
          <w:kern w:val="44"/>
          <w:sz w:val="44"/>
          <w:szCs w:val="44"/>
        </w:rPr>
        <w:t>环境保护补救方案和改进措施</w:t>
      </w:r>
      <w:bookmarkEnd w:id="76"/>
      <w:bookmarkEnd w:id="77"/>
    </w:p>
    <w:p w14:paraId="755662A4">
      <w:pPr>
        <w:keepNext/>
        <w:keepLines/>
        <w:spacing w:before="260" w:after="260" w:line="415" w:lineRule="auto"/>
        <w:ind w:firstLine="0" w:firstLineChars="0"/>
        <w:jc w:val="left"/>
        <w:outlineLvl w:val="1"/>
        <w:rPr>
          <w:rFonts w:cstheme="majorBidi"/>
          <w:b/>
          <w:bCs/>
          <w:sz w:val="32"/>
          <w:szCs w:val="32"/>
        </w:rPr>
      </w:pPr>
      <w:bookmarkStart w:id="78" w:name="_Toc55773248"/>
      <w:bookmarkStart w:id="79" w:name="_Toc85213523"/>
      <w:r>
        <w:rPr>
          <w:rFonts w:hint="eastAsia" w:cstheme="majorBidi"/>
          <w:b/>
          <w:bCs/>
          <w:sz w:val="32"/>
          <w:szCs w:val="32"/>
        </w:rPr>
        <w:t>7</w:t>
      </w:r>
      <w:r>
        <w:rPr>
          <w:rFonts w:cstheme="majorBidi"/>
          <w:b/>
          <w:bCs/>
          <w:sz w:val="32"/>
          <w:szCs w:val="32"/>
        </w:rPr>
        <w:t xml:space="preserve">.1 </w:t>
      </w:r>
      <w:r>
        <w:rPr>
          <w:rFonts w:hint="eastAsia" w:cstheme="majorBidi"/>
          <w:b/>
          <w:bCs/>
          <w:sz w:val="32"/>
          <w:szCs w:val="32"/>
        </w:rPr>
        <w:t>生态保护措施补救方案和改进措施</w:t>
      </w:r>
      <w:bookmarkEnd w:id="78"/>
      <w:bookmarkEnd w:id="79"/>
    </w:p>
    <w:p w14:paraId="785B87A6">
      <w:pPr>
        <w:ind w:firstLine="480"/>
        <w:rPr>
          <w:rFonts w:cs="Times New Roman"/>
        </w:rPr>
      </w:pPr>
      <w:r>
        <w:rPr>
          <w:rFonts w:cs="Times New Roman"/>
        </w:rPr>
        <w:t>（1）现状尾矿库干滩喷淋系统覆盖面较小，不能较好的控制尾矿库养成。为防 止尾矿库干滩区域出现地面干裂、起皮等现象，本次后评价要求在符合安全操作规 程的前提下，加大干滩喷淋系统覆盖面，同时可喷洒抑尘剂， 以减少风沙扬尘现象 的出现，抑制尾矿库水土流失。</w:t>
      </w:r>
    </w:p>
    <w:p w14:paraId="6A6FEB6E">
      <w:pPr>
        <w:ind w:firstLine="480"/>
        <w:rPr>
          <w:rFonts w:cs="Times New Roman"/>
        </w:rPr>
      </w:pPr>
      <w:r>
        <w:rPr>
          <w:rFonts w:cs="Times New Roman"/>
        </w:rPr>
        <w:t>（2）企业未开展尾矿库溃坝演练，本次后评价要求企业定期组织人员开展尾矿库溃坝演练。</w:t>
      </w:r>
    </w:p>
    <w:p w14:paraId="706F8EF8">
      <w:pPr>
        <w:ind w:firstLine="480"/>
        <w:rPr>
          <w:rFonts w:hint="eastAsia" w:ascii="宋体" w:cs="宋体" w:hAnsiTheme="minorHAnsi"/>
          <w:kern w:val="0"/>
          <w:szCs w:val="24"/>
        </w:rPr>
      </w:pPr>
      <w:r>
        <w:rPr>
          <w:rFonts w:cs="Times New Roman"/>
          <w:kern w:val="0"/>
          <w:szCs w:val="24"/>
        </w:rPr>
        <w:t>（3）</w:t>
      </w:r>
      <w:r>
        <w:rPr>
          <w:rFonts w:cs="Times New Roman"/>
        </w:rPr>
        <w:t>加强矿区地表沉降观测管理，对地表变形进行长期动态观测并及时评估。</w:t>
      </w:r>
    </w:p>
    <w:p w14:paraId="6D4CBC63">
      <w:pPr>
        <w:keepNext/>
        <w:keepLines/>
        <w:spacing w:before="260" w:after="260" w:line="415" w:lineRule="auto"/>
        <w:ind w:firstLine="0" w:firstLineChars="0"/>
        <w:jc w:val="left"/>
        <w:outlineLvl w:val="1"/>
        <w:rPr>
          <w:rFonts w:cstheme="majorBidi"/>
          <w:b/>
          <w:bCs/>
          <w:sz w:val="32"/>
          <w:szCs w:val="32"/>
        </w:rPr>
      </w:pPr>
      <w:bookmarkStart w:id="80" w:name="_Toc55773249"/>
      <w:bookmarkStart w:id="81" w:name="_Toc85213524"/>
      <w:r>
        <w:rPr>
          <w:rFonts w:hint="eastAsia" w:cstheme="majorBidi"/>
          <w:b/>
          <w:bCs/>
          <w:sz w:val="32"/>
          <w:szCs w:val="32"/>
        </w:rPr>
        <w:t>7</w:t>
      </w:r>
      <w:r>
        <w:rPr>
          <w:rFonts w:cstheme="majorBidi"/>
          <w:b/>
          <w:bCs/>
          <w:sz w:val="32"/>
          <w:szCs w:val="32"/>
        </w:rPr>
        <w:t xml:space="preserve">.2 </w:t>
      </w:r>
      <w:r>
        <w:rPr>
          <w:rFonts w:hint="eastAsia" w:cstheme="majorBidi"/>
          <w:b/>
          <w:bCs/>
          <w:sz w:val="32"/>
          <w:szCs w:val="32"/>
        </w:rPr>
        <w:t>大气污染防治设施补救方案和改进措施</w:t>
      </w:r>
      <w:bookmarkEnd w:id="80"/>
      <w:bookmarkEnd w:id="81"/>
    </w:p>
    <w:p w14:paraId="015B9C09">
      <w:pPr>
        <w:ind w:firstLine="480"/>
      </w:pPr>
      <w:r>
        <w:rPr>
          <w:rFonts w:hint="eastAsia"/>
        </w:rPr>
        <w:t>根据《国务院关于印发打赢蓝天保卫战三年行动计划的通知》（国发[2018]22号文）中“重点区域二氧化硫、氮氧化物、颗粒物、挥发性有机物（VOCs）全面执行大气污染物特别排放限值”、 《安徽省打赢蓝天保卫战三年行动计划实施方案》和《安徽省生态环境厅关于&lt;全面执行大气污染物特别排放限值&gt;的通知》（皖环函[2019]1120号）中“重点区域二氧化硫、氮氧化物、颗粒物、挥发性有机物（VOCs）全面执行大气污染物特别排放限值”， 本项目颗粒物排放浓度需达到《铁矿采选工业污染物排放标准》（GB28661-2012）表6中特别排放限值要求（10mg/m</w:t>
      </w:r>
      <w:r>
        <w:rPr>
          <w:rFonts w:hint="eastAsia"/>
          <w:vertAlign w:val="superscript"/>
        </w:rPr>
        <w:t>3</w:t>
      </w:r>
      <w:r>
        <w:rPr>
          <w:rFonts w:hint="eastAsia"/>
        </w:rPr>
        <w:t>）。</w:t>
      </w:r>
    </w:p>
    <w:p w14:paraId="4D931052">
      <w:pPr>
        <w:ind w:firstLine="480"/>
        <w:rPr>
          <w:szCs w:val="28"/>
        </w:rPr>
      </w:pPr>
      <w:r>
        <w:rPr>
          <w:rFonts w:hint="eastAsia"/>
        </w:rPr>
        <w:t>因此，企业应制定超低排放改造方案，对干选车间、中细碎车间、筛分车间、磨矿仓、充填站等厂区现有除尘设施进行提标改造，更换除尘效率更高、收尘效果更佳的除尘器，使得除尘器除尘效率至少达到99%，经改进措施处理后粉尘排放浓度可满足《铁矿采选工业污染物排放标准》（GB28661-2012）表6中特别排放限值要求，胶凝车间粉尘</w:t>
      </w:r>
      <w:r>
        <w:rPr>
          <w:rFonts w:hint="eastAsia"/>
          <w:szCs w:val="28"/>
        </w:rPr>
        <w:t>满足《水泥工业大气污染物排放标准》（GB4915-2013）中表2大气污染物特别排放限值要求。</w:t>
      </w:r>
      <w:r>
        <w:rPr>
          <w:szCs w:val="28"/>
        </w:rPr>
        <w:t>厂区内实验室在使用过程中会产生废气，</w:t>
      </w:r>
      <w:r>
        <w:rPr>
          <w:rFonts w:hint="eastAsia"/>
          <w:szCs w:val="28"/>
        </w:rPr>
        <w:t>已</w:t>
      </w:r>
      <w:r>
        <w:rPr>
          <w:szCs w:val="28"/>
        </w:rPr>
        <w:t>设置</w:t>
      </w:r>
      <w:r>
        <w:rPr>
          <w:rFonts w:hint="eastAsia"/>
          <w:szCs w:val="28"/>
        </w:rPr>
        <w:t>活性炭吸附</w:t>
      </w:r>
      <w:r>
        <w:rPr>
          <w:szCs w:val="28"/>
        </w:rPr>
        <w:t>处理设施。</w:t>
      </w:r>
    </w:p>
    <w:p w14:paraId="1DE60696">
      <w:pPr>
        <w:keepNext/>
        <w:keepLines/>
        <w:spacing w:before="260" w:after="260" w:line="415" w:lineRule="auto"/>
        <w:ind w:firstLine="0" w:firstLineChars="0"/>
        <w:jc w:val="left"/>
        <w:outlineLvl w:val="1"/>
        <w:rPr>
          <w:rFonts w:cstheme="majorBidi"/>
          <w:b/>
          <w:bCs/>
          <w:sz w:val="32"/>
          <w:szCs w:val="32"/>
        </w:rPr>
      </w:pPr>
      <w:bookmarkStart w:id="82" w:name="_Toc55773250"/>
      <w:bookmarkStart w:id="83" w:name="_Toc85213525"/>
      <w:r>
        <w:rPr>
          <w:rFonts w:hint="eastAsia" w:cstheme="majorBidi"/>
          <w:b/>
          <w:bCs/>
          <w:sz w:val="32"/>
          <w:szCs w:val="32"/>
        </w:rPr>
        <w:t>7</w:t>
      </w:r>
      <w:r>
        <w:rPr>
          <w:rFonts w:cstheme="majorBidi"/>
          <w:b/>
          <w:bCs/>
          <w:sz w:val="32"/>
          <w:szCs w:val="32"/>
        </w:rPr>
        <w:t xml:space="preserve">.3 </w:t>
      </w:r>
      <w:r>
        <w:rPr>
          <w:rFonts w:hint="eastAsia" w:cstheme="majorBidi"/>
          <w:b/>
          <w:bCs/>
          <w:sz w:val="32"/>
          <w:szCs w:val="32"/>
        </w:rPr>
        <w:t>水污染防治设施补救方案和改进措施</w:t>
      </w:r>
      <w:bookmarkEnd w:id="82"/>
      <w:bookmarkEnd w:id="83"/>
    </w:p>
    <w:p w14:paraId="2CC11A0A">
      <w:pPr>
        <w:ind w:firstLine="480"/>
      </w:pPr>
      <w:r>
        <w:t>（1）在选矿厂区内的运输道路旁设置集水边沟和集水池，及时有效地收集喷淋 废水。</w:t>
      </w:r>
    </w:p>
    <w:p w14:paraId="1C977871">
      <w:pPr>
        <w:ind w:firstLine="480"/>
      </w:pPr>
      <w:r>
        <w:t>（2）本次后评价要求定期对污水处理设施进行保养维修，确保污水处理设施稳定运行。</w:t>
      </w:r>
    </w:p>
    <w:p w14:paraId="2E1F090C">
      <w:pPr>
        <w:ind w:firstLine="480"/>
      </w:pPr>
      <w:r>
        <w:rPr>
          <w:rFonts w:hint="eastAsia"/>
        </w:rPr>
        <w:t>（3）加强矿区日常环保工作管理，做好厂区车辆进出车辆冲洗废水沉淀池及时清理，及车辆进出洒水等台账记录。</w:t>
      </w:r>
    </w:p>
    <w:p w14:paraId="70733413">
      <w:pPr>
        <w:ind w:firstLine="480"/>
      </w:pPr>
      <w:r>
        <w:rPr>
          <w:rFonts w:hint="eastAsia"/>
        </w:rPr>
        <w:t>（4）加强厂区内雨污分流措施，确保生产废水经污水管网进入环水池和浓缩池循环利用，不外排。</w:t>
      </w:r>
    </w:p>
    <w:p w14:paraId="4F1344E3">
      <w:pPr>
        <w:ind w:firstLine="480"/>
      </w:pPr>
      <w:r>
        <w:rPr>
          <w:rFonts w:hint="eastAsia"/>
        </w:rPr>
        <w:t>（5）加强对矿区及尾矿库周边地下水水质水位的定期跟踪监测，及时掌握矿区运营对区域地下水的影响。</w:t>
      </w:r>
    </w:p>
    <w:p w14:paraId="77AAD491">
      <w:pPr>
        <w:keepNext/>
        <w:keepLines/>
        <w:spacing w:before="260" w:after="260" w:line="415" w:lineRule="auto"/>
        <w:ind w:firstLine="0" w:firstLineChars="0"/>
        <w:jc w:val="left"/>
        <w:outlineLvl w:val="1"/>
        <w:rPr>
          <w:rFonts w:cstheme="majorBidi"/>
          <w:b/>
          <w:bCs/>
          <w:sz w:val="32"/>
          <w:szCs w:val="32"/>
        </w:rPr>
      </w:pPr>
      <w:bookmarkStart w:id="84" w:name="_Toc55773251"/>
      <w:bookmarkStart w:id="85" w:name="_Toc85213526"/>
      <w:r>
        <w:rPr>
          <w:rFonts w:hint="eastAsia" w:cstheme="majorBidi"/>
          <w:b/>
          <w:bCs/>
          <w:sz w:val="32"/>
          <w:szCs w:val="32"/>
        </w:rPr>
        <w:t>7</w:t>
      </w:r>
      <w:r>
        <w:rPr>
          <w:rFonts w:cstheme="majorBidi"/>
          <w:b/>
          <w:bCs/>
          <w:sz w:val="32"/>
          <w:szCs w:val="32"/>
        </w:rPr>
        <w:t xml:space="preserve">.4 </w:t>
      </w:r>
      <w:r>
        <w:rPr>
          <w:rFonts w:hint="eastAsia" w:cstheme="majorBidi"/>
          <w:b/>
          <w:bCs/>
          <w:sz w:val="32"/>
          <w:szCs w:val="32"/>
        </w:rPr>
        <w:t>声环境污染防治设施补救方案和改进措施</w:t>
      </w:r>
      <w:bookmarkEnd w:id="84"/>
      <w:bookmarkEnd w:id="85"/>
    </w:p>
    <w:p w14:paraId="6FA9BC41">
      <w:pPr>
        <w:ind w:firstLine="480"/>
      </w:pPr>
      <w:r>
        <w:rPr>
          <w:rFonts w:hint="eastAsia"/>
        </w:rPr>
        <w:t>（1）加强矿区日常环保工作管理，对厂房破损门窗玻璃及时修复，以降低设备噪声产生的影响。</w:t>
      </w:r>
    </w:p>
    <w:p w14:paraId="5DA7F3EF">
      <w:pPr>
        <w:ind w:firstLine="480"/>
      </w:pPr>
      <w:r>
        <w:rPr>
          <w:rFonts w:hint="eastAsia"/>
        </w:rPr>
        <w:t>（2）加强</w:t>
      </w:r>
      <w:r>
        <w:rPr>
          <w:rFonts w:hint="eastAsia" w:cs="Times New Roman"/>
        </w:rPr>
        <w:t>破碎机、球磨机、磁选机</w:t>
      </w:r>
      <w:r>
        <w:rPr>
          <w:rFonts w:hint="eastAsia"/>
        </w:rPr>
        <w:t>及各类风机等高噪声设备的维护保养，确保设备处于良好的运转状态。</w:t>
      </w:r>
    </w:p>
    <w:p w14:paraId="0F460E70">
      <w:pPr>
        <w:keepNext/>
        <w:keepLines/>
        <w:spacing w:before="260" w:after="260" w:line="415" w:lineRule="auto"/>
        <w:ind w:firstLine="0" w:firstLineChars="0"/>
        <w:jc w:val="left"/>
        <w:outlineLvl w:val="1"/>
        <w:rPr>
          <w:rFonts w:cstheme="majorBidi"/>
          <w:b/>
          <w:bCs/>
          <w:sz w:val="32"/>
          <w:szCs w:val="32"/>
        </w:rPr>
      </w:pPr>
      <w:bookmarkStart w:id="86" w:name="_Toc85213527"/>
      <w:bookmarkStart w:id="87" w:name="_Toc55773252"/>
      <w:r>
        <w:rPr>
          <w:rFonts w:hint="eastAsia" w:cstheme="majorBidi"/>
          <w:b/>
          <w:bCs/>
          <w:sz w:val="32"/>
          <w:szCs w:val="32"/>
        </w:rPr>
        <w:t>7</w:t>
      </w:r>
      <w:r>
        <w:rPr>
          <w:rFonts w:cstheme="majorBidi"/>
          <w:b/>
          <w:bCs/>
          <w:sz w:val="32"/>
          <w:szCs w:val="32"/>
        </w:rPr>
        <w:t xml:space="preserve">.5 </w:t>
      </w:r>
      <w:r>
        <w:rPr>
          <w:rFonts w:hint="eastAsia" w:cstheme="majorBidi"/>
          <w:b/>
          <w:bCs/>
          <w:sz w:val="32"/>
          <w:szCs w:val="32"/>
        </w:rPr>
        <w:t>固体废物处置措施补救方案和改进措施</w:t>
      </w:r>
      <w:bookmarkEnd w:id="86"/>
      <w:bookmarkEnd w:id="87"/>
    </w:p>
    <w:p w14:paraId="0DA4A6C6">
      <w:pPr>
        <w:ind w:firstLine="480"/>
      </w:pPr>
      <w:r>
        <w:rPr>
          <w:rFonts w:hint="eastAsia"/>
        </w:rPr>
        <w:t>（1）按《危险废物收集 贮存 运输技术规范》（HJ 2025-2012）标准附录要求，加强危险废物日常监管，建立危险废物管理及台账制度，并落实危险废物暂存及转移联单制度。</w:t>
      </w:r>
    </w:p>
    <w:p w14:paraId="009EA35F">
      <w:pPr>
        <w:ind w:firstLine="480"/>
      </w:pPr>
      <w:r>
        <w:rPr>
          <w:rFonts w:hint="eastAsia"/>
        </w:rPr>
        <w:t>（2）</w:t>
      </w:r>
      <w:r>
        <w:t>加强一般工业固体废物管理工作</w:t>
      </w:r>
      <w:r>
        <w:rPr>
          <w:rFonts w:hint="eastAsia"/>
        </w:rPr>
        <w:t>，加大生产巡查频次，做到矿石不落地，确保废石均按要求妥善处置。</w:t>
      </w:r>
    </w:p>
    <w:p w14:paraId="60EE11C8">
      <w:pPr>
        <w:keepNext/>
        <w:keepLines/>
        <w:spacing w:before="260" w:after="260" w:line="415" w:lineRule="auto"/>
        <w:ind w:firstLine="0" w:firstLineChars="0"/>
        <w:jc w:val="left"/>
        <w:outlineLvl w:val="1"/>
        <w:rPr>
          <w:rFonts w:cstheme="majorBidi"/>
          <w:b/>
          <w:bCs/>
          <w:sz w:val="32"/>
          <w:szCs w:val="32"/>
        </w:rPr>
      </w:pPr>
      <w:bookmarkStart w:id="88" w:name="_Toc85213528"/>
      <w:bookmarkStart w:id="89" w:name="_Toc55773253"/>
      <w:r>
        <w:rPr>
          <w:rFonts w:hint="eastAsia" w:cstheme="majorBidi"/>
          <w:b/>
          <w:bCs/>
          <w:sz w:val="32"/>
          <w:szCs w:val="32"/>
        </w:rPr>
        <w:t>7</w:t>
      </w:r>
      <w:r>
        <w:rPr>
          <w:rFonts w:cstheme="majorBidi"/>
          <w:b/>
          <w:bCs/>
          <w:sz w:val="32"/>
          <w:szCs w:val="32"/>
        </w:rPr>
        <w:t xml:space="preserve">.6 </w:t>
      </w:r>
      <w:r>
        <w:rPr>
          <w:rFonts w:hint="eastAsia" w:cstheme="majorBidi"/>
          <w:b/>
          <w:bCs/>
          <w:sz w:val="32"/>
          <w:szCs w:val="32"/>
        </w:rPr>
        <w:t>环境风险防范补救方案和改进措施</w:t>
      </w:r>
      <w:bookmarkEnd w:id="88"/>
      <w:bookmarkEnd w:id="89"/>
    </w:p>
    <w:p w14:paraId="11D698B1">
      <w:pPr>
        <w:ind w:firstLine="480"/>
      </w:pPr>
      <w:r>
        <w:t>（1）做好尾矿库突发环境事件的预防和环境污染事故隐患排查工作，加强尾矿库的巡检次数，检查维护尾矿库设备设施；定期开展突发环境事件应急演练，提高突发环境事件风险应急预案的可操作性。</w:t>
      </w:r>
    </w:p>
    <w:p w14:paraId="6385EEEC">
      <w:pPr>
        <w:ind w:firstLine="480"/>
      </w:pPr>
      <w:r>
        <w:t>（2）定期巡查监控尾矿输送管线及事故水池，</w:t>
      </w:r>
      <w:r>
        <w:rPr>
          <w:rFonts w:hint="eastAsia"/>
        </w:rPr>
        <w:t>发现</w:t>
      </w:r>
      <w:r>
        <w:t>尾矿事故池</w:t>
      </w:r>
      <w:r>
        <w:rPr>
          <w:rFonts w:hint="eastAsia"/>
        </w:rPr>
        <w:t>内有</w:t>
      </w:r>
      <w:r>
        <w:t>杂物及时清空</w:t>
      </w:r>
      <w:r>
        <w:rPr>
          <w:rFonts w:hint="eastAsia"/>
        </w:rPr>
        <w:t>，</w:t>
      </w:r>
      <w:r>
        <w:t>确保沿线事故池处于空池状态，</w:t>
      </w:r>
      <w:r>
        <w:rPr>
          <w:rFonts w:hint="eastAsia"/>
        </w:rPr>
        <w:t>保证</w:t>
      </w:r>
      <w:r>
        <w:t>事故池在尾砂泄漏发生时能起到相应作用。</w:t>
      </w:r>
      <w:r>
        <w:rPr>
          <w:rFonts w:hint="eastAsia"/>
        </w:rPr>
        <w:t>开展增设提升泵站必要性论证分析。</w:t>
      </w:r>
    </w:p>
    <w:p w14:paraId="22A13073">
      <w:pPr>
        <w:ind w:firstLine="480"/>
      </w:pPr>
    </w:p>
    <w:p w14:paraId="1CCC74AF">
      <w:pPr>
        <w:ind w:firstLine="480"/>
      </w:pPr>
    </w:p>
    <w:p w14:paraId="4B3A59F2">
      <w:pPr>
        <w:widowControl/>
        <w:spacing w:line="240" w:lineRule="auto"/>
        <w:ind w:firstLine="0" w:firstLineChars="0"/>
        <w:jc w:val="left"/>
      </w:pPr>
      <w:r>
        <w:br w:type="page"/>
      </w:r>
    </w:p>
    <w:p w14:paraId="36818565">
      <w:pPr>
        <w:pStyle w:val="2"/>
        <w:ind w:firstLine="0" w:firstLineChars="0"/>
      </w:pPr>
      <w:bookmarkStart w:id="90" w:name="_Toc85213529"/>
      <w:r>
        <w:t xml:space="preserve">8 </w:t>
      </w:r>
      <w:r>
        <w:rPr>
          <w:rFonts w:hint="eastAsia"/>
        </w:rPr>
        <w:t>环境管理与环境监测</w:t>
      </w:r>
      <w:bookmarkEnd w:id="90"/>
    </w:p>
    <w:p w14:paraId="21E7339B">
      <w:pPr>
        <w:pStyle w:val="3"/>
      </w:pPr>
      <w:bookmarkStart w:id="91" w:name="_Toc85213530"/>
      <w:r>
        <w:t>8</w:t>
      </w:r>
      <w:r>
        <w:rPr>
          <w:rFonts w:hint="eastAsia"/>
        </w:rPr>
        <w:t>.1</w:t>
      </w:r>
      <w:r>
        <w:t xml:space="preserve"> </w:t>
      </w:r>
      <w:r>
        <w:rPr>
          <w:rFonts w:hint="eastAsia"/>
        </w:rPr>
        <w:t>环境信息公开</w:t>
      </w:r>
      <w:bookmarkEnd w:id="91"/>
    </w:p>
    <w:p w14:paraId="3DB398D3">
      <w:pPr>
        <w:pStyle w:val="4"/>
      </w:pPr>
      <w:r>
        <w:t>8</w:t>
      </w:r>
      <w:r>
        <w:rPr>
          <w:rFonts w:hint="eastAsia"/>
        </w:rPr>
        <w:t>.1.1</w:t>
      </w:r>
      <w:r>
        <w:t xml:space="preserve"> </w:t>
      </w:r>
      <w:r>
        <w:rPr>
          <w:rFonts w:hint="eastAsia"/>
        </w:rPr>
        <w:t>公开内容</w:t>
      </w:r>
    </w:p>
    <w:p w14:paraId="2DFAB67D">
      <w:pPr>
        <w:ind w:firstLine="480"/>
      </w:pPr>
      <w:r>
        <w:rPr>
          <w:rFonts w:hint="eastAsia"/>
        </w:rPr>
        <w:t>根据《中华人民共和国环境保护法》《中华人民共和国环境影响评价法》《环境信息公开办法（试行）》（国家保护总局令第35号）、《企业信息公示暂行条例》（国务院令第654号）、《企业事业单位环境信息公开办法》（环保部部令第31号）要求，安徽金安矿业有限公司应当建立健全企业环境信息公开制度，指定部门负责企业环境信息公开日常工作，每季度公开企业运行、污染物排放情况。信息主要公开内容如下：</w:t>
      </w:r>
    </w:p>
    <w:p w14:paraId="0637991A">
      <w:pPr>
        <w:ind w:firstLine="480"/>
      </w:pPr>
      <w:r>
        <w:rPr>
          <w:rFonts w:hint="eastAsia"/>
        </w:rPr>
        <w:t>（1）基础信息，包括单位名称、组织机构代码法定表人生产地址、联系方式，以及生产经营和管理服务的主要内容、产品及规模；</w:t>
      </w:r>
    </w:p>
    <w:p w14:paraId="1DF93D0F">
      <w:pPr>
        <w:ind w:firstLine="480"/>
      </w:pPr>
      <w:r>
        <w:rPr>
          <w:rFonts w:hint="eastAsia"/>
        </w:rPr>
        <w:t>（2）排污信息，包括主要染物物及特征污染物的名称、排放方式、排放口数量和分布情况、排放浓度和总量、超标情况，以及执行的污染物排放标准、核定的排放总量；</w:t>
      </w:r>
    </w:p>
    <w:p w14:paraId="7DA82E47">
      <w:pPr>
        <w:ind w:firstLine="480"/>
      </w:pPr>
      <w:r>
        <w:rPr>
          <w:rFonts w:hint="eastAsia"/>
        </w:rPr>
        <w:t>（3）防治污染设施的建设和运行情况；</w:t>
      </w:r>
    </w:p>
    <w:p w14:paraId="38046516">
      <w:pPr>
        <w:ind w:firstLine="480"/>
      </w:pPr>
      <w:r>
        <w:rPr>
          <w:rFonts w:hint="eastAsia"/>
        </w:rPr>
        <w:t>（4）建设项目环境影响评价及其他环境保护行政许可情况；</w:t>
      </w:r>
    </w:p>
    <w:p w14:paraId="1BA6CA3F">
      <w:pPr>
        <w:ind w:firstLine="480"/>
      </w:pPr>
      <w:r>
        <w:rPr>
          <w:rFonts w:hint="eastAsia"/>
        </w:rPr>
        <w:t>（5）突发环境事件应急预案；</w:t>
      </w:r>
    </w:p>
    <w:p w14:paraId="68A990C6">
      <w:pPr>
        <w:ind w:firstLine="480"/>
      </w:pPr>
      <w:r>
        <w:rPr>
          <w:rFonts w:hint="eastAsia"/>
        </w:rPr>
        <w:t>（6）其他应当公开的环境信息。</w:t>
      </w:r>
    </w:p>
    <w:p w14:paraId="4C23FD7B">
      <w:pPr>
        <w:pStyle w:val="4"/>
      </w:pPr>
      <w:r>
        <w:t>8</w:t>
      </w:r>
      <w:r>
        <w:rPr>
          <w:rFonts w:hint="eastAsia"/>
        </w:rPr>
        <w:t>.1.</w:t>
      </w:r>
      <w:r>
        <w:t xml:space="preserve">2 </w:t>
      </w:r>
      <w:r>
        <w:rPr>
          <w:rFonts w:hint="eastAsia"/>
        </w:rPr>
        <w:t>公开方式</w:t>
      </w:r>
    </w:p>
    <w:p w14:paraId="1BC033B3">
      <w:pPr>
        <w:ind w:firstLine="480"/>
      </w:pPr>
      <w:r>
        <w:rPr>
          <w:rFonts w:hint="eastAsia"/>
        </w:rPr>
        <w:t>排污单位应当通过其网站、企业事业单位环境信息公开平台或者当地报刊等便于公众知晓的方式公开环境信息，同时可以采取以下一种或者几种方式予以公开：</w:t>
      </w:r>
    </w:p>
    <w:p w14:paraId="378C0F9A">
      <w:pPr>
        <w:ind w:firstLine="480"/>
      </w:pPr>
      <w:r>
        <w:rPr>
          <w:rFonts w:hint="eastAsia"/>
        </w:rPr>
        <w:t>（</w:t>
      </w:r>
      <w:r>
        <w:t>1</w:t>
      </w:r>
      <w:r>
        <w:rPr>
          <w:rFonts w:hint="eastAsia"/>
        </w:rPr>
        <w:t>）公告或者公开发行的信息专刊；</w:t>
      </w:r>
    </w:p>
    <w:p w14:paraId="133F5BEB">
      <w:pPr>
        <w:ind w:firstLine="480"/>
      </w:pPr>
      <w:r>
        <w:rPr>
          <w:rFonts w:hint="eastAsia"/>
        </w:rPr>
        <w:t>（</w:t>
      </w:r>
      <w:r>
        <w:t>2</w:t>
      </w:r>
      <w:r>
        <w:rPr>
          <w:rFonts w:hint="eastAsia"/>
        </w:rPr>
        <w:t>）广播、电视等新闻媒体；</w:t>
      </w:r>
    </w:p>
    <w:p w14:paraId="00B5F91A">
      <w:pPr>
        <w:ind w:firstLine="480"/>
      </w:pPr>
      <w:r>
        <w:rPr>
          <w:rFonts w:hint="eastAsia"/>
        </w:rPr>
        <w:t>（</w:t>
      </w:r>
      <w:r>
        <w:t>3</w:t>
      </w:r>
      <w:r>
        <w:rPr>
          <w:rFonts w:hint="eastAsia"/>
        </w:rPr>
        <w:t>）信息公开服务、监督热线电话；</w:t>
      </w:r>
    </w:p>
    <w:p w14:paraId="60220CCC">
      <w:pPr>
        <w:ind w:firstLine="480"/>
      </w:pPr>
      <w:r>
        <w:rPr>
          <w:rFonts w:hint="eastAsia"/>
        </w:rPr>
        <w:t>（</w:t>
      </w:r>
      <w:r>
        <w:t>4</w:t>
      </w:r>
      <w:r>
        <w:rPr>
          <w:rFonts w:hint="eastAsia"/>
        </w:rPr>
        <w:t>）本单位的资料索取点、信息公开栏、信息亭、电子屏幕、电子触摸屏等场所或者设施；</w:t>
      </w:r>
    </w:p>
    <w:p w14:paraId="1551CA5A">
      <w:pPr>
        <w:ind w:firstLine="480"/>
      </w:pPr>
      <w:r>
        <w:rPr>
          <w:rFonts w:hint="eastAsia"/>
        </w:rPr>
        <w:t>（</w:t>
      </w:r>
      <w:r>
        <w:t>5</w:t>
      </w:r>
      <w:r>
        <w:rPr>
          <w:rFonts w:hint="eastAsia"/>
        </w:rPr>
        <w:t>）其他便于公众及时、准确获得信息的方式。</w:t>
      </w:r>
    </w:p>
    <w:p w14:paraId="7DCC8E45">
      <w:pPr>
        <w:pStyle w:val="3"/>
      </w:pPr>
      <w:bookmarkStart w:id="92" w:name="_Toc85213531"/>
      <w:r>
        <w:t>8</w:t>
      </w:r>
      <w:r>
        <w:rPr>
          <w:rFonts w:hint="eastAsia"/>
        </w:rPr>
        <w:t>.</w:t>
      </w:r>
      <w:r>
        <w:t xml:space="preserve">2 </w:t>
      </w:r>
      <w:r>
        <w:rPr>
          <w:rFonts w:hint="eastAsia"/>
        </w:rPr>
        <w:t>环境管理</w:t>
      </w:r>
      <w:bookmarkEnd w:id="92"/>
    </w:p>
    <w:p w14:paraId="2B7AFA62">
      <w:pPr>
        <w:pStyle w:val="4"/>
      </w:pPr>
      <w:r>
        <w:t>8</w:t>
      </w:r>
      <w:r>
        <w:rPr>
          <w:rFonts w:hint="eastAsia"/>
        </w:rPr>
        <w:t>.</w:t>
      </w:r>
      <w:r>
        <w:t>2</w:t>
      </w:r>
      <w:r>
        <w:rPr>
          <w:rFonts w:hint="eastAsia"/>
        </w:rPr>
        <w:t>.</w:t>
      </w:r>
      <w:r>
        <w:t xml:space="preserve">1 </w:t>
      </w:r>
      <w:r>
        <w:rPr>
          <w:rFonts w:hint="eastAsia"/>
        </w:rPr>
        <w:t>环境管理机构及职责</w:t>
      </w:r>
    </w:p>
    <w:p w14:paraId="6B1CD6EA">
      <w:pPr>
        <w:ind w:firstLine="480"/>
      </w:pPr>
      <w:r>
        <w:t>公司安全环保部为内部环境管理机构，在总经理、环保主管副总经理直接领导下，安全环保与社会责任部具体实施管理，指派专人负责日常环境管理工作，配合环境保护主管部门依法对企业进行环境监督、管理、考核， 以及接受市环保局在具 体业务上给予技术指导。</w:t>
      </w:r>
    </w:p>
    <w:p w14:paraId="27E44B42">
      <w:pPr>
        <w:ind w:firstLine="480"/>
      </w:pPr>
      <w:r>
        <w:rPr>
          <w:rFonts w:hint="eastAsia"/>
        </w:rPr>
        <w:t>各生产单位设置专（兼）职环保员，负责本单位范围内的日常环保管理。同时，为保障公司环境安全，预防和及时处置突发环境事件，设置突发环境事件应急救援领导小组，下设各应急救援小组，职责分工明确，确保事件发生时能及时响应，有效地开展应急救援和善后工作。具体如下：</w:t>
      </w:r>
    </w:p>
    <w:p w14:paraId="7C27EBA7">
      <w:pPr>
        <w:pStyle w:val="59"/>
        <w:ind w:firstLine="480"/>
      </w:pPr>
      <w:r>
        <w:rPr>
          <w:rFonts w:hint="eastAsia"/>
        </w:rPr>
        <w:t>（1）贯彻落实国家和地方有关的环保法律法规和相关标准；</w:t>
      </w:r>
    </w:p>
    <w:p w14:paraId="22886D37">
      <w:pPr>
        <w:pStyle w:val="59"/>
        <w:ind w:firstLine="480"/>
      </w:pPr>
      <w:r>
        <w:rPr>
          <w:rFonts w:hint="eastAsia"/>
        </w:rPr>
        <w:t>（2）组织制定公司的环境保护管理规章制度，并监督检查其执行情况；</w:t>
      </w:r>
    </w:p>
    <w:p w14:paraId="66D2A115">
      <w:pPr>
        <w:pStyle w:val="59"/>
        <w:ind w:firstLine="480"/>
      </w:pPr>
      <w:r>
        <w:rPr>
          <w:rFonts w:hint="eastAsia"/>
        </w:rPr>
        <w:t>（3）针对公司的具体情况，制定并组织实施环境保护规划和年度工作计划；</w:t>
      </w:r>
    </w:p>
    <w:p w14:paraId="397A951F">
      <w:pPr>
        <w:pStyle w:val="59"/>
        <w:ind w:firstLine="480"/>
      </w:pPr>
      <w:r>
        <w:rPr>
          <w:rFonts w:hint="eastAsia"/>
        </w:rPr>
        <w:t>（4）负责开展日常的环境监测工作，建立健全原始记录，分析掌握污染动态以及“三废”的综合处置情况；</w:t>
      </w:r>
    </w:p>
    <w:p w14:paraId="2EB78EB8">
      <w:pPr>
        <w:pStyle w:val="59"/>
        <w:ind w:firstLine="480"/>
      </w:pPr>
      <w:r>
        <w:rPr>
          <w:rFonts w:hint="eastAsia"/>
        </w:rPr>
        <w:t>（5）建立环保档案，做好企业环境管理台账记录和企业环保资料的统计整理工作，及时向当地环保部门上报环保工作报表以及提供相应的技术数据；</w:t>
      </w:r>
    </w:p>
    <w:p w14:paraId="52EAF51F">
      <w:pPr>
        <w:pStyle w:val="59"/>
        <w:ind w:firstLine="480"/>
      </w:pPr>
      <w:r>
        <w:rPr>
          <w:rFonts w:hint="eastAsia"/>
        </w:rPr>
        <w:t>（6）监督检查环保设施及自动报警装置等运行、维护和管理工作；</w:t>
      </w:r>
    </w:p>
    <w:p w14:paraId="1ACA7CA8">
      <w:pPr>
        <w:pStyle w:val="59"/>
        <w:ind w:firstLine="480"/>
      </w:pPr>
      <w:r>
        <w:rPr>
          <w:rFonts w:hint="eastAsia"/>
        </w:rPr>
        <w:t>（7）检查安全消防措施落实，开展环保、安全知识教育，对从事与环保工作有关的特殊岗位（如承担环保设施运行与维护）的员工的技能进行定期培训和考核；</w:t>
      </w:r>
    </w:p>
    <w:p w14:paraId="651CFD10">
      <w:pPr>
        <w:pStyle w:val="59"/>
        <w:ind w:firstLine="480"/>
      </w:pPr>
      <w:r>
        <w:rPr>
          <w:rFonts w:hint="eastAsia"/>
        </w:rPr>
        <w:t>（8）负责处理各类污染事故和突发紧急事件，组织抢救和善后处理工作；</w:t>
      </w:r>
    </w:p>
    <w:p w14:paraId="24254C52">
      <w:pPr>
        <w:pStyle w:val="59"/>
        <w:ind w:firstLine="480"/>
      </w:pPr>
      <w:r>
        <w:rPr>
          <w:rFonts w:hint="eastAsia"/>
        </w:rPr>
        <w:t>（9）负责企业清洁生产工作的开展和维持，配合当地环境保护部门对企业的环境管理。</w:t>
      </w:r>
    </w:p>
    <w:p w14:paraId="45EDA2C8">
      <w:pPr>
        <w:pStyle w:val="59"/>
        <w:ind w:firstLine="480"/>
      </w:pPr>
      <w:r>
        <w:rPr>
          <w:rFonts w:hint="eastAsia"/>
        </w:rPr>
        <w:t>（10）做好企业环境管理信息公开工作。</w:t>
      </w:r>
    </w:p>
    <w:p w14:paraId="488AA6F3">
      <w:pPr>
        <w:pStyle w:val="4"/>
      </w:pPr>
      <w:r>
        <w:t>8</w:t>
      </w:r>
      <w:r>
        <w:rPr>
          <w:rFonts w:hint="eastAsia"/>
        </w:rPr>
        <w:t>.</w:t>
      </w:r>
      <w:r>
        <w:t>2</w:t>
      </w:r>
      <w:r>
        <w:rPr>
          <w:rFonts w:hint="eastAsia"/>
        </w:rPr>
        <w:t>.</w:t>
      </w:r>
      <w:r>
        <w:t xml:space="preserve">2 </w:t>
      </w:r>
      <w:r>
        <w:rPr>
          <w:rFonts w:hint="eastAsia"/>
        </w:rPr>
        <w:t>环境管理制度</w:t>
      </w:r>
    </w:p>
    <w:p w14:paraId="0A339F62">
      <w:pPr>
        <w:ind w:firstLine="480"/>
      </w:pPr>
      <w:r>
        <w:rPr>
          <w:rFonts w:hint="eastAsia"/>
        </w:rPr>
        <w:t>企业已建立健全的环境管理制度体系，将环保工作纳入考核体系，确保在日常运行中将环保目标落实到实处。</w:t>
      </w:r>
    </w:p>
    <w:p w14:paraId="797623AD">
      <w:pPr>
        <w:ind w:firstLine="480"/>
      </w:pPr>
      <w:r>
        <w:rPr>
          <w:rFonts w:hint="eastAsia"/>
        </w:rPr>
        <w:t>（1）“三同时”制度</w:t>
      </w:r>
    </w:p>
    <w:p w14:paraId="4443A313">
      <w:pPr>
        <w:ind w:firstLine="480"/>
      </w:pPr>
      <w:r>
        <w:rPr>
          <w:rFonts w:hint="eastAsia"/>
        </w:rPr>
        <w:t>根据《建设项目环境保护管理条例》，建设项目配套建设的环境保护设施，与主体工程同时设计、同时施工、同时投产使用。本项目配套建设的环境保护设施经验收合格，方可投入生产或者使用。项目竣工后，建设单位按照国务院环境保护行政主管部门规定的标准和程序，对配套建设的环境保护设施进行验收，编制验收报告。建设单位在环境保护设施验收过程中，如实查验、监测、记载建设项目环境保护设施的建设和调试情况，不得弄虚作假，验收报告应依法向社会公开。</w:t>
      </w:r>
    </w:p>
    <w:p w14:paraId="71D3FA39">
      <w:pPr>
        <w:ind w:firstLine="480"/>
      </w:pPr>
      <w:r>
        <w:rPr>
          <w:rFonts w:hint="eastAsia"/>
        </w:rPr>
        <w:t>（2）排污许可证制度</w:t>
      </w:r>
    </w:p>
    <w:p w14:paraId="6C33533E">
      <w:pPr>
        <w:ind w:firstLine="480"/>
      </w:pPr>
      <w:r>
        <w:rPr>
          <w:rFonts w:hint="eastAsia"/>
        </w:rPr>
        <w:t>建设单位在项目投入生产或使用并产生实际排污行为之前，申请领取排污许可证。依法按照排污许可证申请与核发技术规范提交排污许可申请，申报排放污染物种类、排放浓度等，测算并申报污染物排放量。建设单位严格执行排污许可证的规定，禁止无证排污或不按证排污。</w:t>
      </w:r>
    </w:p>
    <w:p w14:paraId="080D5927">
      <w:pPr>
        <w:ind w:firstLine="480"/>
      </w:pPr>
      <w:r>
        <w:rPr>
          <w:rFonts w:hint="eastAsia"/>
        </w:rPr>
        <w:t>（3）环保台账制度</w:t>
      </w:r>
    </w:p>
    <w:p w14:paraId="0321E8BD">
      <w:pPr>
        <w:ind w:firstLine="480"/>
      </w:pPr>
      <w:r>
        <w:rPr>
          <w:rFonts w:hint="eastAsia"/>
        </w:rPr>
        <w:t>厂内记录制度和档案保存制度完善；记录和台帐包括设施运行和维护记录、废水废气污染物监测台帐、突发性事件的处理、调查记录等，所有记录、台帐及污染物排放监测资料、环境管理档案资料等均妥善保存。</w:t>
      </w:r>
    </w:p>
    <w:p w14:paraId="46EA5DA5">
      <w:pPr>
        <w:ind w:firstLine="480"/>
      </w:pPr>
      <w:r>
        <w:rPr>
          <w:rFonts w:hint="eastAsia"/>
        </w:rPr>
        <w:t>（4）污染治理设施的管理、监控制度</w:t>
      </w:r>
    </w:p>
    <w:p w14:paraId="28176B9F">
      <w:pPr>
        <w:ind w:firstLine="480"/>
      </w:pPr>
      <w:r>
        <w:rPr>
          <w:rFonts w:hint="eastAsia"/>
        </w:rPr>
        <w:t>项目建成后，确保污染处理设施长期、稳定、有效地运行，不擅自拆除或者闲置污染处理设施，不故意不正常使用污染处理设施。污染处理设施的管理与生产经营活动一起纳入公司日常管理工作的范畴，落实责任人、操作人员、维修人员、运行经费、设备的备品备件、和其他原辅材料。同时建立岗位责任制、制定操作规程、建立管理台帐。</w:t>
      </w:r>
    </w:p>
    <w:p w14:paraId="258873BA">
      <w:pPr>
        <w:ind w:firstLine="480"/>
      </w:pPr>
      <w:r>
        <w:rPr>
          <w:rFonts w:hint="eastAsia"/>
        </w:rPr>
        <w:t>（5）报告制度</w:t>
      </w:r>
    </w:p>
    <w:p w14:paraId="7ECC6C8D">
      <w:pPr>
        <w:ind w:firstLine="480"/>
      </w:pPr>
      <w:r>
        <w:rPr>
          <w:rFonts w:hint="eastAsia"/>
        </w:rPr>
        <w:t>执行月报制度。月报内容主要为污染治理设施的运行情况、污染物排放情况以及污染事故或污染纠纷等。厂内环境保护相关的所有记录、台帐及污染物排放监测资料、环境管理档案资料等妥善保存并定期上报，发现污染因子超标，在监测数据出来后以书面形式上报公司管理层，快速果断采取应对措施。</w:t>
      </w:r>
    </w:p>
    <w:p w14:paraId="036D5017">
      <w:pPr>
        <w:ind w:firstLine="480"/>
      </w:pPr>
      <w:r>
        <w:rPr>
          <w:rFonts w:hint="eastAsia"/>
        </w:rPr>
        <w:t>建设单位定期向属地环保部门报告污染治理设施运行情况、污染物排放情况以及污染事故、污染纠纷等情况，便于政府部门及时了解污染动态，以利于采取相应的对策措施。本项目的性质、规模、地点、生产工艺和环境保护措施等发生变动的，向环保部门报告，并履行相关手续，如发生重大变动并且可能导致环境影响显著变化（特别是不利环境影响加重）的，重新报批环评。</w:t>
      </w:r>
    </w:p>
    <w:p w14:paraId="13A6475E">
      <w:pPr>
        <w:ind w:firstLine="480"/>
      </w:pPr>
      <w:r>
        <w:rPr>
          <w:rFonts w:hint="eastAsia"/>
        </w:rPr>
        <w:t>（6）环保奖惩制度</w:t>
      </w:r>
    </w:p>
    <w:p w14:paraId="6D0C9FC9">
      <w:pPr>
        <w:ind w:firstLine="480"/>
      </w:pPr>
      <w:r>
        <w:rPr>
          <w:rFonts w:hint="eastAsia"/>
        </w:rPr>
        <w:t>企业加强宣传教育，提高员工的污染隐患意识和环境风险意识；制定了员工参与环保技术培训的计划，提高员工技术素质水平；设立岗位实责制，制定严格的奖、罚制度。设置了环境保护奖励条例，并纳入了人员考核体系。对爱护环保设施、节能降耗、改善环境者实行奖励；对环保观念淡薄、不按环保管理要求，造成环保设施损坏、环境污染及资源和能源浪费者一律处以重罚。</w:t>
      </w:r>
    </w:p>
    <w:p w14:paraId="185ADC88">
      <w:pPr>
        <w:ind w:firstLine="480"/>
      </w:pPr>
      <w:r>
        <w:rPr>
          <w:rFonts w:hint="eastAsia"/>
        </w:rPr>
        <w:t>（7）信息公开制度</w:t>
      </w:r>
    </w:p>
    <w:p w14:paraId="70CB0048">
      <w:pPr>
        <w:ind w:firstLine="480"/>
      </w:pPr>
      <w:r>
        <w:rPr>
          <w:rFonts w:hint="eastAsia"/>
        </w:rPr>
        <w:t>建设单位在环评编制、审批、排污许可证申请、竣工环保验收、正常运行等各阶段按照有关要求通过网站或者其他便于公众知悉的方式，依法向社会公开指定部门负责企业环境信息公开日常工作，每季度公开企业运行、污染物排放情况等。</w:t>
      </w:r>
    </w:p>
    <w:p w14:paraId="36D6B0CF">
      <w:pPr>
        <w:pStyle w:val="3"/>
      </w:pPr>
      <w:bookmarkStart w:id="93" w:name="_Toc85213532"/>
      <w:r>
        <w:t>8</w:t>
      </w:r>
      <w:r>
        <w:rPr>
          <w:rFonts w:hint="eastAsia"/>
        </w:rPr>
        <w:t>.</w:t>
      </w:r>
      <w:r>
        <w:t xml:space="preserve">3 </w:t>
      </w:r>
      <w:r>
        <w:rPr>
          <w:rFonts w:hint="eastAsia"/>
        </w:rPr>
        <w:t>环境监测计划</w:t>
      </w:r>
      <w:bookmarkEnd w:id="93"/>
    </w:p>
    <w:p w14:paraId="6549C957">
      <w:pPr>
        <w:ind w:firstLine="480"/>
      </w:pPr>
      <w:r>
        <w:rPr>
          <w:rFonts w:hint="eastAsia"/>
        </w:rPr>
        <w:t>通过对建设项目实行全程的环境监测，可准确掌握施工期、运行期废气、水噪声等污染源对环境的影响程度和范围，以及建设项目周边生态环境的破坏和修复情况，考核建设项目在施工期、运营期采取相应污染防治和生态恢复措施后，能否符合国家或地方标准的要求。同时对废气、水噪声防治措施和生态恢复工程进行监督检查，保证污染设施正常运行，生态恢复措施落实到位。根据已批复环评报告、验收报告，并结合《排污单位自行监测技术指南 总则》（HJ819-2017），后评价阶段提出最新的环境监测计划。</w:t>
      </w:r>
    </w:p>
    <w:p w14:paraId="5ABE0E22">
      <w:pPr>
        <w:pStyle w:val="4"/>
        <w:ind w:firstLine="643"/>
      </w:pPr>
      <w:r>
        <w:t>8</w:t>
      </w:r>
      <w:r>
        <w:rPr>
          <w:rFonts w:hint="eastAsia"/>
        </w:rPr>
        <w:t>.</w:t>
      </w:r>
      <w:r>
        <w:t>3</w:t>
      </w:r>
      <w:r>
        <w:rPr>
          <w:rFonts w:hint="eastAsia"/>
        </w:rPr>
        <w:t>.</w:t>
      </w:r>
      <w:r>
        <w:t xml:space="preserve">1 </w:t>
      </w:r>
      <w:r>
        <w:rPr>
          <w:rFonts w:hint="eastAsia"/>
        </w:rPr>
        <w:t>环境管理制度</w:t>
      </w:r>
    </w:p>
    <w:p w14:paraId="48310E09">
      <w:pPr>
        <w:ind w:firstLine="480"/>
      </w:pPr>
      <w:r>
        <w:rPr>
          <w:rFonts w:hint="eastAsia"/>
        </w:rPr>
        <w:t>（1）大气污染源</w:t>
      </w:r>
    </w:p>
    <w:p w14:paraId="1CF44763">
      <w:pPr>
        <w:ind w:firstLine="480"/>
      </w:pPr>
      <w:r>
        <w:rPr>
          <w:rFonts w:hint="eastAsia"/>
        </w:rPr>
        <w:t>大气污染源监测计划见表8</w:t>
      </w:r>
      <w:r>
        <w:t>.3</w:t>
      </w:r>
      <w:r>
        <w:rPr>
          <w:rFonts w:hint="eastAsia"/>
        </w:rPr>
        <w:t>-</w:t>
      </w:r>
      <w:r>
        <w:t>1</w:t>
      </w:r>
      <w:r>
        <w:rPr>
          <w:rFonts w:hint="eastAsia"/>
        </w:rPr>
        <w:t>：</w:t>
      </w:r>
    </w:p>
    <w:p w14:paraId="62636BD1">
      <w:pPr>
        <w:ind w:firstLine="0" w:firstLineChars="0"/>
        <w:jc w:val="center"/>
        <w:rPr>
          <w:b/>
        </w:rPr>
      </w:pPr>
      <w:r>
        <w:rPr>
          <w:rFonts w:hint="eastAsia"/>
          <w:b/>
        </w:rPr>
        <w:t>表</w:t>
      </w:r>
      <w:r>
        <w:rPr>
          <w:b/>
        </w:rPr>
        <w:t>8.3</w:t>
      </w:r>
      <w:r>
        <w:rPr>
          <w:rFonts w:hint="eastAsia"/>
          <w:b/>
        </w:rPr>
        <w:t>-</w:t>
      </w:r>
      <w:r>
        <w:rPr>
          <w:b/>
        </w:rPr>
        <w:t xml:space="preserve">1  </w:t>
      </w:r>
      <w:r>
        <w:rPr>
          <w:rFonts w:hint="eastAsia"/>
          <w:b/>
        </w:rPr>
        <w:t>大气污染源监测计划</w:t>
      </w:r>
    </w:p>
    <w:tbl>
      <w:tblPr>
        <w:tblStyle w:val="139"/>
        <w:tblW w:w="8950"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98"/>
        <w:gridCol w:w="2191"/>
        <w:gridCol w:w="1377"/>
        <w:gridCol w:w="1928"/>
        <w:gridCol w:w="1656"/>
      </w:tblGrid>
      <w:tr w14:paraId="560860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trPr>
        <w:tc>
          <w:tcPr>
            <w:tcW w:w="1798" w:type="dxa"/>
            <w:tcBorders>
              <w:left w:val="single" w:color="000000" w:sz="10" w:space="0"/>
            </w:tcBorders>
          </w:tcPr>
          <w:p w14:paraId="74A9E6DE">
            <w:pPr>
              <w:widowControl/>
              <w:kinsoku w:val="0"/>
              <w:autoSpaceDE w:val="0"/>
              <w:autoSpaceDN w:val="0"/>
              <w:adjustRightInd w:val="0"/>
              <w:snapToGrid w:val="0"/>
              <w:spacing w:before="95" w:line="228" w:lineRule="auto"/>
              <w:ind w:firstLine="578"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7"/>
                <w:kern w:val="0"/>
                <w:sz w:val="20"/>
                <w:szCs w:val="20"/>
                <w14:textOutline w14:w="3797" w14:cap="sq" w14:cmpd="sng" w14:algn="ctr">
                  <w14:solidFill>
                    <w14:srgbClr w14:val="000000"/>
                  </w14:solidFill>
                  <w14:prstDash w14:val="solid"/>
                  <w14:bevel/>
                </w14:textOutline>
              </w:rPr>
              <w:t>污染源</w:t>
            </w:r>
          </w:p>
        </w:tc>
        <w:tc>
          <w:tcPr>
            <w:tcW w:w="2191" w:type="dxa"/>
          </w:tcPr>
          <w:p w14:paraId="350ABB2D">
            <w:pPr>
              <w:widowControl/>
              <w:kinsoku w:val="0"/>
              <w:autoSpaceDE w:val="0"/>
              <w:autoSpaceDN w:val="0"/>
              <w:adjustRightInd w:val="0"/>
              <w:snapToGrid w:val="0"/>
              <w:spacing w:before="95" w:line="229" w:lineRule="auto"/>
              <w:ind w:firstLine="678"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9"/>
                <w:kern w:val="0"/>
                <w:sz w:val="20"/>
                <w:szCs w:val="20"/>
                <w14:textOutline w14:w="3797" w14:cap="sq" w14:cmpd="sng" w14:algn="ctr">
                  <w14:solidFill>
                    <w14:srgbClr w14:val="000000"/>
                  </w14:solidFill>
                  <w14:prstDash w14:val="solid"/>
                  <w14:bevel/>
                </w14:textOutline>
              </w:rPr>
              <w:t>监</w:t>
            </w:r>
            <w:r>
              <w:rPr>
                <w:rFonts w:ascii="宋体" w:hAnsi="宋体" w:cs="宋体"/>
                <w:snapToGrid w:val="0"/>
                <w:color w:val="000000"/>
                <w:spacing w:val="8"/>
                <w:kern w:val="0"/>
                <w:sz w:val="20"/>
                <w:szCs w:val="20"/>
                <w14:textOutline w14:w="3797" w14:cap="sq" w14:cmpd="sng" w14:algn="ctr">
                  <w14:solidFill>
                    <w14:srgbClr w14:val="000000"/>
                  </w14:solidFill>
                  <w14:prstDash w14:val="solid"/>
                  <w14:bevel/>
                </w14:textOutline>
              </w:rPr>
              <w:t>测点位</w:t>
            </w:r>
          </w:p>
        </w:tc>
        <w:tc>
          <w:tcPr>
            <w:tcW w:w="1377" w:type="dxa"/>
          </w:tcPr>
          <w:p w14:paraId="77BB6FCE">
            <w:pPr>
              <w:widowControl/>
              <w:kinsoku w:val="0"/>
              <w:autoSpaceDE w:val="0"/>
              <w:autoSpaceDN w:val="0"/>
              <w:adjustRightInd w:val="0"/>
              <w:snapToGrid w:val="0"/>
              <w:spacing w:before="95" w:line="228" w:lineRule="auto"/>
              <w:ind w:firstLine="381"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7"/>
                <w:kern w:val="0"/>
                <w:sz w:val="20"/>
                <w:szCs w:val="20"/>
                <w14:textOutline w14:w="3797" w14:cap="sq" w14:cmpd="sng" w14:algn="ctr">
                  <w14:solidFill>
                    <w14:srgbClr w14:val="000000"/>
                  </w14:solidFill>
                  <w14:prstDash w14:val="solid"/>
                  <w14:bevel/>
                </w14:textOutline>
              </w:rPr>
              <w:t>污染物</w:t>
            </w:r>
          </w:p>
        </w:tc>
        <w:tc>
          <w:tcPr>
            <w:tcW w:w="1928" w:type="dxa"/>
          </w:tcPr>
          <w:p w14:paraId="6CBD3675">
            <w:pPr>
              <w:widowControl/>
              <w:kinsoku w:val="0"/>
              <w:autoSpaceDE w:val="0"/>
              <w:autoSpaceDN w:val="0"/>
              <w:adjustRightInd w:val="0"/>
              <w:snapToGrid w:val="0"/>
              <w:spacing w:before="95" w:line="228" w:lineRule="auto"/>
              <w:ind w:firstLine="556"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9"/>
                <w:kern w:val="0"/>
                <w:sz w:val="20"/>
                <w:szCs w:val="20"/>
                <w14:textOutline w14:w="3797" w14:cap="sq" w14:cmpd="sng" w14:algn="ctr">
                  <w14:solidFill>
                    <w14:srgbClr w14:val="000000"/>
                  </w14:solidFill>
                  <w14:prstDash w14:val="solid"/>
                  <w14:bevel/>
                </w14:textOutline>
              </w:rPr>
              <w:t>监</w:t>
            </w:r>
            <w:r>
              <w:rPr>
                <w:rFonts w:ascii="宋体" w:hAnsi="宋体" w:cs="宋体"/>
                <w:snapToGrid w:val="0"/>
                <w:color w:val="000000"/>
                <w:spacing w:val="8"/>
                <w:kern w:val="0"/>
                <w:sz w:val="20"/>
                <w:szCs w:val="20"/>
                <w14:textOutline w14:w="3797" w14:cap="sq" w14:cmpd="sng" w14:algn="ctr">
                  <w14:solidFill>
                    <w14:srgbClr w14:val="000000"/>
                  </w14:solidFill>
                  <w14:prstDash w14:val="solid"/>
                  <w14:bevel/>
                </w14:textOutline>
              </w:rPr>
              <w:t>测项目</w:t>
            </w:r>
          </w:p>
        </w:tc>
        <w:tc>
          <w:tcPr>
            <w:tcW w:w="1656" w:type="dxa"/>
            <w:tcBorders>
              <w:right w:val="single" w:color="000000" w:sz="10" w:space="0"/>
            </w:tcBorders>
          </w:tcPr>
          <w:p w14:paraId="31DF13D3">
            <w:pPr>
              <w:widowControl/>
              <w:kinsoku w:val="0"/>
              <w:autoSpaceDE w:val="0"/>
              <w:autoSpaceDN w:val="0"/>
              <w:adjustRightInd w:val="0"/>
              <w:snapToGrid w:val="0"/>
              <w:spacing w:before="95" w:line="228" w:lineRule="auto"/>
              <w:ind w:firstLine="419" w:firstLineChars="0"/>
              <w:jc w:val="left"/>
              <w:textAlignment w:val="baseline"/>
              <w:rPr>
                <w:rFonts w:hint="eastAsia" w:ascii="宋体" w:hAnsi="宋体" w:cs="宋体"/>
                <w:snapToGrid w:val="0"/>
                <w:color w:val="000000"/>
                <w:kern w:val="0"/>
                <w:sz w:val="20"/>
                <w:szCs w:val="20"/>
              </w:rPr>
            </w:pPr>
            <w:r>
              <w:rPr>
                <w:rFonts w:ascii="宋体" w:hAnsi="宋体" w:cs="宋体"/>
                <w:snapToGrid w:val="0"/>
                <w:color w:val="000000"/>
                <w:spacing w:val="9"/>
                <w:kern w:val="0"/>
                <w:sz w:val="20"/>
                <w:szCs w:val="20"/>
                <w14:textOutline w14:w="3797" w14:cap="sq" w14:cmpd="sng" w14:algn="ctr">
                  <w14:solidFill>
                    <w14:srgbClr w14:val="000000"/>
                  </w14:solidFill>
                  <w14:prstDash w14:val="solid"/>
                  <w14:bevel/>
                </w14:textOutline>
              </w:rPr>
              <w:t>监</w:t>
            </w:r>
            <w:r>
              <w:rPr>
                <w:rFonts w:ascii="宋体" w:hAnsi="宋体" w:cs="宋体"/>
                <w:snapToGrid w:val="0"/>
                <w:color w:val="000000"/>
                <w:spacing w:val="8"/>
                <w:kern w:val="0"/>
                <w:sz w:val="20"/>
                <w:szCs w:val="20"/>
                <w14:textOutline w14:w="3797" w14:cap="sq" w14:cmpd="sng" w14:algn="ctr">
                  <w14:solidFill>
                    <w14:srgbClr w14:val="000000"/>
                  </w14:solidFill>
                  <w14:prstDash w14:val="solid"/>
                  <w14:bevel/>
                </w14:textOutline>
              </w:rPr>
              <w:t>测周期</w:t>
            </w:r>
          </w:p>
        </w:tc>
      </w:tr>
      <w:tr w14:paraId="439B0B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1798" w:type="dxa"/>
            <w:tcBorders>
              <w:left w:val="single" w:color="000000" w:sz="10" w:space="0"/>
            </w:tcBorders>
          </w:tcPr>
          <w:p w14:paraId="1A5B356A">
            <w:pPr>
              <w:pStyle w:val="54"/>
              <w:spacing w:before="0" w:after="0"/>
              <w:rPr>
                <w:rFonts w:ascii="Times New Roman"/>
                <w:snapToGrid/>
                <w:color w:val="auto"/>
                <w:kern w:val="2"/>
                <w:szCs w:val="21"/>
              </w:rPr>
            </w:pPr>
            <w:r>
              <w:rPr>
                <w:rFonts w:ascii="Times New Roman"/>
                <w:snapToGrid/>
                <w:color w:val="auto"/>
                <w:kern w:val="2"/>
                <w:szCs w:val="21"/>
              </w:rPr>
              <w:t>破碎车间</w:t>
            </w:r>
          </w:p>
        </w:tc>
        <w:tc>
          <w:tcPr>
            <w:tcW w:w="2191" w:type="dxa"/>
          </w:tcPr>
          <w:p w14:paraId="381CDBEE">
            <w:pPr>
              <w:pStyle w:val="54"/>
              <w:spacing w:before="0" w:after="0"/>
              <w:rPr>
                <w:rFonts w:ascii="Times New Roman"/>
                <w:snapToGrid/>
                <w:color w:val="auto"/>
                <w:kern w:val="2"/>
                <w:szCs w:val="21"/>
              </w:rPr>
            </w:pPr>
            <w:r>
              <w:rPr>
                <w:rFonts w:ascii="Times New Roman"/>
                <w:snapToGrid/>
                <w:color w:val="auto"/>
                <w:kern w:val="2"/>
                <w:szCs w:val="21"/>
              </w:rPr>
              <w:t>除尘器进口、出口</w:t>
            </w:r>
          </w:p>
        </w:tc>
        <w:tc>
          <w:tcPr>
            <w:tcW w:w="1377" w:type="dxa"/>
          </w:tcPr>
          <w:p w14:paraId="462E0AAF">
            <w:pPr>
              <w:pStyle w:val="54"/>
              <w:spacing w:before="0" w:after="0"/>
              <w:rPr>
                <w:rFonts w:ascii="Times New Roman"/>
                <w:snapToGrid/>
                <w:color w:val="auto"/>
                <w:kern w:val="2"/>
                <w:szCs w:val="21"/>
              </w:rPr>
            </w:pPr>
            <w:r>
              <w:rPr>
                <w:rFonts w:ascii="Times New Roman"/>
                <w:snapToGrid/>
                <w:color w:val="auto"/>
                <w:kern w:val="2"/>
                <w:szCs w:val="21"/>
              </w:rPr>
              <w:t>粉尘</w:t>
            </w:r>
          </w:p>
        </w:tc>
        <w:tc>
          <w:tcPr>
            <w:tcW w:w="1928" w:type="dxa"/>
            <w:vMerge w:val="restart"/>
            <w:tcBorders>
              <w:bottom w:val="nil"/>
            </w:tcBorders>
          </w:tcPr>
          <w:p w14:paraId="6F5CB184">
            <w:pPr>
              <w:pStyle w:val="54"/>
              <w:spacing w:before="0" w:after="0"/>
              <w:rPr>
                <w:rFonts w:ascii="Times New Roman"/>
                <w:snapToGrid/>
                <w:color w:val="auto"/>
                <w:kern w:val="2"/>
                <w:szCs w:val="21"/>
              </w:rPr>
            </w:pPr>
            <w:r>
              <w:rPr>
                <w:rFonts w:ascii="Times New Roman"/>
                <w:snapToGrid/>
                <w:color w:val="auto"/>
                <w:kern w:val="2"/>
                <w:szCs w:val="21"/>
              </w:rPr>
              <w:t>颗粒物进口浓度、 出口浓度，除尘器 废气量、排放速率</w:t>
            </w:r>
          </w:p>
        </w:tc>
        <w:tc>
          <w:tcPr>
            <w:tcW w:w="1656" w:type="dxa"/>
            <w:vMerge w:val="restart"/>
            <w:tcBorders>
              <w:bottom w:val="nil"/>
              <w:right w:val="single" w:color="000000" w:sz="10" w:space="0"/>
            </w:tcBorders>
          </w:tcPr>
          <w:p w14:paraId="5212FBE7">
            <w:pPr>
              <w:pStyle w:val="54"/>
              <w:spacing w:before="0" w:after="0"/>
              <w:rPr>
                <w:rFonts w:ascii="Times New Roman"/>
                <w:snapToGrid/>
                <w:color w:val="auto"/>
                <w:kern w:val="2"/>
                <w:szCs w:val="21"/>
              </w:rPr>
            </w:pPr>
          </w:p>
          <w:p w14:paraId="3D56BCF0">
            <w:pPr>
              <w:pStyle w:val="54"/>
              <w:spacing w:before="0" w:after="0"/>
              <w:rPr>
                <w:rFonts w:ascii="Times New Roman"/>
                <w:snapToGrid/>
                <w:color w:val="auto"/>
                <w:kern w:val="2"/>
                <w:szCs w:val="21"/>
              </w:rPr>
            </w:pPr>
            <w:r>
              <w:rPr>
                <w:rFonts w:ascii="Times New Roman"/>
                <w:snapToGrid/>
                <w:color w:val="auto"/>
                <w:kern w:val="2"/>
                <w:szCs w:val="21"/>
              </w:rPr>
              <w:t>每季度 1 次</w:t>
            </w:r>
          </w:p>
        </w:tc>
      </w:tr>
      <w:tr w14:paraId="5CA1AA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trPr>
        <w:tc>
          <w:tcPr>
            <w:tcW w:w="1798" w:type="dxa"/>
            <w:tcBorders>
              <w:left w:val="single" w:color="000000" w:sz="10" w:space="0"/>
            </w:tcBorders>
          </w:tcPr>
          <w:p w14:paraId="2E2324D5">
            <w:pPr>
              <w:pStyle w:val="54"/>
              <w:spacing w:before="0" w:after="0"/>
              <w:rPr>
                <w:rFonts w:ascii="Times New Roman"/>
                <w:snapToGrid/>
                <w:color w:val="auto"/>
                <w:kern w:val="2"/>
                <w:szCs w:val="21"/>
              </w:rPr>
            </w:pPr>
            <w:r>
              <w:rPr>
                <w:rFonts w:ascii="Times New Roman"/>
                <w:snapToGrid/>
                <w:color w:val="auto"/>
                <w:kern w:val="2"/>
                <w:szCs w:val="21"/>
              </w:rPr>
              <w:t>筛分车间</w:t>
            </w:r>
          </w:p>
        </w:tc>
        <w:tc>
          <w:tcPr>
            <w:tcW w:w="2191" w:type="dxa"/>
          </w:tcPr>
          <w:p w14:paraId="1548C969">
            <w:pPr>
              <w:pStyle w:val="54"/>
              <w:spacing w:before="0" w:after="0"/>
              <w:rPr>
                <w:rFonts w:ascii="Times New Roman"/>
                <w:snapToGrid/>
                <w:color w:val="auto"/>
                <w:kern w:val="2"/>
                <w:szCs w:val="21"/>
              </w:rPr>
            </w:pPr>
            <w:r>
              <w:rPr>
                <w:rFonts w:ascii="Times New Roman"/>
                <w:snapToGrid/>
                <w:color w:val="auto"/>
                <w:kern w:val="2"/>
                <w:szCs w:val="21"/>
              </w:rPr>
              <w:t>除尘器进口、出口</w:t>
            </w:r>
          </w:p>
        </w:tc>
        <w:tc>
          <w:tcPr>
            <w:tcW w:w="1377" w:type="dxa"/>
          </w:tcPr>
          <w:p w14:paraId="2463864E">
            <w:pPr>
              <w:pStyle w:val="54"/>
              <w:spacing w:before="0" w:after="0"/>
              <w:rPr>
                <w:rFonts w:ascii="Times New Roman"/>
                <w:snapToGrid/>
                <w:color w:val="auto"/>
                <w:kern w:val="2"/>
                <w:szCs w:val="21"/>
              </w:rPr>
            </w:pPr>
            <w:r>
              <w:rPr>
                <w:rFonts w:ascii="Times New Roman"/>
                <w:snapToGrid/>
                <w:color w:val="auto"/>
                <w:kern w:val="2"/>
                <w:szCs w:val="21"/>
              </w:rPr>
              <w:t>粉尘</w:t>
            </w:r>
          </w:p>
        </w:tc>
        <w:tc>
          <w:tcPr>
            <w:tcW w:w="1928" w:type="dxa"/>
            <w:vMerge w:val="continue"/>
            <w:tcBorders>
              <w:top w:val="nil"/>
              <w:bottom w:val="nil"/>
            </w:tcBorders>
          </w:tcPr>
          <w:p w14:paraId="19242AEA">
            <w:pPr>
              <w:pStyle w:val="54"/>
              <w:spacing w:before="0" w:after="0"/>
              <w:rPr>
                <w:rFonts w:ascii="Times New Roman"/>
                <w:snapToGrid/>
                <w:color w:val="auto"/>
                <w:kern w:val="2"/>
                <w:szCs w:val="21"/>
              </w:rPr>
            </w:pPr>
          </w:p>
        </w:tc>
        <w:tc>
          <w:tcPr>
            <w:tcW w:w="1656" w:type="dxa"/>
            <w:vMerge w:val="continue"/>
            <w:tcBorders>
              <w:top w:val="nil"/>
              <w:bottom w:val="nil"/>
              <w:right w:val="single" w:color="000000" w:sz="10" w:space="0"/>
            </w:tcBorders>
          </w:tcPr>
          <w:p w14:paraId="1B8F1EEA">
            <w:pPr>
              <w:pStyle w:val="54"/>
              <w:spacing w:before="0" w:after="0"/>
              <w:rPr>
                <w:rFonts w:ascii="Times New Roman"/>
                <w:snapToGrid/>
                <w:color w:val="auto"/>
                <w:kern w:val="2"/>
                <w:szCs w:val="21"/>
              </w:rPr>
            </w:pPr>
          </w:p>
        </w:tc>
      </w:tr>
      <w:tr w14:paraId="5DE898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1798" w:type="dxa"/>
            <w:tcBorders>
              <w:left w:val="single" w:color="000000" w:sz="10" w:space="0"/>
            </w:tcBorders>
          </w:tcPr>
          <w:p w14:paraId="41190897">
            <w:pPr>
              <w:pStyle w:val="54"/>
              <w:spacing w:before="0" w:after="0"/>
              <w:rPr>
                <w:rFonts w:ascii="Times New Roman"/>
                <w:snapToGrid/>
                <w:color w:val="auto"/>
                <w:kern w:val="2"/>
                <w:szCs w:val="21"/>
              </w:rPr>
            </w:pPr>
            <w:r>
              <w:rPr>
                <w:rFonts w:ascii="Times New Roman"/>
                <w:snapToGrid/>
                <w:color w:val="auto"/>
                <w:kern w:val="2"/>
                <w:szCs w:val="21"/>
              </w:rPr>
              <w:t>1#皮带除尘系统</w:t>
            </w:r>
          </w:p>
        </w:tc>
        <w:tc>
          <w:tcPr>
            <w:tcW w:w="2191" w:type="dxa"/>
          </w:tcPr>
          <w:p w14:paraId="786B5E1F">
            <w:pPr>
              <w:pStyle w:val="54"/>
              <w:spacing w:before="0" w:after="0"/>
              <w:rPr>
                <w:rFonts w:ascii="Times New Roman"/>
                <w:snapToGrid/>
                <w:color w:val="auto"/>
                <w:kern w:val="2"/>
                <w:szCs w:val="21"/>
              </w:rPr>
            </w:pPr>
            <w:r>
              <w:rPr>
                <w:rFonts w:ascii="Times New Roman"/>
                <w:snapToGrid/>
                <w:color w:val="auto"/>
                <w:kern w:val="2"/>
                <w:szCs w:val="21"/>
              </w:rPr>
              <w:t>除尘器进口、出口</w:t>
            </w:r>
          </w:p>
        </w:tc>
        <w:tc>
          <w:tcPr>
            <w:tcW w:w="1377" w:type="dxa"/>
          </w:tcPr>
          <w:p w14:paraId="4A06C039">
            <w:pPr>
              <w:pStyle w:val="54"/>
              <w:spacing w:before="0" w:after="0"/>
              <w:rPr>
                <w:rFonts w:ascii="Times New Roman"/>
                <w:snapToGrid/>
                <w:color w:val="auto"/>
                <w:kern w:val="2"/>
                <w:szCs w:val="21"/>
              </w:rPr>
            </w:pPr>
            <w:r>
              <w:rPr>
                <w:rFonts w:ascii="Times New Roman"/>
                <w:snapToGrid/>
                <w:color w:val="auto"/>
                <w:kern w:val="2"/>
                <w:szCs w:val="21"/>
              </w:rPr>
              <w:t>粉尘</w:t>
            </w:r>
          </w:p>
        </w:tc>
        <w:tc>
          <w:tcPr>
            <w:tcW w:w="1928" w:type="dxa"/>
            <w:vMerge w:val="continue"/>
            <w:tcBorders>
              <w:top w:val="nil"/>
            </w:tcBorders>
          </w:tcPr>
          <w:p w14:paraId="00093961">
            <w:pPr>
              <w:pStyle w:val="54"/>
              <w:spacing w:before="0" w:after="0"/>
              <w:rPr>
                <w:rFonts w:ascii="Times New Roman"/>
                <w:snapToGrid/>
                <w:color w:val="auto"/>
                <w:kern w:val="2"/>
                <w:szCs w:val="21"/>
              </w:rPr>
            </w:pPr>
          </w:p>
        </w:tc>
        <w:tc>
          <w:tcPr>
            <w:tcW w:w="1656" w:type="dxa"/>
            <w:vMerge w:val="continue"/>
            <w:tcBorders>
              <w:top w:val="nil"/>
              <w:right w:val="single" w:color="000000" w:sz="10" w:space="0"/>
            </w:tcBorders>
          </w:tcPr>
          <w:p w14:paraId="7CEAFC93">
            <w:pPr>
              <w:pStyle w:val="54"/>
              <w:spacing w:before="0" w:after="0"/>
              <w:rPr>
                <w:rFonts w:ascii="Times New Roman"/>
                <w:snapToGrid/>
                <w:color w:val="auto"/>
                <w:kern w:val="2"/>
                <w:szCs w:val="21"/>
              </w:rPr>
            </w:pPr>
          </w:p>
        </w:tc>
      </w:tr>
      <w:tr w14:paraId="0CBD98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1798" w:type="dxa"/>
            <w:tcBorders>
              <w:left w:val="single" w:color="000000" w:sz="10" w:space="0"/>
            </w:tcBorders>
          </w:tcPr>
          <w:p w14:paraId="3F2B786A">
            <w:pPr>
              <w:pStyle w:val="54"/>
              <w:spacing w:before="0" w:after="0"/>
              <w:rPr>
                <w:rFonts w:ascii="Times New Roman"/>
                <w:snapToGrid/>
                <w:color w:val="auto"/>
                <w:kern w:val="2"/>
                <w:szCs w:val="21"/>
              </w:rPr>
            </w:pPr>
            <w:r>
              <w:rPr>
                <w:rFonts w:ascii="Times New Roman"/>
                <w:snapToGrid/>
                <w:color w:val="auto"/>
                <w:kern w:val="2"/>
                <w:szCs w:val="21"/>
              </w:rPr>
              <w:t>采选工业场地</w:t>
            </w:r>
          </w:p>
        </w:tc>
        <w:tc>
          <w:tcPr>
            <w:tcW w:w="2191" w:type="dxa"/>
          </w:tcPr>
          <w:p w14:paraId="01B761EA">
            <w:pPr>
              <w:pStyle w:val="54"/>
              <w:spacing w:before="0" w:after="0"/>
              <w:rPr>
                <w:rFonts w:ascii="Times New Roman"/>
                <w:snapToGrid/>
                <w:color w:val="auto"/>
                <w:kern w:val="2"/>
                <w:szCs w:val="21"/>
              </w:rPr>
            </w:pPr>
            <w:r>
              <w:rPr>
                <w:rFonts w:ascii="Times New Roman"/>
                <w:snapToGrid/>
                <w:color w:val="auto"/>
                <w:kern w:val="2"/>
                <w:szCs w:val="21"/>
              </w:rPr>
              <w:t>厂界上风向、下风向</w:t>
            </w:r>
          </w:p>
        </w:tc>
        <w:tc>
          <w:tcPr>
            <w:tcW w:w="1377" w:type="dxa"/>
          </w:tcPr>
          <w:p w14:paraId="7333F498">
            <w:pPr>
              <w:pStyle w:val="54"/>
              <w:spacing w:before="0" w:after="0"/>
              <w:rPr>
                <w:rFonts w:ascii="Times New Roman"/>
                <w:snapToGrid/>
                <w:color w:val="auto"/>
                <w:kern w:val="2"/>
                <w:szCs w:val="21"/>
              </w:rPr>
            </w:pPr>
            <w:r>
              <w:rPr>
                <w:rFonts w:ascii="Times New Roman"/>
                <w:snapToGrid/>
                <w:color w:val="auto"/>
                <w:kern w:val="2"/>
                <w:szCs w:val="21"/>
              </w:rPr>
              <w:t>颗粒物</w:t>
            </w:r>
          </w:p>
        </w:tc>
        <w:tc>
          <w:tcPr>
            <w:tcW w:w="1928" w:type="dxa"/>
            <w:vMerge w:val="restart"/>
            <w:tcBorders>
              <w:bottom w:val="nil"/>
            </w:tcBorders>
          </w:tcPr>
          <w:p w14:paraId="2B3B59F7">
            <w:pPr>
              <w:pStyle w:val="54"/>
              <w:spacing w:before="0" w:after="0"/>
              <w:rPr>
                <w:rFonts w:ascii="Times New Roman"/>
                <w:snapToGrid/>
                <w:color w:val="auto"/>
                <w:kern w:val="2"/>
                <w:szCs w:val="21"/>
              </w:rPr>
            </w:pPr>
            <w:r>
              <w:rPr>
                <w:rFonts w:ascii="Times New Roman"/>
                <w:snapToGrid/>
                <w:color w:val="auto"/>
                <w:kern w:val="2"/>
                <w:szCs w:val="21"/>
              </w:rPr>
              <w:t>颗粒物浓度</w:t>
            </w:r>
          </w:p>
        </w:tc>
        <w:tc>
          <w:tcPr>
            <w:tcW w:w="1656" w:type="dxa"/>
            <w:vMerge w:val="restart"/>
            <w:tcBorders>
              <w:bottom w:val="nil"/>
              <w:right w:val="single" w:color="000000" w:sz="10" w:space="0"/>
            </w:tcBorders>
          </w:tcPr>
          <w:p w14:paraId="1EF7351F">
            <w:pPr>
              <w:pStyle w:val="54"/>
              <w:spacing w:before="0" w:after="0"/>
              <w:rPr>
                <w:rFonts w:ascii="Times New Roman"/>
                <w:snapToGrid/>
                <w:color w:val="auto"/>
                <w:kern w:val="2"/>
                <w:szCs w:val="21"/>
              </w:rPr>
            </w:pPr>
            <w:r>
              <w:rPr>
                <w:rFonts w:ascii="Times New Roman"/>
                <w:snapToGrid/>
                <w:color w:val="auto"/>
                <w:kern w:val="2"/>
                <w:szCs w:val="21"/>
              </w:rPr>
              <w:t>每季度 1 次</w:t>
            </w:r>
          </w:p>
        </w:tc>
      </w:tr>
      <w:tr w14:paraId="4FE758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trPr>
        <w:tc>
          <w:tcPr>
            <w:tcW w:w="1798" w:type="dxa"/>
            <w:tcBorders>
              <w:left w:val="single" w:color="000000" w:sz="10" w:space="0"/>
            </w:tcBorders>
          </w:tcPr>
          <w:p w14:paraId="60891BCA">
            <w:pPr>
              <w:pStyle w:val="54"/>
              <w:spacing w:before="0" w:after="0"/>
              <w:rPr>
                <w:rFonts w:ascii="Times New Roman"/>
                <w:snapToGrid/>
                <w:color w:val="auto"/>
                <w:kern w:val="2"/>
                <w:szCs w:val="21"/>
              </w:rPr>
            </w:pPr>
            <w:r>
              <w:rPr>
                <w:rFonts w:ascii="Times New Roman"/>
                <w:snapToGrid/>
                <w:color w:val="auto"/>
                <w:kern w:val="2"/>
                <w:szCs w:val="21"/>
              </w:rPr>
              <w:t>尾矿库</w:t>
            </w:r>
          </w:p>
        </w:tc>
        <w:tc>
          <w:tcPr>
            <w:tcW w:w="2191" w:type="dxa"/>
          </w:tcPr>
          <w:p w14:paraId="06FBEF59">
            <w:pPr>
              <w:pStyle w:val="54"/>
              <w:spacing w:before="0" w:after="0"/>
              <w:rPr>
                <w:rFonts w:ascii="Times New Roman"/>
                <w:snapToGrid/>
                <w:color w:val="auto"/>
                <w:kern w:val="2"/>
                <w:szCs w:val="21"/>
              </w:rPr>
            </w:pPr>
            <w:r>
              <w:rPr>
                <w:rFonts w:ascii="Times New Roman"/>
                <w:snapToGrid/>
                <w:color w:val="auto"/>
                <w:kern w:val="2"/>
                <w:szCs w:val="21"/>
              </w:rPr>
              <w:t>厂界上风向、下风向</w:t>
            </w:r>
          </w:p>
        </w:tc>
        <w:tc>
          <w:tcPr>
            <w:tcW w:w="1377" w:type="dxa"/>
          </w:tcPr>
          <w:p w14:paraId="0A19F071">
            <w:pPr>
              <w:pStyle w:val="54"/>
              <w:spacing w:before="0" w:after="0"/>
              <w:rPr>
                <w:rFonts w:ascii="Times New Roman"/>
                <w:snapToGrid/>
                <w:color w:val="auto"/>
                <w:kern w:val="2"/>
                <w:szCs w:val="21"/>
              </w:rPr>
            </w:pPr>
            <w:r>
              <w:rPr>
                <w:rFonts w:ascii="Times New Roman"/>
                <w:snapToGrid/>
                <w:color w:val="auto"/>
                <w:kern w:val="2"/>
                <w:szCs w:val="21"/>
              </w:rPr>
              <w:t>颗粒物</w:t>
            </w:r>
          </w:p>
        </w:tc>
        <w:tc>
          <w:tcPr>
            <w:tcW w:w="1928" w:type="dxa"/>
            <w:vMerge w:val="continue"/>
            <w:tcBorders>
              <w:top w:val="nil"/>
            </w:tcBorders>
          </w:tcPr>
          <w:p w14:paraId="2029E0FD">
            <w:pPr>
              <w:widowControl/>
              <w:kinsoku w:val="0"/>
              <w:autoSpaceDE w:val="0"/>
              <w:autoSpaceDN w:val="0"/>
              <w:adjustRightInd w:val="0"/>
              <w:snapToGrid w:val="0"/>
              <w:spacing w:line="240" w:lineRule="auto"/>
              <w:ind w:firstLine="0" w:firstLineChars="0"/>
              <w:jc w:val="left"/>
              <w:textAlignment w:val="baseline"/>
              <w:rPr>
                <w:rFonts w:ascii="Arial" w:hAnsi="Arial" w:cs="Arial" w:eastAsiaTheme="minorEastAsia"/>
                <w:snapToGrid w:val="0"/>
                <w:color w:val="000000"/>
                <w:kern w:val="0"/>
                <w:sz w:val="21"/>
                <w:szCs w:val="21"/>
              </w:rPr>
            </w:pPr>
          </w:p>
        </w:tc>
        <w:tc>
          <w:tcPr>
            <w:tcW w:w="1656" w:type="dxa"/>
            <w:vMerge w:val="continue"/>
            <w:tcBorders>
              <w:top w:val="nil"/>
              <w:right w:val="single" w:color="000000" w:sz="10" w:space="0"/>
            </w:tcBorders>
          </w:tcPr>
          <w:p w14:paraId="01A91DC2">
            <w:pPr>
              <w:widowControl/>
              <w:kinsoku w:val="0"/>
              <w:autoSpaceDE w:val="0"/>
              <w:autoSpaceDN w:val="0"/>
              <w:adjustRightInd w:val="0"/>
              <w:snapToGrid w:val="0"/>
              <w:spacing w:line="240" w:lineRule="auto"/>
              <w:ind w:firstLine="0" w:firstLineChars="0"/>
              <w:jc w:val="left"/>
              <w:textAlignment w:val="baseline"/>
              <w:rPr>
                <w:rFonts w:ascii="Arial" w:hAnsi="Arial" w:cs="Arial" w:eastAsiaTheme="minorEastAsia"/>
                <w:snapToGrid w:val="0"/>
                <w:color w:val="000000"/>
                <w:kern w:val="0"/>
                <w:sz w:val="21"/>
                <w:szCs w:val="21"/>
              </w:rPr>
            </w:pPr>
          </w:p>
        </w:tc>
      </w:tr>
    </w:tbl>
    <w:p w14:paraId="5384388C">
      <w:pPr>
        <w:ind w:firstLine="480"/>
      </w:pPr>
      <w:r>
        <w:rPr>
          <w:rFonts w:hint="eastAsia"/>
        </w:rPr>
        <w:t>（2）废水污染源</w:t>
      </w:r>
    </w:p>
    <w:p w14:paraId="127A2D4D">
      <w:pPr>
        <w:ind w:firstLine="480"/>
      </w:pPr>
      <w:r>
        <w:rPr>
          <w:rFonts w:hint="eastAsia"/>
        </w:rPr>
        <w:t>废水污染源监测计划见表8</w:t>
      </w:r>
      <w:r>
        <w:t>.3</w:t>
      </w:r>
      <w:r>
        <w:rPr>
          <w:rFonts w:hint="eastAsia"/>
        </w:rPr>
        <w:t>-</w:t>
      </w:r>
      <w:r>
        <w:t>2</w:t>
      </w:r>
      <w:r>
        <w:rPr>
          <w:rFonts w:hint="eastAsia"/>
        </w:rPr>
        <w:t>：</w:t>
      </w:r>
    </w:p>
    <w:p w14:paraId="74289FA9">
      <w:pPr>
        <w:ind w:firstLine="0" w:firstLineChars="0"/>
        <w:jc w:val="center"/>
        <w:rPr>
          <w:b/>
        </w:rPr>
      </w:pPr>
      <w:r>
        <w:rPr>
          <w:rFonts w:hint="eastAsia"/>
          <w:b/>
        </w:rPr>
        <w:t>表</w:t>
      </w:r>
      <w:r>
        <w:rPr>
          <w:b/>
        </w:rPr>
        <w:t>8.3</w:t>
      </w:r>
      <w:r>
        <w:rPr>
          <w:rFonts w:hint="eastAsia"/>
          <w:b/>
        </w:rPr>
        <w:t>-</w:t>
      </w:r>
      <w:r>
        <w:rPr>
          <w:b/>
        </w:rPr>
        <w:t xml:space="preserve">2  </w:t>
      </w:r>
      <w:r>
        <w:rPr>
          <w:rFonts w:hint="eastAsia"/>
          <w:b/>
        </w:rPr>
        <w:t>废水污染源监测计划</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81"/>
        <w:gridCol w:w="1286"/>
        <w:gridCol w:w="1143"/>
        <w:gridCol w:w="3714"/>
        <w:gridCol w:w="943"/>
      </w:tblGrid>
      <w:tr w14:paraId="77042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5" w:hRule="atLeast"/>
          <w:jc w:val="center"/>
        </w:trPr>
        <w:tc>
          <w:tcPr>
            <w:tcW w:w="1271" w:type="dxa"/>
            <w:vAlign w:val="center"/>
          </w:tcPr>
          <w:p w14:paraId="55821B8B">
            <w:pPr>
              <w:pStyle w:val="54"/>
              <w:spacing w:before="0" w:after="0"/>
              <w:rPr>
                <w:rFonts w:ascii="Times New Roman"/>
                <w:color w:val="auto"/>
                <w:szCs w:val="21"/>
              </w:rPr>
            </w:pPr>
            <w:r>
              <w:rPr>
                <w:rFonts w:hint="eastAsia" w:ascii="Times New Roman"/>
                <w:color w:val="auto"/>
                <w:szCs w:val="21"/>
              </w:rPr>
              <w:t>序号</w:t>
            </w:r>
          </w:p>
        </w:tc>
        <w:tc>
          <w:tcPr>
            <w:tcW w:w="2410" w:type="dxa"/>
            <w:gridSpan w:val="2"/>
            <w:vAlign w:val="center"/>
          </w:tcPr>
          <w:p w14:paraId="7B6774CA">
            <w:pPr>
              <w:pStyle w:val="54"/>
              <w:spacing w:before="0" w:after="0"/>
              <w:rPr>
                <w:rFonts w:ascii="Times New Roman"/>
                <w:color w:val="auto"/>
                <w:szCs w:val="21"/>
              </w:rPr>
            </w:pPr>
            <w:r>
              <w:rPr>
                <w:rFonts w:hint="eastAsia" w:ascii="Times New Roman"/>
                <w:color w:val="auto"/>
                <w:szCs w:val="21"/>
              </w:rPr>
              <w:t>污染源</w:t>
            </w:r>
          </w:p>
        </w:tc>
        <w:tc>
          <w:tcPr>
            <w:tcW w:w="3685" w:type="dxa"/>
            <w:vAlign w:val="center"/>
          </w:tcPr>
          <w:p w14:paraId="4AF86CA8">
            <w:pPr>
              <w:pStyle w:val="54"/>
              <w:spacing w:before="0" w:after="0"/>
              <w:rPr>
                <w:rFonts w:ascii="Times New Roman"/>
                <w:color w:val="auto"/>
                <w:szCs w:val="21"/>
              </w:rPr>
            </w:pPr>
            <w:r>
              <w:rPr>
                <w:rFonts w:hint="eastAsia" w:ascii="Times New Roman"/>
                <w:color w:val="auto"/>
                <w:szCs w:val="21"/>
              </w:rPr>
              <w:t>监测因子</w:t>
            </w:r>
          </w:p>
        </w:tc>
        <w:tc>
          <w:tcPr>
            <w:tcW w:w="936" w:type="dxa"/>
            <w:vAlign w:val="center"/>
          </w:tcPr>
          <w:p w14:paraId="376D4BDD">
            <w:pPr>
              <w:pStyle w:val="54"/>
              <w:spacing w:before="0" w:after="0"/>
              <w:rPr>
                <w:rFonts w:ascii="Times New Roman"/>
                <w:color w:val="auto"/>
                <w:szCs w:val="21"/>
              </w:rPr>
            </w:pPr>
            <w:r>
              <w:rPr>
                <w:rFonts w:hint="eastAsia" w:ascii="Times New Roman"/>
                <w:color w:val="auto"/>
                <w:szCs w:val="21"/>
              </w:rPr>
              <w:t>监测频率</w:t>
            </w:r>
          </w:p>
        </w:tc>
      </w:tr>
      <w:tr w14:paraId="7D4FB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1" w:hRule="atLeast"/>
          <w:jc w:val="center"/>
        </w:trPr>
        <w:tc>
          <w:tcPr>
            <w:tcW w:w="1271" w:type="dxa"/>
            <w:vAlign w:val="center"/>
          </w:tcPr>
          <w:p w14:paraId="755F53D7">
            <w:pPr>
              <w:pStyle w:val="54"/>
              <w:spacing w:before="0" w:after="0"/>
              <w:rPr>
                <w:rFonts w:ascii="Times New Roman"/>
                <w:color w:val="auto"/>
                <w:szCs w:val="21"/>
              </w:rPr>
            </w:pPr>
            <w:r>
              <w:rPr>
                <w:rFonts w:hint="eastAsia" w:ascii="Times New Roman"/>
                <w:color w:val="auto"/>
                <w:szCs w:val="21"/>
              </w:rPr>
              <w:t>1</w:t>
            </w:r>
          </w:p>
        </w:tc>
        <w:tc>
          <w:tcPr>
            <w:tcW w:w="2410" w:type="dxa"/>
            <w:gridSpan w:val="2"/>
            <w:vAlign w:val="center"/>
          </w:tcPr>
          <w:p w14:paraId="65205A5C">
            <w:pPr>
              <w:pStyle w:val="54"/>
              <w:spacing w:before="0" w:after="0"/>
              <w:rPr>
                <w:rFonts w:ascii="Times New Roman"/>
                <w:color w:val="auto"/>
                <w:szCs w:val="21"/>
              </w:rPr>
            </w:pPr>
            <w:r>
              <w:rPr>
                <w:rFonts w:hint="eastAsia" w:ascii="Times New Roman"/>
                <w:color w:val="auto"/>
                <w:szCs w:val="21"/>
              </w:rPr>
              <w:t>井下涌水</w:t>
            </w:r>
          </w:p>
        </w:tc>
        <w:tc>
          <w:tcPr>
            <w:tcW w:w="3685" w:type="dxa"/>
            <w:vMerge w:val="restart"/>
            <w:vAlign w:val="center"/>
          </w:tcPr>
          <w:p w14:paraId="253773FC">
            <w:pPr>
              <w:pStyle w:val="54"/>
              <w:spacing w:before="0" w:after="0"/>
              <w:rPr>
                <w:rFonts w:ascii="Times New Roman"/>
                <w:color w:val="auto"/>
                <w:szCs w:val="21"/>
              </w:rPr>
            </w:pPr>
            <w:r>
              <w:rPr>
                <w:rFonts w:ascii="Times New Roman"/>
                <w:color w:val="auto"/>
              </w:rPr>
              <w:t>pH、SS、COD</w:t>
            </w:r>
            <w:r>
              <w:rPr>
                <w:rFonts w:hint="eastAsia" w:ascii="Times New Roman"/>
                <w:color w:val="auto"/>
              </w:rPr>
              <w:t>、</w:t>
            </w:r>
            <w:r>
              <w:rPr>
                <w:rFonts w:ascii="Times New Roman"/>
                <w:color w:val="auto"/>
              </w:rPr>
              <w:t>NH</w:t>
            </w:r>
            <w:r>
              <w:rPr>
                <w:rFonts w:ascii="Times New Roman"/>
                <w:color w:val="auto"/>
                <w:vertAlign w:val="subscript"/>
              </w:rPr>
              <w:t>3</w:t>
            </w:r>
            <w:r>
              <w:rPr>
                <w:rFonts w:ascii="Times New Roman"/>
                <w:color w:val="auto"/>
              </w:rPr>
              <w:t>-N</w:t>
            </w:r>
            <w:r>
              <w:rPr>
                <w:rFonts w:hint="eastAsia" w:ascii="Times New Roman"/>
                <w:color w:val="auto"/>
              </w:rPr>
              <w:t>、总氮、总磷、石油类、</w:t>
            </w:r>
            <w:r>
              <w:rPr>
                <w:rFonts w:ascii="Times New Roman"/>
                <w:color w:val="auto"/>
              </w:rPr>
              <w:t>铜、锌、镉、铅、铬、六价铬、镍、硒</w:t>
            </w:r>
            <w:r>
              <w:rPr>
                <w:rFonts w:hint="eastAsia" w:ascii="Times New Roman"/>
                <w:color w:val="auto"/>
              </w:rPr>
              <w:t>、硫化物、氟化物</w:t>
            </w:r>
            <w:r>
              <w:rPr>
                <w:rFonts w:ascii="Times New Roman"/>
                <w:color w:val="auto"/>
              </w:rPr>
              <w:t>等1</w:t>
            </w:r>
            <w:r>
              <w:rPr>
                <w:rFonts w:hint="eastAsia" w:ascii="Times New Roman"/>
                <w:color w:val="auto"/>
              </w:rPr>
              <w:t>7</w:t>
            </w:r>
            <w:r>
              <w:rPr>
                <w:rFonts w:ascii="Times New Roman"/>
                <w:color w:val="auto"/>
              </w:rPr>
              <w:t>项</w:t>
            </w:r>
          </w:p>
        </w:tc>
        <w:tc>
          <w:tcPr>
            <w:tcW w:w="936" w:type="dxa"/>
            <w:vMerge w:val="restart"/>
            <w:vAlign w:val="center"/>
          </w:tcPr>
          <w:p w14:paraId="5B6947FD">
            <w:pPr>
              <w:pStyle w:val="54"/>
              <w:spacing w:before="0" w:after="0"/>
              <w:rPr>
                <w:rFonts w:ascii="Times New Roman"/>
                <w:color w:val="auto"/>
                <w:szCs w:val="21"/>
              </w:rPr>
            </w:pPr>
            <w:r>
              <w:rPr>
                <w:rFonts w:hint="eastAsia" w:ascii="Times New Roman"/>
                <w:color w:val="auto"/>
                <w:szCs w:val="21"/>
              </w:rPr>
              <w:t>每季度</w:t>
            </w:r>
          </w:p>
          <w:p w14:paraId="70FB8CA6">
            <w:pPr>
              <w:pStyle w:val="54"/>
              <w:spacing w:before="0" w:after="0"/>
              <w:rPr>
                <w:rFonts w:ascii="Times New Roman"/>
                <w:color w:val="auto"/>
                <w:szCs w:val="21"/>
              </w:rPr>
            </w:pPr>
            <w:r>
              <w:rPr>
                <w:rFonts w:hint="eastAsia" w:ascii="Times New Roman"/>
                <w:color w:val="auto"/>
                <w:szCs w:val="21"/>
              </w:rPr>
              <w:t>1次</w:t>
            </w:r>
          </w:p>
        </w:tc>
      </w:tr>
      <w:tr w14:paraId="4AAF5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7" w:hRule="atLeast"/>
          <w:jc w:val="center"/>
        </w:trPr>
        <w:tc>
          <w:tcPr>
            <w:tcW w:w="1271" w:type="dxa"/>
            <w:vAlign w:val="center"/>
          </w:tcPr>
          <w:p w14:paraId="7547CCD5">
            <w:pPr>
              <w:pStyle w:val="54"/>
              <w:spacing w:before="0" w:after="0"/>
              <w:rPr>
                <w:rFonts w:ascii="Times New Roman"/>
                <w:color w:val="auto"/>
                <w:szCs w:val="21"/>
              </w:rPr>
            </w:pPr>
            <w:r>
              <w:rPr>
                <w:rFonts w:hint="eastAsia" w:ascii="Times New Roman"/>
                <w:color w:val="auto"/>
                <w:szCs w:val="21"/>
              </w:rPr>
              <w:t>2</w:t>
            </w:r>
          </w:p>
        </w:tc>
        <w:tc>
          <w:tcPr>
            <w:tcW w:w="2410" w:type="dxa"/>
            <w:gridSpan w:val="2"/>
            <w:vAlign w:val="center"/>
          </w:tcPr>
          <w:p w14:paraId="5E89FF7D">
            <w:pPr>
              <w:pStyle w:val="54"/>
              <w:spacing w:before="0" w:after="0"/>
              <w:rPr>
                <w:rFonts w:ascii="Times New Roman"/>
                <w:color w:val="auto"/>
                <w:szCs w:val="21"/>
              </w:rPr>
            </w:pPr>
            <w:r>
              <w:rPr>
                <w:rFonts w:hint="eastAsia" w:ascii="Times New Roman"/>
                <w:color w:val="auto"/>
                <w:szCs w:val="21"/>
              </w:rPr>
              <w:t>尾矿库澄清水</w:t>
            </w:r>
          </w:p>
        </w:tc>
        <w:tc>
          <w:tcPr>
            <w:tcW w:w="3685" w:type="dxa"/>
            <w:vMerge w:val="continue"/>
            <w:vAlign w:val="center"/>
          </w:tcPr>
          <w:p w14:paraId="6F1B3ED7">
            <w:pPr>
              <w:pStyle w:val="54"/>
              <w:spacing w:before="0" w:after="0"/>
              <w:rPr>
                <w:rFonts w:ascii="Times New Roman"/>
                <w:color w:val="auto"/>
                <w:szCs w:val="21"/>
              </w:rPr>
            </w:pPr>
          </w:p>
        </w:tc>
        <w:tc>
          <w:tcPr>
            <w:tcW w:w="936" w:type="dxa"/>
            <w:vMerge w:val="continue"/>
            <w:vAlign w:val="center"/>
          </w:tcPr>
          <w:p w14:paraId="0346B58C">
            <w:pPr>
              <w:pStyle w:val="54"/>
              <w:spacing w:before="0" w:after="0"/>
              <w:rPr>
                <w:rFonts w:ascii="Times New Roman"/>
                <w:color w:val="auto"/>
                <w:szCs w:val="21"/>
              </w:rPr>
            </w:pPr>
          </w:p>
        </w:tc>
      </w:tr>
      <w:tr w14:paraId="10558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1" w:hRule="atLeast"/>
          <w:jc w:val="center"/>
        </w:trPr>
        <w:tc>
          <w:tcPr>
            <w:tcW w:w="1271" w:type="dxa"/>
            <w:vMerge w:val="restart"/>
            <w:vAlign w:val="center"/>
          </w:tcPr>
          <w:p w14:paraId="33AA6EC3">
            <w:pPr>
              <w:pStyle w:val="54"/>
              <w:spacing w:before="0" w:after="0"/>
              <w:rPr>
                <w:rFonts w:ascii="Times New Roman"/>
                <w:color w:val="auto"/>
                <w:szCs w:val="21"/>
              </w:rPr>
            </w:pPr>
            <w:r>
              <w:rPr>
                <w:rFonts w:hint="eastAsia" w:ascii="Times New Roman"/>
                <w:color w:val="auto"/>
                <w:szCs w:val="21"/>
              </w:rPr>
              <w:t>3</w:t>
            </w:r>
          </w:p>
        </w:tc>
        <w:tc>
          <w:tcPr>
            <w:tcW w:w="1276" w:type="dxa"/>
            <w:vMerge w:val="restart"/>
            <w:vAlign w:val="center"/>
          </w:tcPr>
          <w:p w14:paraId="2C68102C">
            <w:pPr>
              <w:pStyle w:val="54"/>
              <w:spacing w:before="0" w:after="0"/>
              <w:rPr>
                <w:rFonts w:ascii="Times New Roman"/>
                <w:color w:val="auto"/>
                <w:szCs w:val="21"/>
              </w:rPr>
            </w:pPr>
            <w:r>
              <w:rPr>
                <w:rFonts w:hint="eastAsia" w:ascii="Times New Roman"/>
                <w:color w:val="auto"/>
                <w:szCs w:val="21"/>
              </w:rPr>
              <w:t>各生活污水处理设施</w:t>
            </w:r>
          </w:p>
        </w:tc>
        <w:tc>
          <w:tcPr>
            <w:tcW w:w="1134" w:type="dxa"/>
            <w:vAlign w:val="center"/>
          </w:tcPr>
          <w:p w14:paraId="2F413FF4">
            <w:pPr>
              <w:pStyle w:val="54"/>
              <w:spacing w:before="0" w:after="0"/>
              <w:rPr>
                <w:rFonts w:ascii="Times New Roman"/>
                <w:color w:val="auto"/>
                <w:szCs w:val="21"/>
              </w:rPr>
            </w:pPr>
            <w:r>
              <w:rPr>
                <w:rFonts w:hint="eastAsia" w:ascii="Times New Roman"/>
                <w:color w:val="auto"/>
                <w:szCs w:val="21"/>
              </w:rPr>
              <w:t>进口</w:t>
            </w:r>
          </w:p>
        </w:tc>
        <w:tc>
          <w:tcPr>
            <w:tcW w:w="3685" w:type="dxa"/>
            <w:vMerge w:val="restart"/>
            <w:vAlign w:val="center"/>
          </w:tcPr>
          <w:p w14:paraId="753F308E">
            <w:pPr>
              <w:pStyle w:val="54"/>
              <w:spacing w:before="0" w:after="0"/>
              <w:rPr>
                <w:rFonts w:ascii="Times New Roman"/>
                <w:color w:val="auto"/>
                <w:szCs w:val="21"/>
              </w:rPr>
            </w:pPr>
            <w:r>
              <w:rPr>
                <w:rFonts w:ascii="Times New Roman"/>
                <w:color w:val="auto"/>
              </w:rPr>
              <w:t>pH</w:t>
            </w:r>
            <w:r>
              <w:rPr>
                <w:rFonts w:hint="eastAsia" w:ascii="Times New Roman"/>
                <w:color w:val="auto"/>
              </w:rPr>
              <w:t>、</w:t>
            </w:r>
            <w:r>
              <w:rPr>
                <w:rFonts w:ascii="Times New Roman"/>
                <w:color w:val="auto"/>
              </w:rPr>
              <w:t>SS</w:t>
            </w:r>
            <w:r>
              <w:rPr>
                <w:rFonts w:hint="eastAsia" w:ascii="Times New Roman"/>
                <w:color w:val="auto"/>
              </w:rPr>
              <w:t>、</w:t>
            </w:r>
            <w:r>
              <w:rPr>
                <w:rFonts w:ascii="Times New Roman"/>
                <w:color w:val="auto"/>
              </w:rPr>
              <w:t>COD</w:t>
            </w:r>
            <w:r>
              <w:rPr>
                <w:rFonts w:ascii="Times New Roman"/>
                <w:color w:val="auto"/>
                <w:vertAlign w:val="subscript"/>
              </w:rPr>
              <w:t>Cr</w:t>
            </w:r>
            <w:r>
              <w:rPr>
                <w:rFonts w:hint="eastAsia" w:ascii="Times New Roman"/>
                <w:color w:val="auto"/>
              </w:rPr>
              <w:t>、氨氮、动植物油、</w:t>
            </w:r>
            <w:r>
              <w:rPr>
                <w:rFonts w:ascii="Times New Roman"/>
                <w:color w:val="auto"/>
              </w:rPr>
              <w:t>LAS</w:t>
            </w:r>
            <w:r>
              <w:rPr>
                <w:rFonts w:hint="eastAsia" w:ascii="Times New Roman"/>
                <w:color w:val="auto"/>
              </w:rPr>
              <w:t>、硫化物、氟化物、铜、锰、锌共11项</w:t>
            </w:r>
          </w:p>
        </w:tc>
        <w:tc>
          <w:tcPr>
            <w:tcW w:w="936" w:type="dxa"/>
            <w:vMerge w:val="continue"/>
            <w:vAlign w:val="center"/>
          </w:tcPr>
          <w:p w14:paraId="1436AB47">
            <w:pPr>
              <w:pStyle w:val="54"/>
              <w:spacing w:before="0" w:after="0"/>
              <w:rPr>
                <w:rFonts w:ascii="Times New Roman"/>
                <w:color w:val="auto"/>
                <w:szCs w:val="21"/>
              </w:rPr>
            </w:pPr>
          </w:p>
        </w:tc>
      </w:tr>
      <w:tr w14:paraId="2CEAC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5" w:hRule="atLeast"/>
          <w:jc w:val="center"/>
        </w:trPr>
        <w:tc>
          <w:tcPr>
            <w:tcW w:w="1271" w:type="dxa"/>
            <w:vMerge w:val="continue"/>
            <w:vAlign w:val="center"/>
          </w:tcPr>
          <w:p w14:paraId="3C41E8BC">
            <w:pPr>
              <w:pStyle w:val="54"/>
              <w:spacing w:before="0" w:after="0"/>
              <w:rPr>
                <w:rFonts w:ascii="Times New Roman"/>
                <w:color w:val="auto"/>
                <w:szCs w:val="21"/>
              </w:rPr>
            </w:pPr>
          </w:p>
        </w:tc>
        <w:tc>
          <w:tcPr>
            <w:tcW w:w="1276" w:type="dxa"/>
            <w:vMerge w:val="continue"/>
            <w:vAlign w:val="center"/>
          </w:tcPr>
          <w:p w14:paraId="478A50AF">
            <w:pPr>
              <w:pStyle w:val="54"/>
              <w:spacing w:before="0" w:after="0"/>
              <w:rPr>
                <w:rFonts w:ascii="Times New Roman"/>
                <w:color w:val="auto"/>
                <w:szCs w:val="21"/>
              </w:rPr>
            </w:pPr>
          </w:p>
        </w:tc>
        <w:tc>
          <w:tcPr>
            <w:tcW w:w="1134" w:type="dxa"/>
            <w:vAlign w:val="center"/>
          </w:tcPr>
          <w:p w14:paraId="204621FE">
            <w:pPr>
              <w:pStyle w:val="54"/>
              <w:spacing w:before="0" w:after="0"/>
              <w:rPr>
                <w:rFonts w:ascii="Times New Roman"/>
                <w:color w:val="auto"/>
                <w:szCs w:val="21"/>
              </w:rPr>
            </w:pPr>
            <w:r>
              <w:rPr>
                <w:rFonts w:hint="eastAsia" w:ascii="Times New Roman"/>
                <w:color w:val="auto"/>
                <w:szCs w:val="21"/>
              </w:rPr>
              <w:t>出口</w:t>
            </w:r>
          </w:p>
        </w:tc>
        <w:tc>
          <w:tcPr>
            <w:tcW w:w="3685" w:type="dxa"/>
            <w:vMerge w:val="continue"/>
            <w:vAlign w:val="center"/>
          </w:tcPr>
          <w:p w14:paraId="3D92CDA3">
            <w:pPr>
              <w:pStyle w:val="54"/>
              <w:spacing w:before="0" w:after="0"/>
              <w:rPr>
                <w:rFonts w:ascii="Times New Roman"/>
                <w:color w:val="auto"/>
                <w:szCs w:val="21"/>
              </w:rPr>
            </w:pPr>
          </w:p>
        </w:tc>
        <w:tc>
          <w:tcPr>
            <w:tcW w:w="936" w:type="dxa"/>
            <w:vMerge w:val="continue"/>
            <w:vAlign w:val="center"/>
          </w:tcPr>
          <w:p w14:paraId="43E7C12E">
            <w:pPr>
              <w:pStyle w:val="54"/>
              <w:spacing w:before="0" w:after="0"/>
              <w:rPr>
                <w:rFonts w:ascii="Times New Roman"/>
                <w:color w:val="auto"/>
                <w:szCs w:val="21"/>
              </w:rPr>
            </w:pPr>
          </w:p>
        </w:tc>
      </w:tr>
    </w:tbl>
    <w:p w14:paraId="4626E23A">
      <w:pPr>
        <w:ind w:firstLine="480"/>
      </w:pPr>
      <w:r>
        <w:rPr>
          <w:rFonts w:hint="eastAsia"/>
        </w:rPr>
        <w:t>（3）噪声</w:t>
      </w:r>
    </w:p>
    <w:p w14:paraId="5CC19EEA">
      <w:pPr>
        <w:ind w:firstLine="480"/>
      </w:pPr>
      <w:r>
        <w:rPr>
          <w:rFonts w:hint="eastAsia"/>
        </w:rPr>
        <w:t>监测点位：采选工业场地厂界四周；</w:t>
      </w:r>
    </w:p>
    <w:p w14:paraId="0AFA5AAA">
      <w:pPr>
        <w:ind w:firstLine="480"/>
      </w:pPr>
      <w:r>
        <w:rPr>
          <w:rFonts w:hint="eastAsia"/>
        </w:rPr>
        <w:t>监测项目：等效连续</w:t>
      </w:r>
      <w:r>
        <w:t xml:space="preserve">A </w:t>
      </w:r>
      <w:r>
        <w:rPr>
          <w:rFonts w:hint="eastAsia"/>
        </w:rPr>
        <w:t>声级；</w:t>
      </w:r>
    </w:p>
    <w:p w14:paraId="4174F590">
      <w:pPr>
        <w:ind w:firstLine="480"/>
      </w:pPr>
      <w:r>
        <w:rPr>
          <w:rFonts w:hint="eastAsia"/>
        </w:rPr>
        <w:t>监测时间及频次：每季度</w:t>
      </w:r>
      <w:r>
        <w:t xml:space="preserve">1 </w:t>
      </w:r>
      <w:r>
        <w:rPr>
          <w:rFonts w:hint="eastAsia"/>
        </w:rPr>
        <w:t>次（昼、夜）。</w:t>
      </w:r>
    </w:p>
    <w:p w14:paraId="3EFD6BEE">
      <w:pPr>
        <w:pStyle w:val="4"/>
        <w:spacing w:line="360" w:lineRule="auto"/>
        <w:ind w:firstLine="643"/>
      </w:pPr>
      <w:r>
        <w:t>8</w:t>
      </w:r>
      <w:r>
        <w:rPr>
          <w:rFonts w:hint="eastAsia"/>
        </w:rPr>
        <w:t>.</w:t>
      </w:r>
      <w:r>
        <w:t>3</w:t>
      </w:r>
      <w:r>
        <w:rPr>
          <w:rFonts w:hint="eastAsia"/>
        </w:rPr>
        <w:t>.</w:t>
      </w:r>
      <w:r>
        <w:t xml:space="preserve">2 </w:t>
      </w:r>
      <w:r>
        <w:rPr>
          <w:rFonts w:hint="eastAsia"/>
        </w:rPr>
        <w:t>环境质量监测计划</w:t>
      </w:r>
    </w:p>
    <w:p w14:paraId="62A8A7BC">
      <w:pPr>
        <w:ind w:firstLine="480"/>
      </w:pPr>
      <w:r>
        <w:t>（1）地表水</w:t>
      </w:r>
    </w:p>
    <w:p w14:paraId="7B37BEEB">
      <w:pPr>
        <w:ind w:firstLine="480"/>
      </w:pPr>
      <w:r>
        <w:t>监测点位：地表水需要对采选区进行长期监测，共布设了2个长期监测断面，同 地表水环境现状监测点，分别位于沿岗河与陈大庄沟支流。</w:t>
      </w:r>
    </w:p>
    <w:p w14:paraId="24A44598">
      <w:pPr>
        <w:ind w:firstLine="480"/>
      </w:pPr>
      <w:r>
        <w:t>监测频次：每年1次。</w:t>
      </w:r>
    </w:p>
    <w:p w14:paraId="4D0E9463">
      <w:pPr>
        <w:ind w:firstLine="480"/>
      </w:pPr>
      <w:r>
        <w:t>监测项目：pH、COD、BOD</w:t>
      </w:r>
      <w:r>
        <w:rPr>
          <w:vertAlign w:val="subscript"/>
        </w:rPr>
        <w:t>5</w:t>
      </w:r>
      <w:r>
        <w:t>、氨氮、硝酸盐、氟化物（以F-计）、硫酸盐、砷、 铁、锰、镉、锌、铅、铜、六价铬、硫化物、溶解氧。</w:t>
      </w:r>
    </w:p>
    <w:p w14:paraId="435F6E56">
      <w:pPr>
        <w:ind w:firstLine="480"/>
      </w:pPr>
      <w:r>
        <w:t>（2）地下水</w:t>
      </w:r>
    </w:p>
    <w:p w14:paraId="3F18A0F3">
      <w:pPr>
        <w:ind w:firstLine="480"/>
      </w:pPr>
      <w:r>
        <w:t>监测布点：矿区周边布设9口水质、水位监测井（利用现有钻孔和民井），同地 下水现状监测点，以跟踪项目运行对周边地下水位、水质的影响。</w:t>
      </w:r>
    </w:p>
    <w:p w14:paraId="2EE35D99">
      <w:pPr>
        <w:ind w:firstLine="480"/>
      </w:pPr>
      <w:r>
        <w:t>监测项目：水位、pH、总硬度、氨氮、硝酸盐氮、亚硝酸盐、氟化物、砷、铁、 锰、镉、锌、铅、铜、六价铬、硫酸盐、细菌总数、总大肠菌群。</w:t>
      </w:r>
    </w:p>
    <w:p w14:paraId="638A8FD2">
      <w:pPr>
        <w:ind w:firstLine="480"/>
      </w:pPr>
      <w:r>
        <w:t>监测频次：每年1次。</w:t>
      </w:r>
    </w:p>
    <w:p w14:paraId="55BC51F1">
      <w:pPr>
        <w:ind w:firstLine="480"/>
      </w:pPr>
      <w:r>
        <w:t>（3）环境空气</w:t>
      </w:r>
    </w:p>
    <w:p w14:paraId="34A05E8C">
      <w:pPr>
        <w:ind w:firstLine="480"/>
      </w:pPr>
      <w:r>
        <w:rPr>
          <w:rFonts w:ascii="Cambria Math" w:hAnsi="Cambria Math" w:cs="Cambria Math"/>
        </w:rPr>
        <w:t>①</w:t>
      </w:r>
      <w:r>
        <w:t>监测点位：设置3个监测点位，分别为孟家前楼、王旮沓与腰庄。</w:t>
      </w:r>
    </w:p>
    <w:p w14:paraId="0757EC17">
      <w:pPr>
        <w:ind w:firstLine="480"/>
      </w:pPr>
      <w:r>
        <w:rPr>
          <w:rFonts w:ascii="Cambria Math" w:hAnsi="Cambria Math" w:cs="Cambria Math"/>
        </w:rPr>
        <w:t>②</w:t>
      </w:r>
      <w:r>
        <w:t>监测频次：每年1次。</w:t>
      </w:r>
    </w:p>
    <w:p w14:paraId="5308EFEB">
      <w:pPr>
        <w:ind w:firstLine="480"/>
      </w:pPr>
      <w:r>
        <w:rPr>
          <w:rFonts w:ascii="Cambria Math" w:hAnsi="Cambria Math" w:cs="Cambria Math"/>
        </w:rPr>
        <w:t>③</w:t>
      </w:r>
      <w:r>
        <w:t>监测项目：PM</w:t>
      </w:r>
      <w:r>
        <w:rPr>
          <w:vertAlign w:val="subscript"/>
        </w:rPr>
        <w:t>10</w:t>
      </w:r>
      <w:r>
        <w:t>。</w:t>
      </w:r>
    </w:p>
    <w:p w14:paraId="18E8E1BD">
      <w:pPr>
        <w:ind w:firstLine="480"/>
      </w:pPr>
      <w:r>
        <w:t>（4）声环境</w:t>
      </w:r>
    </w:p>
    <w:p w14:paraId="3928E18F">
      <w:pPr>
        <w:ind w:firstLine="480"/>
      </w:pPr>
      <w:r>
        <w:rPr>
          <w:rFonts w:ascii="Cambria Math" w:hAnsi="Cambria Math" w:cs="Cambria Math"/>
        </w:rPr>
        <w:t>①</w:t>
      </w:r>
      <w:r>
        <w:t>监测点位：设置2个监测点，分别为孟家前楼与薛圩。</w:t>
      </w:r>
    </w:p>
    <w:p w14:paraId="7061F2E1">
      <w:pPr>
        <w:ind w:firstLine="480"/>
      </w:pPr>
      <w:r>
        <w:rPr>
          <w:rFonts w:ascii="Cambria Math" w:hAnsi="Cambria Math" w:cs="Cambria Math"/>
        </w:rPr>
        <w:t>②</w:t>
      </w:r>
      <w:r>
        <w:t>监测频次：每年1次（昼、夜）。</w:t>
      </w:r>
    </w:p>
    <w:p w14:paraId="78AF89F6">
      <w:pPr>
        <w:ind w:firstLine="480"/>
      </w:pPr>
      <w:r>
        <w:rPr>
          <w:rFonts w:ascii="Cambria Math" w:hAnsi="Cambria Math" w:cs="Cambria Math"/>
        </w:rPr>
        <w:t>③</w:t>
      </w:r>
      <w:r>
        <w:t>监测项目：等效连续A声级。</w:t>
      </w:r>
    </w:p>
    <w:p w14:paraId="51FDC8CC">
      <w:pPr>
        <w:ind w:firstLine="480"/>
      </w:pPr>
      <w:r>
        <w:t>（5）土壤</w:t>
      </w:r>
    </w:p>
    <w:p w14:paraId="100D2E7A">
      <w:pPr>
        <w:ind w:firstLine="480"/>
      </w:pPr>
      <w:r>
        <w:rPr>
          <w:rFonts w:ascii="Cambria Math" w:hAnsi="Cambria Math" w:cs="Cambria Math"/>
        </w:rPr>
        <w:t>①</w:t>
      </w:r>
      <w:r>
        <w:t>监测点位：设置3个采样点位，分别为采选工业场地内浓缩池附近、工业场地 外农田、尾矿库附近农田。</w:t>
      </w:r>
    </w:p>
    <w:p w14:paraId="64BCB52A">
      <w:pPr>
        <w:ind w:firstLine="480"/>
      </w:pPr>
      <w:r>
        <w:rPr>
          <w:rFonts w:ascii="Cambria Math" w:hAnsi="Cambria Math" w:cs="Cambria Math"/>
        </w:rPr>
        <w:t>②</w:t>
      </w:r>
      <w:r>
        <w:t>取样深度：在0~0.2m 表层样采样。</w:t>
      </w:r>
    </w:p>
    <w:p w14:paraId="367F0AF6">
      <w:pPr>
        <w:ind w:firstLine="480"/>
      </w:pPr>
      <w:r>
        <w:rPr>
          <w:rFonts w:ascii="Cambria Math" w:hAnsi="Cambria Math" w:cs="Cambria Math"/>
        </w:rPr>
        <w:t>③</w:t>
      </w:r>
      <w:r>
        <w:t>监测频次：每年1次。</w:t>
      </w:r>
    </w:p>
    <w:p w14:paraId="42D45F20">
      <w:pPr>
        <w:ind w:firstLine="480"/>
      </w:pPr>
      <w:r>
        <w:rPr>
          <w:rFonts w:ascii="Cambria Math" w:hAnsi="Cambria Math" w:cs="Cambria Math"/>
        </w:rPr>
        <w:t>④</w:t>
      </w:r>
      <w:r>
        <w:t>监测项目：采选工业场地内监测项目为《土壤环境质量 建设用地土壤污染风 险管控标准（试行）》（GB 36600-2018）中45项因子，选厂外农田与尾矿库周边农田监测项目为《土壤环境质量 农用地土壤污染风险管控标准（试行） 》  （GB 15618-2018）中8项因子。</w:t>
      </w:r>
    </w:p>
    <w:p w14:paraId="63F03E9A">
      <w:pPr>
        <w:pStyle w:val="4"/>
        <w:spacing w:line="360" w:lineRule="auto"/>
        <w:ind w:firstLine="643"/>
      </w:pPr>
      <w:r>
        <w:t>8</w:t>
      </w:r>
      <w:r>
        <w:rPr>
          <w:rFonts w:hint="eastAsia"/>
        </w:rPr>
        <w:t>.</w:t>
      </w:r>
      <w:r>
        <w:t>3</w:t>
      </w:r>
      <w:r>
        <w:rPr>
          <w:rFonts w:hint="eastAsia"/>
        </w:rPr>
        <w:t>.</w:t>
      </w:r>
      <w:r>
        <w:t>3</w:t>
      </w:r>
      <w:r>
        <w:rPr>
          <w:rFonts w:hint="eastAsia"/>
        </w:rPr>
        <w:t>监测数据管理</w:t>
      </w:r>
    </w:p>
    <w:p w14:paraId="603F9084">
      <w:pPr>
        <w:ind w:firstLine="480"/>
      </w:pPr>
      <w:r>
        <w:rPr>
          <w:rFonts w:hint="eastAsia"/>
        </w:rPr>
        <w:t>企业应按照有关法律和《环境监测管理办法》等规定，建立企业监测制度，制定监测方案，并向当地环境保护行政主管部门和行业主管部门备案。对污染物排放状况及其对周边环境质量的影响开展自行监测，保存原始监测记录，并公布监测结果。</w:t>
      </w:r>
    </w:p>
    <w:p w14:paraId="7BE0439A">
      <w:pPr>
        <w:widowControl/>
        <w:spacing w:line="240" w:lineRule="auto"/>
        <w:ind w:firstLine="0" w:firstLineChars="0"/>
        <w:jc w:val="left"/>
      </w:pPr>
      <w:r>
        <w:br w:type="page"/>
      </w:r>
    </w:p>
    <w:p w14:paraId="6A7AF3F3">
      <w:pPr>
        <w:pStyle w:val="2"/>
        <w:ind w:firstLine="0" w:firstLineChars="0"/>
      </w:pPr>
      <w:bookmarkStart w:id="94" w:name="_Toc85213533"/>
      <w:r>
        <w:t xml:space="preserve">9 </w:t>
      </w:r>
      <w:r>
        <w:rPr>
          <w:rFonts w:hint="eastAsia"/>
        </w:rPr>
        <w:t>公众意见调查</w:t>
      </w:r>
      <w:bookmarkEnd w:id="94"/>
    </w:p>
    <w:p w14:paraId="09EDAEDC">
      <w:pPr>
        <w:pStyle w:val="3"/>
      </w:pPr>
      <w:bookmarkStart w:id="95" w:name="_Toc85213534"/>
      <w:r>
        <w:t>9</w:t>
      </w:r>
      <w:r>
        <w:rPr>
          <w:rFonts w:hint="eastAsia"/>
        </w:rPr>
        <w:t>.1</w:t>
      </w:r>
      <w:r>
        <w:t xml:space="preserve"> </w:t>
      </w:r>
      <w:r>
        <w:rPr>
          <w:rFonts w:hint="eastAsia"/>
        </w:rPr>
        <w:t>调查目的</w:t>
      </w:r>
      <w:bookmarkEnd w:id="95"/>
    </w:p>
    <w:p w14:paraId="7E59F1E1">
      <w:pPr>
        <w:ind w:firstLine="480"/>
      </w:pPr>
      <w:r>
        <w:rPr>
          <w:rFonts w:hint="eastAsia"/>
        </w:rPr>
        <w:t>为了客观反映工程建设对项目区周边的自然环境和社会环境产生的影响、充分了解受影响区域公众的意见和要求，本次公众意见调查对象为工程所在地可能受到影响的村民，并向当地环境保护管理部门了解工程的环境保护情况和公众投诉情况，充分考虑公众的意见和看法，起到公众监督的作用。</w:t>
      </w:r>
    </w:p>
    <w:p w14:paraId="5BA13B46">
      <w:pPr>
        <w:pStyle w:val="3"/>
      </w:pPr>
      <w:bookmarkStart w:id="96" w:name="_Toc85213535"/>
      <w:r>
        <w:t>9</w:t>
      </w:r>
      <w:r>
        <w:rPr>
          <w:rFonts w:hint="eastAsia"/>
        </w:rPr>
        <w:t>.</w:t>
      </w:r>
      <w:r>
        <w:t xml:space="preserve">2 </w:t>
      </w:r>
      <w:r>
        <w:rPr>
          <w:rFonts w:hint="eastAsia"/>
        </w:rPr>
        <w:t>调查方式及调查内容</w:t>
      </w:r>
      <w:bookmarkEnd w:id="96"/>
    </w:p>
    <w:p w14:paraId="22DDCFCD">
      <w:pPr>
        <w:ind w:firstLine="480"/>
      </w:pPr>
      <w:r>
        <w:rPr>
          <w:rFonts w:hint="eastAsia"/>
        </w:rPr>
        <w:t>根据《环境影响评价公众参与办法 生态环境部令 第4号》后评价公众参与调查方式为网络平台公开公示、报纸公示及在</w:t>
      </w:r>
      <w:r>
        <w:t>建设项目所在地公众易于知悉的场所张贴公告</w:t>
      </w:r>
      <w:r>
        <w:rPr>
          <w:rFonts w:hint="eastAsia"/>
        </w:rPr>
        <w:t>进行公示，2次公示时间均不少于1</w:t>
      </w:r>
      <w:r>
        <w:t>0</w:t>
      </w:r>
      <w:r>
        <w:rPr>
          <w:rFonts w:hint="eastAsia"/>
        </w:rPr>
        <w:t>个工作日。</w:t>
      </w:r>
    </w:p>
    <w:p w14:paraId="6AB2FEF1">
      <w:pPr>
        <w:pStyle w:val="3"/>
      </w:pPr>
      <w:bookmarkStart w:id="97" w:name="_Toc85213536"/>
      <w:r>
        <w:t>9</w:t>
      </w:r>
      <w:r>
        <w:rPr>
          <w:rFonts w:hint="eastAsia"/>
        </w:rPr>
        <w:t>.</w:t>
      </w:r>
      <w:r>
        <w:t xml:space="preserve">3 </w:t>
      </w:r>
      <w:r>
        <w:rPr>
          <w:rFonts w:hint="eastAsia"/>
        </w:rPr>
        <w:t>调查结果分析</w:t>
      </w:r>
      <w:bookmarkEnd w:id="97"/>
    </w:p>
    <w:p w14:paraId="6FEB45EE">
      <w:pPr>
        <w:pStyle w:val="4"/>
        <w:ind w:firstLine="643"/>
      </w:pPr>
      <w:r>
        <w:t>9</w:t>
      </w:r>
      <w:r>
        <w:rPr>
          <w:rFonts w:hint="eastAsia"/>
        </w:rPr>
        <w:t>.</w:t>
      </w:r>
      <w:r>
        <w:t>3</w:t>
      </w:r>
      <w:r>
        <w:rPr>
          <w:rFonts w:hint="eastAsia"/>
        </w:rPr>
        <w:t>.</w:t>
      </w:r>
      <w:r>
        <w:t xml:space="preserve">1 </w:t>
      </w:r>
      <w:r>
        <w:rPr>
          <w:rFonts w:hint="eastAsia"/>
        </w:rPr>
        <w:t>网络平台公示</w:t>
      </w:r>
    </w:p>
    <w:p w14:paraId="2FE6A842">
      <w:pPr>
        <w:ind w:firstLine="480"/>
      </w:pPr>
      <w:r>
        <w:rPr>
          <w:rFonts w:hint="eastAsia"/>
        </w:rPr>
        <w:t>根据《环境影响评价公众参与办法》（生态环境部令 第4号）第九条规定，建设单位应当在确定环境影响报告书编制单位后7个工作日内，通过其网站、建设项目所在地公共媒体网站或者建设项目所在地相关政府网站公开建设项目相关信息。本次后评价建设单位于2024年7月10日委托安徽长之源环境工程有限公司开展，2024年7月11日，安徽金安矿业有限公司确定环境影响评价单位后，在安徽金安矿业有限公司官方网站进行项目第一次网络公示（</w:t>
      </w:r>
      <w:r>
        <w:t>http://jamining.cn/display.php?id=91</w:t>
      </w:r>
      <w:r>
        <w:rPr>
          <w:rFonts w:hint="eastAsia"/>
        </w:rPr>
        <w:t>）。公开日期符合《环境影响评价公众参与暂行办法》要求。</w:t>
      </w:r>
    </w:p>
    <w:p w14:paraId="3ED1BBED">
      <w:pPr>
        <w:ind w:firstLine="480"/>
      </w:pPr>
      <w:r>
        <w:rPr>
          <w:rFonts w:hint="eastAsia"/>
        </w:rPr>
        <w:t>首次后评价信息公开的主要内容包括：</w:t>
      </w:r>
    </w:p>
    <w:p w14:paraId="0F2345AC">
      <w:pPr>
        <w:ind w:firstLine="480"/>
      </w:pPr>
      <w:r>
        <w:rPr>
          <w:rFonts w:hint="eastAsia"/>
        </w:rPr>
        <w:t>（1）项目名称及概要；</w:t>
      </w:r>
    </w:p>
    <w:p w14:paraId="57349167">
      <w:pPr>
        <w:ind w:firstLine="480"/>
      </w:pPr>
      <w:r>
        <w:rPr>
          <w:rFonts w:hint="eastAsia"/>
        </w:rPr>
        <w:t>（2）项目建设单位名称和联系方式；</w:t>
      </w:r>
    </w:p>
    <w:p w14:paraId="16BB05EB">
      <w:pPr>
        <w:ind w:firstLine="480"/>
        <w:rPr>
          <w:highlight w:val="yellow"/>
        </w:rPr>
      </w:pPr>
      <w:r>
        <w:rPr>
          <w:rFonts w:hint="eastAsia"/>
          <w:highlight w:val="yellow"/>
        </w:rPr>
        <w:t>（3）承担后评价工作的环境影响评价机构名称和联系方式；</w:t>
      </w:r>
    </w:p>
    <w:p w14:paraId="1FDED89F">
      <w:pPr>
        <w:ind w:firstLine="480"/>
        <w:rPr>
          <w:highlight w:val="yellow"/>
        </w:rPr>
      </w:pPr>
      <w:r>
        <w:rPr>
          <w:rFonts w:hint="eastAsia"/>
          <w:highlight w:val="yellow"/>
        </w:rPr>
        <w:t>（4）公众意见表下载的网络连接；</w:t>
      </w:r>
    </w:p>
    <w:p w14:paraId="432913D8">
      <w:pPr>
        <w:ind w:firstLine="480"/>
        <w:rPr>
          <w:highlight w:val="yellow"/>
        </w:rPr>
      </w:pPr>
      <w:r>
        <w:rPr>
          <w:rFonts w:hint="eastAsia"/>
          <w:highlight w:val="yellow"/>
        </w:rPr>
        <w:t>（5）提交公众意见表的方式和途径；</w:t>
      </w:r>
    </w:p>
    <w:p w14:paraId="19EB1545">
      <w:pPr>
        <w:ind w:firstLine="480"/>
        <w:rPr>
          <w:highlight w:val="yellow"/>
        </w:rPr>
      </w:pPr>
      <w:r>
        <w:rPr>
          <w:rFonts w:hint="eastAsia"/>
          <w:highlight w:val="yellow"/>
        </w:rPr>
        <w:t>（6）公示时间。</w:t>
      </w:r>
    </w:p>
    <w:p w14:paraId="6A9BBCB3">
      <w:pPr>
        <w:ind w:firstLine="480"/>
      </w:pPr>
      <w:r>
        <w:rPr>
          <w:rFonts w:hint="eastAsia"/>
          <w:highlight w:val="yellow"/>
        </w:rPr>
        <w:t>第一次公示截图如下所示：</w:t>
      </w:r>
    </w:p>
    <w:p w14:paraId="1066379B">
      <w:pPr>
        <w:ind w:firstLine="480"/>
      </w:pPr>
      <w:r>
        <w:drawing>
          <wp:inline distT="0" distB="0" distL="0" distR="0">
            <wp:extent cx="4750435" cy="8486775"/>
            <wp:effectExtent l="0" t="0" r="0" b="9525"/>
            <wp:docPr id="1440338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38130" name="图片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4750435" cy="8486775"/>
                    </a:xfrm>
                    <a:prstGeom prst="rect">
                      <a:avLst/>
                    </a:prstGeom>
                    <a:noFill/>
                    <a:ln>
                      <a:noFill/>
                    </a:ln>
                  </pic:spPr>
                </pic:pic>
              </a:graphicData>
            </a:graphic>
          </wp:inline>
        </w:drawing>
      </w:r>
    </w:p>
    <w:p w14:paraId="4BBB3996">
      <w:pPr>
        <w:ind w:firstLine="482"/>
        <w:jc w:val="center"/>
      </w:pPr>
      <w:r>
        <w:rPr>
          <w:rFonts w:hint="eastAsia"/>
          <w:b/>
        </w:rPr>
        <w:t>图9</w:t>
      </w:r>
      <w:r>
        <w:rPr>
          <w:b/>
        </w:rPr>
        <w:t>.3</w:t>
      </w:r>
      <w:r>
        <w:rPr>
          <w:rFonts w:hint="eastAsia"/>
          <w:b/>
        </w:rPr>
        <w:t>-1</w:t>
      </w:r>
      <w:r>
        <w:rPr>
          <w:b/>
        </w:rPr>
        <w:t xml:space="preserve">  </w:t>
      </w:r>
      <w:r>
        <w:rPr>
          <w:rFonts w:hint="eastAsia"/>
          <w:b/>
        </w:rPr>
        <w:t>网络第一次公示截图</w:t>
      </w:r>
    </w:p>
    <w:p w14:paraId="506594F9">
      <w:pPr>
        <w:ind w:firstLine="480"/>
      </w:pPr>
      <w:r>
        <w:t>202</w:t>
      </w:r>
      <w:r>
        <w:rPr>
          <w:rFonts w:hint="eastAsia"/>
        </w:rPr>
        <w:t>4年8月，安徽长之源环境工程有限公司完成了《安徽金安矿业有限公司草楼铁矿工程环境影响后评价（征求意见稿）》。依据《环境影响评价公众参与暂行办法》要求对环境影响后评价征求意见稿进行公示，于2024年8月14日在在安徽金安矿业有限公司官方网站进行征求意见稿信息公开</w:t>
      </w:r>
    </w:p>
    <w:p w14:paraId="6410EBE5">
      <w:pPr>
        <w:ind w:firstLine="480"/>
      </w:pPr>
      <w:r>
        <w:rPr>
          <w:rFonts w:hint="eastAsia"/>
        </w:rPr>
        <w:t>征求意见稿（第二次）信息公开的主要内容包括：</w:t>
      </w:r>
    </w:p>
    <w:p w14:paraId="7836AF6B">
      <w:pPr>
        <w:ind w:firstLine="480"/>
      </w:pPr>
      <w:r>
        <w:rPr>
          <w:rFonts w:hint="eastAsia"/>
        </w:rPr>
        <w:t>（1）项目简述；</w:t>
      </w:r>
    </w:p>
    <w:p w14:paraId="64F4860B">
      <w:pPr>
        <w:ind w:firstLine="480"/>
      </w:pPr>
      <w:r>
        <w:rPr>
          <w:rFonts w:hint="eastAsia"/>
        </w:rPr>
        <w:t>（2）项目对环境可能造成的影响概述；</w:t>
      </w:r>
    </w:p>
    <w:p w14:paraId="13C73CAD">
      <w:pPr>
        <w:ind w:firstLine="480"/>
      </w:pPr>
      <w:r>
        <w:rPr>
          <w:rFonts w:hint="eastAsia"/>
        </w:rPr>
        <w:t>（3）预防或减轻不良环境影响的对策和措施的要点；</w:t>
      </w:r>
    </w:p>
    <w:p w14:paraId="5D6F62CE">
      <w:pPr>
        <w:ind w:firstLine="480"/>
      </w:pPr>
      <w:r>
        <w:rPr>
          <w:rFonts w:hint="eastAsia"/>
        </w:rPr>
        <w:t>（4）环境影响评价结论要点；</w:t>
      </w:r>
    </w:p>
    <w:p w14:paraId="152E6E40">
      <w:pPr>
        <w:ind w:firstLine="480"/>
      </w:pPr>
      <w:r>
        <w:rPr>
          <w:rFonts w:hint="eastAsia"/>
        </w:rPr>
        <w:t>（5）公众查阅本项目环境相关资料的联系方式和期限；</w:t>
      </w:r>
    </w:p>
    <w:p w14:paraId="314858EE">
      <w:pPr>
        <w:ind w:firstLine="480"/>
      </w:pPr>
      <w:r>
        <w:rPr>
          <w:rFonts w:hint="eastAsia"/>
        </w:rPr>
        <w:t>（6）征求意见的公众范围和主要事项；</w:t>
      </w:r>
    </w:p>
    <w:p w14:paraId="3F886778">
      <w:pPr>
        <w:ind w:firstLine="480"/>
      </w:pPr>
      <w:r>
        <w:rPr>
          <w:rFonts w:hint="eastAsia"/>
        </w:rPr>
        <w:t>（7）公众提出意见的主要方式。</w:t>
      </w:r>
    </w:p>
    <w:p w14:paraId="2F723516">
      <w:pPr>
        <w:ind w:firstLine="480"/>
      </w:pPr>
      <w:r>
        <w:rPr>
          <w:rFonts w:hint="eastAsia"/>
        </w:rPr>
        <w:t>信息公开后，安徽金安矿业有限公司和环评单位通过电话、电子邮件和信函等形式，接受公众咨询，记录公众的意见、联系方式等，并按规定反馈意见的处理情况。</w:t>
      </w:r>
    </w:p>
    <w:p w14:paraId="4B6B5E97">
      <w:pPr>
        <w:ind w:firstLine="480"/>
      </w:pPr>
      <w:r>
        <w:rPr>
          <w:rFonts w:hint="eastAsia"/>
        </w:rPr>
        <w:t>第二次公示截图如下所示：</w:t>
      </w:r>
    </w:p>
    <w:p w14:paraId="508B0CEC">
      <w:pPr>
        <w:ind w:firstLine="480"/>
      </w:pPr>
    </w:p>
    <w:p w14:paraId="79BF00B9">
      <w:pPr>
        <w:pStyle w:val="4"/>
      </w:pPr>
      <w:r>
        <w:t>9</w:t>
      </w:r>
      <w:r>
        <w:rPr>
          <w:rFonts w:hint="eastAsia"/>
        </w:rPr>
        <w:t>.</w:t>
      </w:r>
      <w:r>
        <w:t>3</w:t>
      </w:r>
      <w:r>
        <w:rPr>
          <w:rFonts w:hint="eastAsia"/>
        </w:rPr>
        <w:t>.</w:t>
      </w:r>
      <w:r>
        <w:t xml:space="preserve">2 </w:t>
      </w:r>
      <w:r>
        <w:rPr>
          <w:rFonts w:hint="eastAsia"/>
        </w:rPr>
        <w:t>报纸公示</w:t>
      </w:r>
    </w:p>
    <w:p w14:paraId="535F7452">
      <w:pPr>
        <w:ind w:firstLine="480"/>
      </w:pPr>
      <w:r>
        <w:rPr>
          <w:rFonts w:hint="eastAsia"/>
          <w:highlight w:val="yellow"/>
        </w:rPr>
        <w:t>安徽金安矿业有限公司依据《环境影响评价公众参与暂行办法》要求，对环境影响报告书征求意见稿在网络公示后进行了报纸公示后，分别于2024年  月   日、2024年  月  日在《安徽日报》上刊登了该项目征求意见稿相关公示材料</w:t>
      </w:r>
      <w:r>
        <w:t xml:space="preserve"> </w:t>
      </w:r>
    </w:p>
    <w:p w14:paraId="1E3DC3EE">
      <w:pPr>
        <w:pStyle w:val="4"/>
      </w:pPr>
      <w:r>
        <w:t>9</w:t>
      </w:r>
      <w:r>
        <w:rPr>
          <w:rFonts w:hint="eastAsia"/>
        </w:rPr>
        <w:t>.</w:t>
      </w:r>
      <w:r>
        <w:t>3</w:t>
      </w:r>
      <w:r>
        <w:rPr>
          <w:rFonts w:hint="eastAsia"/>
        </w:rPr>
        <w:t>.</w:t>
      </w:r>
      <w:r>
        <w:t xml:space="preserve">3 </w:t>
      </w:r>
      <w:r>
        <w:rPr>
          <w:rFonts w:hint="eastAsia"/>
        </w:rPr>
        <w:t>张贴公示</w:t>
      </w:r>
    </w:p>
    <w:p w14:paraId="42923610">
      <w:pPr>
        <w:ind w:firstLine="480"/>
      </w:pPr>
      <w:r>
        <w:rPr>
          <w:rFonts w:hint="eastAsia"/>
        </w:rPr>
        <w:t>根据《环境影响评价公众参与办法》（生态环境部令 第4号）中有关程序及要求，本次后评价征求意见稿形成之后，同步在项目后评价范围内村委会、村庄等公告栏或公众易于知悉的场所张贴信息公告，且持续公开期限不少于10个工作日。</w:t>
      </w:r>
    </w:p>
    <w:p w14:paraId="7E30CAEA">
      <w:pPr>
        <w:pStyle w:val="4"/>
      </w:pPr>
      <w:r>
        <w:t>9</w:t>
      </w:r>
      <w:r>
        <w:rPr>
          <w:rFonts w:hint="eastAsia"/>
        </w:rPr>
        <w:t>.</w:t>
      </w:r>
      <w:r>
        <w:t>3</w:t>
      </w:r>
      <w:r>
        <w:rPr>
          <w:rFonts w:hint="eastAsia"/>
        </w:rPr>
        <w:t>.</w:t>
      </w:r>
      <w:r>
        <w:t xml:space="preserve">4 </w:t>
      </w:r>
      <w:r>
        <w:rPr>
          <w:rFonts w:hint="eastAsia"/>
        </w:rPr>
        <w:t>查阅情况</w:t>
      </w:r>
    </w:p>
    <w:p w14:paraId="30E581AC">
      <w:pPr>
        <w:ind w:firstLine="480"/>
      </w:pPr>
      <w:r>
        <w:rPr>
          <w:rFonts w:hint="eastAsia"/>
        </w:rPr>
        <w:t>本次后评价征求意见稿形成之后通过网络、报纸和张贴的方式对查阅方式进行了公示，在环评单位安徽长之源环境工程有限公司及安徽金安矿业有限公司均可查阅项目纸质报告。主要查阅方式为寄送或现场查阅。</w:t>
      </w:r>
    </w:p>
    <w:p w14:paraId="6FAC7754">
      <w:pPr>
        <w:pStyle w:val="3"/>
      </w:pPr>
      <w:bookmarkStart w:id="98" w:name="_Toc85213537"/>
      <w:r>
        <w:t>9</w:t>
      </w:r>
      <w:r>
        <w:rPr>
          <w:rFonts w:hint="eastAsia"/>
        </w:rPr>
        <w:t>.</w:t>
      </w:r>
      <w:r>
        <w:t xml:space="preserve">4 </w:t>
      </w:r>
      <w:r>
        <w:rPr>
          <w:rFonts w:hint="eastAsia"/>
        </w:rPr>
        <w:t>公众意见采纳情况</w:t>
      </w:r>
      <w:bookmarkEnd w:id="98"/>
    </w:p>
    <w:p w14:paraId="466AB52C">
      <w:pPr>
        <w:ind w:firstLine="480"/>
      </w:pPr>
      <w:r>
        <w:rPr>
          <w:rFonts w:hint="eastAsia"/>
        </w:rPr>
        <w:t>本次后评价公众参与调查工作，在项目建设地点当地官方网站——霍邱县人民政府网站上进行了两次公示，在《安徽日报》进行了两次公示，在当地村委会公告栏或公众易于知悉的场所进行了10个工作日的张贴公示。公示期间建设单位和后评价单位未收到任何形式的公众意见，</w:t>
      </w:r>
      <w:r>
        <w:rPr>
          <w:rFonts w:hint="eastAsia" w:hAnsi="宋体"/>
          <w:szCs w:val="24"/>
          <w:lang w:val="en"/>
        </w:rPr>
        <w:t>项目公示所涉及到的报纸原件、网页打印材料、公众参与调查表原件等材料均在建设单位进行了存档，以供以后备查。</w:t>
      </w:r>
    </w:p>
    <w:p w14:paraId="1AC32F6E">
      <w:pPr>
        <w:ind w:firstLine="480"/>
      </w:pPr>
    </w:p>
    <w:p w14:paraId="59A1BB4F">
      <w:pPr>
        <w:widowControl/>
        <w:spacing w:line="240" w:lineRule="auto"/>
        <w:ind w:firstLine="0" w:firstLineChars="0"/>
        <w:jc w:val="left"/>
      </w:pPr>
      <w:r>
        <w:br w:type="page"/>
      </w:r>
    </w:p>
    <w:p w14:paraId="2C9BB592">
      <w:pPr>
        <w:pStyle w:val="2"/>
        <w:ind w:firstLine="0" w:firstLineChars="0"/>
      </w:pPr>
      <w:bookmarkStart w:id="99" w:name="_Toc85213538"/>
      <w:r>
        <w:t xml:space="preserve">10 </w:t>
      </w:r>
      <w:r>
        <w:rPr>
          <w:rFonts w:hint="eastAsia"/>
        </w:rPr>
        <w:t>后评价结论与建议</w:t>
      </w:r>
      <w:bookmarkEnd w:id="99"/>
    </w:p>
    <w:p w14:paraId="7B1B3767">
      <w:pPr>
        <w:pStyle w:val="3"/>
      </w:pPr>
      <w:bookmarkStart w:id="100" w:name="_Toc85213539"/>
      <w:r>
        <w:rPr>
          <w:rFonts w:hint="eastAsia"/>
        </w:rPr>
        <w:t>1</w:t>
      </w:r>
      <w:r>
        <w:t xml:space="preserve">0.1 </w:t>
      </w:r>
      <w:r>
        <w:rPr>
          <w:rFonts w:hint="eastAsia"/>
        </w:rPr>
        <w:t>结论</w:t>
      </w:r>
      <w:bookmarkEnd w:id="100"/>
    </w:p>
    <w:p w14:paraId="3ABD68B8">
      <w:pPr>
        <w:pStyle w:val="4"/>
      </w:pPr>
      <w:r>
        <w:t>10</w:t>
      </w:r>
      <w:r>
        <w:rPr>
          <w:rFonts w:hint="eastAsia"/>
        </w:rPr>
        <w:t>.</w:t>
      </w:r>
      <w:r>
        <w:t>1</w:t>
      </w:r>
      <w:r>
        <w:rPr>
          <w:rFonts w:hint="eastAsia"/>
        </w:rPr>
        <w:t>.</w:t>
      </w:r>
      <w:r>
        <w:t xml:space="preserve">1 </w:t>
      </w:r>
      <w:r>
        <w:rPr>
          <w:rFonts w:hint="eastAsia"/>
        </w:rPr>
        <w:t>工程概况</w:t>
      </w:r>
    </w:p>
    <w:p w14:paraId="317366D6">
      <w:pPr>
        <w:ind w:firstLine="480"/>
        <w:rPr>
          <w:rFonts w:ascii="宋体" w:cs="宋体"/>
          <w:kern w:val="0"/>
          <w:szCs w:val="24"/>
        </w:rPr>
      </w:pPr>
      <w:r>
        <w:rPr>
          <w:rFonts w:ascii="宋体" w:cs="宋体"/>
          <w:kern w:val="0"/>
          <w:szCs w:val="24"/>
        </w:rPr>
        <w:t>草楼铁矿隶属安徽金安矿业有限公司，草楼铁矿采选工程设计规模 300 万 t/a， 铁矿矿石中铁主要以磁铁矿形式存在，经破碎筛分后直接进入一段球磨机进行磨矿 作业。</w:t>
      </w:r>
    </w:p>
    <w:p w14:paraId="0F33D486">
      <w:pPr>
        <w:ind w:firstLine="480"/>
      </w:pPr>
      <w:r>
        <w:rPr>
          <w:rFonts w:hint="eastAsia"/>
        </w:rPr>
        <w:t>草楼铁矿工程已完成环评、验收等相关环保手续，项目的性质、规模、地点未发生变化，</w:t>
      </w:r>
      <w:r>
        <w:rPr>
          <w:rFonts w:hint="eastAsia" w:ascii="宋体" w:cs="宋体"/>
          <w:kern w:val="0"/>
          <w:szCs w:val="24"/>
        </w:rPr>
        <w:t>进一步改进粉尘污染控制措施，提高粉尘处理效率，降低粉尘排放浓度和排放量；同时取消了燃煤锅炉的使用，进一步减少了</w:t>
      </w:r>
      <w:r>
        <w:rPr>
          <w:rFonts w:cs="Times New Roman" w:eastAsiaTheme="minorEastAsia"/>
          <w:kern w:val="0"/>
          <w:szCs w:val="24"/>
        </w:rPr>
        <w:t>SO</w:t>
      </w:r>
      <w:r>
        <w:rPr>
          <w:rFonts w:cs="Times New Roman" w:eastAsiaTheme="minorEastAsia"/>
          <w:kern w:val="0"/>
          <w:sz w:val="16"/>
          <w:szCs w:val="16"/>
        </w:rPr>
        <w:t xml:space="preserve">2 </w:t>
      </w:r>
      <w:r>
        <w:rPr>
          <w:rFonts w:hint="eastAsia" w:ascii="宋体" w:cs="宋体"/>
          <w:kern w:val="0"/>
          <w:szCs w:val="24"/>
        </w:rPr>
        <w:t>和</w:t>
      </w:r>
      <w:r>
        <w:rPr>
          <w:rFonts w:cs="Times New Roman" w:eastAsiaTheme="minorEastAsia"/>
          <w:kern w:val="0"/>
          <w:szCs w:val="24"/>
        </w:rPr>
        <w:t>NO</w:t>
      </w:r>
      <w:r>
        <w:rPr>
          <w:rFonts w:cs="Times New Roman" w:eastAsiaTheme="minorEastAsia"/>
          <w:kern w:val="0"/>
          <w:sz w:val="16"/>
          <w:szCs w:val="16"/>
        </w:rPr>
        <w:t xml:space="preserve">x </w:t>
      </w:r>
      <w:r>
        <w:rPr>
          <w:rFonts w:hint="eastAsia" w:ascii="宋体" w:cs="宋体"/>
          <w:kern w:val="0"/>
          <w:szCs w:val="24"/>
        </w:rPr>
        <w:t>的排放，</w:t>
      </w:r>
      <w:r>
        <w:rPr>
          <w:rFonts w:hint="eastAsia"/>
        </w:rPr>
        <w:t>提高资源利用效率，不会导致环境影响显著变化（特别是不利环境影响加重），项目不属于重大变动。</w:t>
      </w:r>
    </w:p>
    <w:p w14:paraId="06E06DDC">
      <w:pPr>
        <w:pStyle w:val="4"/>
      </w:pPr>
      <w:r>
        <w:t>10</w:t>
      </w:r>
      <w:r>
        <w:rPr>
          <w:rFonts w:hint="eastAsia"/>
        </w:rPr>
        <w:t>.</w:t>
      </w:r>
      <w:r>
        <w:t xml:space="preserve">1.2 </w:t>
      </w:r>
      <w:r>
        <w:rPr>
          <w:rFonts w:hint="eastAsia"/>
        </w:rPr>
        <w:t>区域环境变化</w:t>
      </w:r>
    </w:p>
    <w:p w14:paraId="5795C70D">
      <w:pPr>
        <w:ind w:firstLine="482"/>
        <w:rPr>
          <w:b/>
          <w:bCs/>
        </w:rPr>
      </w:pPr>
      <w:r>
        <w:rPr>
          <w:b/>
          <w:bCs/>
        </w:rPr>
        <w:t>10.1.2</w:t>
      </w:r>
      <w:r>
        <w:rPr>
          <w:rFonts w:hint="eastAsia"/>
          <w:b/>
          <w:bCs/>
        </w:rPr>
        <w:t>.</w:t>
      </w:r>
      <w:r>
        <w:rPr>
          <w:b/>
          <w:bCs/>
        </w:rPr>
        <w:t xml:space="preserve">1 </w:t>
      </w:r>
      <w:r>
        <w:rPr>
          <w:rFonts w:hint="eastAsia"/>
          <w:b/>
          <w:bCs/>
        </w:rPr>
        <w:t>环境敏感目标变化</w:t>
      </w:r>
    </w:p>
    <w:p w14:paraId="238D82D2">
      <w:pPr>
        <w:ind w:firstLine="480"/>
      </w:pPr>
      <w:r>
        <w:rPr>
          <w:rFonts w:hint="eastAsia"/>
        </w:rPr>
        <w:t>根据与变更环评阶段环境保护目标的比较，环境空气、地下水环境、声环境保护目标基本未变。</w:t>
      </w:r>
    </w:p>
    <w:p w14:paraId="68110D8A">
      <w:pPr>
        <w:ind w:firstLine="482"/>
        <w:rPr>
          <w:b/>
          <w:bCs/>
        </w:rPr>
      </w:pPr>
      <w:r>
        <w:rPr>
          <w:b/>
          <w:bCs/>
        </w:rPr>
        <w:t xml:space="preserve">10.1.2.2 </w:t>
      </w:r>
      <w:r>
        <w:rPr>
          <w:rFonts w:hint="eastAsia"/>
          <w:b/>
          <w:bCs/>
        </w:rPr>
        <w:t>区域污染源变化</w:t>
      </w:r>
    </w:p>
    <w:p w14:paraId="19584431">
      <w:pPr>
        <w:autoSpaceDE w:val="0"/>
        <w:autoSpaceDN w:val="0"/>
        <w:adjustRightInd w:val="0"/>
        <w:ind w:firstLine="480"/>
        <w:jc w:val="left"/>
        <w:rPr>
          <w:rFonts w:ascii="宋体" w:cs="宋体"/>
          <w:kern w:val="0"/>
          <w:szCs w:val="24"/>
        </w:rPr>
      </w:pPr>
      <w:r>
        <w:rPr>
          <w:rFonts w:hint="eastAsia" w:ascii="宋体" w:cs="宋体"/>
          <w:kern w:val="0"/>
          <w:szCs w:val="24"/>
        </w:rPr>
        <w:t>与环评及验收阶段相比，后评价阶段废气污染物排放量减少，主要是进一步改进粉尘污染控制措施，提高粉尘处理效率，降低粉尘排放浓度和排放量。同时取消了选矿厂的燃煤锅炉的使用，进一步减少了</w:t>
      </w:r>
      <w:r>
        <w:rPr>
          <w:rFonts w:cs="Times New Roman" w:eastAsiaTheme="minorEastAsia"/>
          <w:kern w:val="0"/>
          <w:szCs w:val="24"/>
        </w:rPr>
        <w:t>SO</w:t>
      </w:r>
      <w:r>
        <w:rPr>
          <w:rFonts w:cs="Times New Roman" w:eastAsiaTheme="minorEastAsia"/>
          <w:kern w:val="0"/>
          <w:sz w:val="16"/>
          <w:szCs w:val="16"/>
        </w:rPr>
        <w:t xml:space="preserve">2 </w:t>
      </w:r>
      <w:r>
        <w:rPr>
          <w:rFonts w:hint="eastAsia" w:ascii="宋体" w:cs="宋体"/>
          <w:kern w:val="0"/>
          <w:szCs w:val="24"/>
        </w:rPr>
        <w:t>和</w:t>
      </w:r>
      <w:r>
        <w:rPr>
          <w:rFonts w:cs="Times New Roman" w:eastAsiaTheme="minorEastAsia"/>
          <w:kern w:val="0"/>
          <w:szCs w:val="24"/>
        </w:rPr>
        <w:t>NO</w:t>
      </w:r>
      <w:r>
        <w:rPr>
          <w:rFonts w:cs="Times New Roman" w:eastAsiaTheme="minorEastAsia"/>
          <w:kern w:val="0"/>
          <w:sz w:val="16"/>
          <w:szCs w:val="16"/>
        </w:rPr>
        <w:t xml:space="preserve">x </w:t>
      </w:r>
      <w:r>
        <w:rPr>
          <w:rFonts w:hint="eastAsia" w:ascii="宋体" w:cs="宋体"/>
          <w:kern w:val="0"/>
          <w:szCs w:val="24"/>
        </w:rPr>
        <w:t>的排放。</w:t>
      </w:r>
    </w:p>
    <w:p w14:paraId="155296A1">
      <w:pPr>
        <w:ind w:firstLine="482"/>
        <w:rPr>
          <w:b/>
          <w:bCs/>
        </w:rPr>
      </w:pPr>
      <w:r>
        <w:rPr>
          <w:b/>
          <w:bCs/>
        </w:rPr>
        <w:t xml:space="preserve">10.1.2.3 </w:t>
      </w:r>
      <w:r>
        <w:rPr>
          <w:rFonts w:hint="eastAsia"/>
          <w:b/>
          <w:bCs/>
        </w:rPr>
        <w:t>环境质量现状与趋势评价</w:t>
      </w:r>
    </w:p>
    <w:p w14:paraId="1C6948E6">
      <w:pPr>
        <w:autoSpaceDE w:val="0"/>
        <w:autoSpaceDN w:val="0"/>
        <w:adjustRightInd w:val="0"/>
        <w:ind w:firstLine="480"/>
        <w:jc w:val="left"/>
        <w:rPr>
          <w:rFonts w:ascii="宋体" w:cs="宋体"/>
          <w:kern w:val="0"/>
          <w:szCs w:val="24"/>
        </w:rPr>
      </w:pPr>
      <w:r>
        <w:rPr>
          <w:rFonts w:hint="eastAsia" w:ascii="宋体" w:cs="宋体"/>
          <w:kern w:val="0"/>
          <w:szCs w:val="24"/>
        </w:rPr>
        <w:t>（</w:t>
      </w:r>
      <w:r>
        <w:rPr>
          <w:rFonts w:ascii="宋体" w:cs="宋体"/>
          <w:kern w:val="0"/>
          <w:szCs w:val="24"/>
        </w:rPr>
        <w:t>1</w:t>
      </w:r>
      <w:r>
        <w:rPr>
          <w:rFonts w:hint="eastAsia" w:ascii="宋体" w:cs="宋体"/>
          <w:kern w:val="0"/>
          <w:szCs w:val="24"/>
        </w:rPr>
        <w:t>）大气环境质量现状</w:t>
      </w:r>
    </w:p>
    <w:p w14:paraId="7609DC91">
      <w:pPr>
        <w:autoSpaceDE w:val="0"/>
        <w:autoSpaceDN w:val="0"/>
        <w:adjustRightInd w:val="0"/>
        <w:ind w:firstLine="480"/>
        <w:jc w:val="left"/>
        <w:rPr>
          <w:rFonts w:ascii="宋体" w:cs="宋体"/>
          <w:kern w:val="0"/>
          <w:szCs w:val="24"/>
        </w:rPr>
      </w:pPr>
      <w:r>
        <w:rPr>
          <w:rFonts w:hint="eastAsia" w:ascii="宋体" w:cs="宋体"/>
          <w:kern w:val="0"/>
          <w:szCs w:val="24"/>
        </w:rPr>
        <w:t>区域环境空气</w:t>
      </w:r>
      <w:r>
        <w:rPr>
          <w:rFonts w:cs="Times New Roman"/>
          <w:kern w:val="0"/>
          <w:szCs w:val="24"/>
        </w:rPr>
        <w:t>质量判定为不达标区，通过对企业周边敏感点环境空气质量的监测，敏感点环境空气满足《环境空气质量标准》（GB3096-</w:t>
      </w:r>
      <w:r>
        <w:rPr>
          <w:rFonts w:hint="eastAsia" w:cs="Times New Roman"/>
          <w:kern w:val="0"/>
          <w:szCs w:val="24"/>
        </w:rPr>
        <w:t>2012</w:t>
      </w:r>
      <w:r>
        <w:rPr>
          <w:rFonts w:cs="Times New Roman"/>
          <w:kern w:val="0"/>
          <w:szCs w:val="24"/>
        </w:rPr>
        <w:t>）中二级标准要求。根据监测数据对比结果可知，项目区域周边敏感点环境空气质量有所好</w:t>
      </w:r>
      <w:r>
        <w:rPr>
          <w:rFonts w:hint="eastAsia" w:ascii="宋体" w:cs="宋体"/>
          <w:kern w:val="0"/>
          <w:szCs w:val="24"/>
        </w:rPr>
        <w:t>转，环境空气污染物指标呈现下降趋势。</w:t>
      </w:r>
    </w:p>
    <w:p w14:paraId="735FAD52">
      <w:pPr>
        <w:autoSpaceDE w:val="0"/>
        <w:autoSpaceDN w:val="0"/>
        <w:adjustRightInd w:val="0"/>
        <w:ind w:firstLine="480"/>
        <w:jc w:val="left"/>
        <w:rPr>
          <w:rFonts w:ascii="宋体" w:cs="宋体"/>
          <w:kern w:val="0"/>
          <w:szCs w:val="24"/>
        </w:rPr>
      </w:pPr>
      <w:r>
        <w:rPr>
          <w:rFonts w:hint="eastAsia" w:ascii="宋体" w:cs="宋体"/>
          <w:kern w:val="0"/>
          <w:szCs w:val="24"/>
        </w:rPr>
        <w:t>（</w:t>
      </w:r>
      <w:r>
        <w:rPr>
          <w:rFonts w:ascii="宋体" w:cs="宋体"/>
          <w:kern w:val="0"/>
          <w:szCs w:val="24"/>
        </w:rPr>
        <w:t>2</w:t>
      </w:r>
      <w:r>
        <w:rPr>
          <w:rFonts w:hint="eastAsia" w:ascii="宋体" w:cs="宋体"/>
          <w:kern w:val="0"/>
          <w:szCs w:val="24"/>
        </w:rPr>
        <w:t>）地表水环境质量现状</w:t>
      </w:r>
    </w:p>
    <w:p w14:paraId="2085A1C6">
      <w:pPr>
        <w:autoSpaceDE w:val="0"/>
        <w:autoSpaceDN w:val="0"/>
        <w:adjustRightInd w:val="0"/>
        <w:ind w:firstLine="480"/>
        <w:jc w:val="left"/>
        <w:rPr>
          <w:rFonts w:ascii="宋体" w:cs="宋体"/>
          <w:kern w:val="0"/>
          <w:szCs w:val="24"/>
        </w:rPr>
      </w:pPr>
      <w:r>
        <w:rPr>
          <w:rFonts w:hint="eastAsia" w:ascii="宋体" w:cs="宋体"/>
          <w:kern w:val="0"/>
          <w:szCs w:val="24"/>
        </w:rPr>
        <w:t>与变更环评和验收阶段时相比，后评价阶段地表水各监测因子监测值变化不明显，区域地表水水质未发生明显改变。</w:t>
      </w:r>
    </w:p>
    <w:p w14:paraId="72494914">
      <w:pPr>
        <w:autoSpaceDE w:val="0"/>
        <w:autoSpaceDN w:val="0"/>
        <w:adjustRightInd w:val="0"/>
        <w:ind w:firstLine="480"/>
        <w:jc w:val="left"/>
        <w:rPr>
          <w:rFonts w:ascii="宋体" w:cs="宋体"/>
          <w:kern w:val="0"/>
          <w:szCs w:val="24"/>
        </w:rPr>
      </w:pPr>
      <w:r>
        <w:rPr>
          <w:rFonts w:hint="eastAsia" w:ascii="宋体" w:cs="宋体"/>
          <w:kern w:val="0"/>
          <w:szCs w:val="24"/>
        </w:rPr>
        <w:t>（</w:t>
      </w:r>
      <w:r>
        <w:rPr>
          <w:rFonts w:ascii="宋体" w:cs="宋体"/>
          <w:kern w:val="0"/>
          <w:szCs w:val="24"/>
        </w:rPr>
        <w:t>3</w:t>
      </w:r>
      <w:r>
        <w:rPr>
          <w:rFonts w:hint="eastAsia" w:ascii="宋体" w:cs="宋体"/>
          <w:kern w:val="0"/>
          <w:szCs w:val="24"/>
        </w:rPr>
        <w:t>）声环境质量现状</w:t>
      </w:r>
    </w:p>
    <w:p w14:paraId="3E552B83">
      <w:pPr>
        <w:autoSpaceDE w:val="0"/>
        <w:autoSpaceDN w:val="0"/>
        <w:adjustRightInd w:val="0"/>
        <w:ind w:firstLine="480"/>
        <w:jc w:val="left"/>
        <w:rPr>
          <w:rFonts w:ascii="宋体" w:cs="宋体"/>
          <w:kern w:val="0"/>
          <w:szCs w:val="24"/>
        </w:rPr>
      </w:pPr>
      <w:r>
        <w:rPr>
          <w:rFonts w:hint="eastAsia" w:ascii="宋体" w:cs="宋体"/>
          <w:kern w:val="0"/>
          <w:szCs w:val="24"/>
        </w:rPr>
        <w:t>项目周边声环境敏感点监测值能满足《声环境质量标准》（</w:t>
      </w:r>
      <w:r>
        <w:rPr>
          <w:rFonts w:ascii="宋体" w:cs="宋体"/>
          <w:kern w:val="0"/>
          <w:szCs w:val="24"/>
        </w:rPr>
        <w:t>GB3095-2008</w:t>
      </w:r>
      <w:r>
        <w:rPr>
          <w:rFonts w:hint="eastAsia" w:ascii="宋体" w:cs="宋体"/>
          <w:kern w:val="0"/>
          <w:szCs w:val="24"/>
        </w:rPr>
        <w:t>）有关标准要求。</w:t>
      </w:r>
    </w:p>
    <w:p w14:paraId="6E958942">
      <w:pPr>
        <w:pStyle w:val="4"/>
      </w:pPr>
      <w:r>
        <w:t xml:space="preserve">10.1.3 </w:t>
      </w:r>
      <w:r>
        <w:rPr>
          <w:rFonts w:hint="eastAsia"/>
        </w:rPr>
        <w:t>环境保护措施有效性分析</w:t>
      </w:r>
    </w:p>
    <w:p w14:paraId="79BFA188">
      <w:pPr>
        <w:autoSpaceDE w:val="0"/>
        <w:autoSpaceDN w:val="0"/>
        <w:adjustRightInd w:val="0"/>
        <w:ind w:firstLine="482"/>
        <w:jc w:val="left"/>
        <w:rPr>
          <w:rFonts w:cs="Times New Roman"/>
          <w:b/>
          <w:bCs/>
          <w:kern w:val="0"/>
          <w:szCs w:val="24"/>
        </w:rPr>
      </w:pPr>
      <w:r>
        <w:rPr>
          <w:rFonts w:cs="Times New Roman"/>
          <w:b/>
          <w:bCs/>
          <w:kern w:val="0"/>
          <w:szCs w:val="24"/>
        </w:rPr>
        <w:t>10.1.3.1 生态保护措施有效性</w:t>
      </w:r>
    </w:p>
    <w:p w14:paraId="1C7E0717">
      <w:pPr>
        <w:autoSpaceDE w:val="0"/>
        <w:autoSpaceDN w:val="0"/>
        <w:adjustRightInd w:val="0"/>
        <w:ind w:firstLine="480"/>
        <w:jc w:val="left"/>
        <w:rPr>
          <w:rFonts w:cs="Times New Roman"/>
          <w:kern w:val="0"/>
          <w:szCs w:val="24"/>
        </w:rPr>
      </w:pPr>
      <w:r>
        <w:rPr>
          <w:rFonts w:cs="Times New Roman"/>
          <w:kern w:val="0"/>
          <w:szCs w:val="24"/>
        </w:rPr>
        <w:t>项目已采取的生态环保保护措施是有效的，但需要进一步完善保护措施，将项目运行对生态环境的影响降至最低。</w:t>
      </w:r>
    </w:p>
    <w:p w14:paraId="29E2CE94">
      <w:pPr>
        <w:autoSpaceDE w:val="0"/>
        <w:autoSpaceDN w:val="0"/>
        <w:adjustRightInd w:val="0"/>
        <w:ind w:firstLine="482"/>
        <w:jc w:val="left"/>
        <w:rPr>
          <w:rFonts w:cs="Times New Roman"/>
          <w:b/>
          <w:bCs/>
          <w:kern w:val="0"/>
          <w:szCs w:val="24"/>
        </w:rPr>
      </w:pPr>
      <w:r>
        <w:rPr>
          <w:rFonts w:cs="Times New Roman"/>
          <w:b/>
          <w:bCs/>
          <w:kern w:val="0"/>
          <w:szCs w:val="24"/>
        </w:rPr>
        <w:t>10.1.3.2 地下水保护措施有效性</w:t>
      </w:r>
    </w:p>
    <w:p w14:paraId="6F4C123D">
      <w:pPr>
        <w:autoSpaceDE w:val="0"/>
        <w:autoSpaceDN w:val="0"/>
        <w:adjustRightInd w:val="0"/>
        <w:ind w:firstLine="480"/>
        <w:jc w:val="left"/>
        <w:rPr>
          <w:rFonts w:ascii="宋体" w:cs="宋体"/>
          <w:kern w:val="0"/>
          <w:szCs w:val="24"/>
        </w:rPr>
      </w:pPr>
      <w:r>
        <w:rPr>
          <w:rFonts w:hint="eastAsia" w:ascii="宋体" w:cs="宋体"/>
          <w:kern w:val="0"/>
          <w:szCs w:val="24"/>
        </w:rPr>
        <w:t>与变更环评时相比，地下水质变化不大，水位埋深变浅，说明项目采取的地下水保护措施是有效的。</w:t>
      </w:r>
    </w:p>
    <w:p w14:paraId="64FE5490">
      <w:pPr>
        <w:autoSpaceDE w:val="0"/>
        <w:autoSpaceDN w:val="0"/>
        <w:adjustRightInd w:val="0"/>
        <w:ind w:firstLine="482"/>
        <w:jc w:val="left"/>
        <w:rPr>
          <w:rFonts w:cs="Times New Roman"/>
          <w:b/>
          <w:bCs/>
          <w:kern w:val="0"/>
          <w:szCs w:val="24"/>
        </w:rPr>
      </w:pPr>
      <w:r>
        <w:rPr>
          <w:rFonts w:cs="Times New Roman"/>
          <w:b/>
          <w:bCs/>
          <w:kern w:val="0"/>
          <w:szCs w:val="24"/>
        </w:rPr>
        <w:t xml:space="preserve">10.1.3.4 </w:t>
      </w:r>
      <w:r>
        <w:rPr>
          <w:rFonts w:hint="eastAsia" w:cs="Times New Roman"/>
          <w:b/>
          <w:bCs/>
          <w:kern w:val="0"/>
          <w:szCs w:val="24"/>
        </w:rPr>
        <w:t>水污染防治设施有效性</w:t>
      </w:r>
    </w:p>
    <w:p w14:paraId="544552A9">
      <w:pPr>
        <w:autoSpaceDE w:val="0"/>
        <w:autoSpaceDN w:val="0"/>
        <w:adjustRightInd w:val="0"/>
        <w:ind w:firstLine="480"/>
        <w:jc w:val="left"/>
        <w:rPr>
          <w:rFonts w:ascii="宋体" w:cs="宋体"/>
          <w:kern w:val="0"/>
          <w:szCs w:val="24"/>
        </w:rPr>
      </w:pPr>
      <w:r>
        <w:rPr>
          <w:rFonts w:hint="eastAsia" w:ascii="宋体" w:cs="宋体"/>
          <w:kern w:val="0"/>
          <w:szCs w:val="24"/>
        </w:rPr>
        <w:t>项目的废水能够满足排放标准要求，在厂区内进行了回用，不外排，项目采取的水污染防治设施是有效的。</w:t>
      </w:r>
    </w:p>
    <w:p w14:paraId="0280F165">
      <w:pPr>
        <w:autoSpaceDE w:val="0"/>
        <w:autoSpaceDN w:val="0"/>
        <w:adjustRightInd w:val="0"/>
        <w:ind w:firstLine="482"/>
        <w:jc w:val="left"/>
        <w:rPr>
          <w:rFonts w:cs="Times New Roman"/>
          <w:b/>
          <w:bCs/>
          <w:kern w:val="0"/>
          <w:szCs w:val="24"/>
        </w:rPr>
      </w:pPr>
      <w:r>
        <w:rPr>
          <w:rFonts w:cs="Times New Roman"/>
          <w:b/>
          <w:bCs/>
          <w:kern w:val="0"/>
          <w:szCs w:val="24"/>
        </w:rPr>
        <w:t xml:space="preserve">10.1.3.5 </w:t>
      </w:r>
      <w:r>
        <w:rPr>
          <w:rFonts w:hint="eastAsia" w:cs="Times New Roman"/>
          <w:b/>
          <w:bCs/>
          <w:kern w:val="0"/>
          <w:szCs w:val="24"/>
        </w:rPr>
        <w:t>声环境污染防治设施有效性</w:t>
      </w:r>
    </w:p>
    <w:p w14:paraId="0BEDB384">
      <w:pPr>
        <w:autoSpaceDE w:val="0"/>
        <w:autoSpaceDN w:val="0"/>
        <w:adjustRightInd w:val="0"/>
        <w:ind w:firstLine="480"/>
        <w:jc w:val="left"/>
        <w:rPr>
          <w:rFonts w:ascii="宋体" w:cs="宋体"/>
          <w:kern w:val="0"/>
          <w:szCs w:val="24"/>
        </w:rPr>
      </w:pPr>
      <w:r>
        <w:rPr>
          <w:rFonts w:hint="eastAsia" w:ascii="宋体" w:cs="宋体"/>
          <w:kern w:val="0"/>
          <w:szCs w:val="24"/>
        </w:rPr>
        <w:t>正常生产期间，选矿厂的厂界噪声能够满足噪声排放标准要求，说明采取的噪声污染防治措施是有效的。</w:t>
      </w:r>
    </w:p>
    <w:p w14:paraId="390C96F6">
      <w:pPr>
        <w:autoSpaceDE w:val="0"/>
        <w:autoSpaceDN w:val="0"/>
        <w:adjustRightInd w:val="0"/>
        <w:ind w:firstLine="482"/>
        <w:jc w:val="left"/>
        <w:rPr>
          <w:rFonts w:cs="Times New Roman"/>
          <w:b/>
          <w:bCs/>
          <w:kern w:val="0"/>
          <w:szCs w:val="24"/>
        </w:rPr>
      </w:pPr>
      <w:r>
        <w:rPr>
          <w:rFonts w:cs="Times New Roman"/>
          <w:b/>
          <w:bCs/>
          <w:kern w:val="0"/>
          <w:szCs w:val="24"/>
        </w:rPr>
        <w:t xml:space="preserve">10.1.3.6 </w:t>
      </w:r>
      <w:r>
        <w:rPr>
          <w:rFonts w:hint="eastAsia" w:cs="Times New Roman"/>
          <w:b/>
          <w:bCs/>
          <w:kern w:val="0"/>
          <w:szCs w:val="24"/>
        </w:rPr>
        <w:t>固体废物处置措施有效性</w:t>
      </w:r>
    </w:p>
    <w:p w14:paraId="367E1870">
      <w:pPr>
        <w:autoSpaceDE w:val="0"/>
        <w:autoSpaceDN w:val="0"/>
        <w:adjustRightInd w:val="0"/>
        <w:ind w:firstLine="480"/>
        <w:jc w:val="left"/>
        <w:rPr>
          <w:rFonts w:ascii="宋体" w:cs="宋体"/>
          <w:kern w:val="0"/>
          <w:szCs w:val="24"/>
        </w:rPr>
      </w:pPr>
      <w:r>
        <w:rPr>
          <w:rFonts w:ascii="宋体" w:cs="宋体"/>
          <w:kern w:val="0"/>
          <w:szCs w:val="24"/>
        </w:rPr>
        <w:t>项目采掘废石和干选废石全部外售给建材企业供综合利用；尾砂经浓密机浓缩 后用于井下充填，剩余少量尾砂排放到尾矿库；废矿物油、废包装桶</w:t>
      </w:r>
      <w:r>
        <w:rPr>
          <w:rFonts w:hint="eastAsia" w:ascii="宋体" w:cs="宋体"/>
          <w:kern w:val="0"/>
          <w:szCs w:val="24"/>
        </w:rPr>
        <w:t>、</w:t>
      </w:r>
      <w:r>
        <w:rPr>
          <w:rFonts w:ascii="宋体" w:cs="宋体"/>
          <w:kern w:val="0"/>
          <w:szCs w:val="24"/>
        </w:rPr>
        <w:t>废化学试剂、废化学试剂暂存于危废库内，定期交由有资质单位处理；生活垃圾收集后委托当地环卫部门统一处理。</w:t>
      </w:r>
    </w:p>
    <w:p w14:paraId="34679809">
      <w:pPr>
        <w:autoSpaceDE w:val="0"/>
        <w:autoSpaceDN w:val="0"/>
        <w:adjustRightInd w:val="0"/>
        <w:ind w:firstLine="480"/>
        <w:jc w:val="left"/>
        <w:rPr>
          <w:rFonts w:hint="eastAsia" w:ascii="宋体" w:hAnsi="宋体" w:cs="宋体"/>
          <w:spacing w:val="12"/>
          <w:sz w:val="23"/>
          <w:szCs w:val="23"/>
        </w:rPr>
      </w:pPr>
      <w:r>
        <w:rPr>
          <w:rFonts w:ascii="宋体" w:cs="宋体"/>
          <w:kern w:val="0"/>
          <w:szCs w:val="24"/>
        </w:rPr>
        <w:t>项目产生的固体废物均得到了有效的处理处置，处置措施有效。但需要进一步 完善保护措施。</w:t>
      </w:r>
    </w:p>
    <w:p w14:paraId="67EFE403">
      <w:pPr>
        <w:autoSpaceDE w:val="0"/>
        <w:autoSpaceDN w:val="0"/>
        <w:adjustRightInd w:val="0"/>
        <w:ind w:firstLine="482"/>
        <w:jc w:val="left"/>
        <w:rPr>
          <w:rFonts w:cs="Times New Roman"/>
          <w:b/>
          <w:bCs/>
          <w:kern w:val="0"/>
          <w:szCs w:val="24"/>
        </w:rPr>
      </w:pPr>
      <w:r>
        <w:rPr>
          <w:rFonts w:cs="Times New Roman"/>
          <w:b/>
          <w:bCs/>
          <w:kern w:val="0"/>
          <w:szCs w:val="24"/>
        </w:rPr>
        <w:t>1</w:t>
      </w:r>
      <w:r>
        <w:rPr>
          <w:rFonts w:hint="eastAsia" w:cs="Times New Roman"/>
          <w:b/>
          <w:bCs/>
          <w:kern w:val="0"/>
          <w:szCs w:val="24"/>
        </w:rPr>
        <w:t>0</w:t>
      </w:r>
      <w:r>
        <w:rPr>
          <w:rFonts w:cs="Times New Roman"/>
          <w:b/>
          <w:bCs/>
          <w:kern w:val="0"/>
          <w:szCs w:val="24"/>
        </w:rPr>
        <w:t xml:space="preserve">.1.3.7 </w:t>
      </w:r>
      <w:r>
        <w:rPr>
          <w:rFonts w:hint="eastAsia" w:cs="Times New Roman"/>
          <w:b/>
          <w:bCs/>
          <w:kern w:val="0"/>
          <w:szCs w:val="24"/>
        </w:rPr>
        <w:t>环境风险防范措施有效性</w:t>
      </w:r>
    </w:p>
    <w:p w14:paraId="1BCA1891">
      <w:pPr>
        <w:autoSpaceDE w:val="0"/>
        <w:autoSpaceDN w:val="0"/>
        <w:adjustRightInd w:val="0"/>
        <w:ind w:firstLine="480"/>
        <w:jc w:val="left"/>
        <w:rPr>
          <w:rFonts w:ascii="宋体" w:cs="宋体"/>
          <w:kern w:val="0"/>
          <w:szCs w:val="24"/>
        </w:rPr>
      </w:pPr>
      <w:r>
        <w:rPr>
          <w:rFonts w:hint="eastAsia" w:ascii="宋体" w:cs="宋体"/>
          <w:kern w:val="0"/>
          <w:szCs w:val="24"/>
        </w:rPr>
        <w:t>公司制定了应急预案，并同时在六安市霍邱县生态环境分局备案；成立了突发环境事件应急救援指挥部和应急救援小组；对尾矿库安全环境管理建配备专职管理人员。项目采取的环境风险防范措施是有效的，但需要加强对设施的维护管理。</w:t>
      </w:r>
    </w:p>
    <w:p w14:paraId="08096917">
      <w:pPr>
        <w:pStyle w:val="4"/>
      </w:pPr>
      <w:r>
        <w:t xml:space="preserve">10.1.4 </w:t>
      </w:r>
      <w:r>
        <w:rPr>
          <w:rFonts w:hint="eastAsia"/>
        </w:rPr>
        <w:t>环境影响预测验证</w:t>
      </w:r>
    </w:p>
    <w:p w14:paraId="6C114A3B">
      <w:pPr>
        <w:autoSpaceDE w:val="0"/>
        <w:autoSpaceDN w:val="0"/>
        <w:adjustRightInd w:val="0"/>
        <w:ind w:firstLine="482"/>
        <w:jc w:val="left"/>
        <w:rPr>
          <w:rFonts w:cs="Times New Roman"/>
          <w:b/>
          <w:bCs/>
          <w:kern w:val="0"/>
          <w:szCs w:val="24"/>
        </w:rPr>
      </w:pPr>
      <w:r>
        <w:rPr>
          <w:rFonts w:cs="Times New Roman"/>
          <w:b/>
          <w:bCs/>
          <w:kern w:val="0"/>
          <w:szCs w:val="24"/>
        </w:rPr>
        <w:t>10.1.4.1 生态环境影响预测验证</w:t>
      </w:r>
    </w:p>
    <w:p w14:paraId="042C57F5">
      <w:pPr>
        <w:autoSpaceDE w:val="0"/>
        <w:autoSpaceDN w:val="0"/>
        <w:adjustRightInd w:val="0"/>
        <w:ind w:firstLine="480"/>
        <w:jc w:val="left"/>
        <w:rPr>
          <w:rFonts w:cs="Times New Roman"/>
          <w:kern w:val="0"/>
          <w:szCs w:val="24"/>
        </w:rPr>
      </w:pPr>
      <w:r>
        <w:rPr>
          <w:rFonts w:cs="Times New Roman"/>
          <w:kern w:val="0"/>
          <w:szCs w:val="24"/>
        </w:rPr>
        <w:t>项目生态环境现状与环评阶段对生态环境影响的分析基本一致，目前主要问题是尾矿库的矿坝绿化</w:t>
      </w:r>
      <w:r>
        <w:rPr>
          <w:rFonts w:hint="eastAsia" w:cs="Times New Roman"/>
          <w:kern w:val="0"/>
          <w:szCs w:val="24"/>
        </w:rPr>
        <w:t>需进一步加强</w:t>
      </w:r>
      <w:r>
        <w:rPr>
          <w:rFonts w:cs="Times New Roman"/>
          <w:kern w:val="0"/>
          <w:szCs w:val="24"/>
        </w:rPr>
        <w:t>、库区干滩区域会产生风沙扬尘，为进一步减少项目对生态环境的影响，需进一步对尾矿库提出改进措施。</w:t>
      </w:r>
    </w:p>
    <w:p w14:paraId="3437125E">
      <w:pPr>
        <w:autoSpaceDE w:val="0"/>
        <w:autoSpaceDN w:val="0"/>
        <w:adjustRightInd w:val="0"/>
        <w:ind w:firstLine="482"/>
        <w:jc w:val="left"/>
        <w:rPr>
          <w:rFonts w:cs="Times New Roman"/>
          <w:b/>
          <w:bCs/>
          <w:kern w:val="0"/>
          <w:szCs w:val="24"/>
        </w:rPr>
      </w:pPr>
      <w:r>
        <w:rPr>
          <w:rFonts w:cs="Times New Roman"/>
          <w:b/>
          <w:bCs/>
          <w:kern w:val="0"/>
          <w:szCs w:val="24"/>
        </w:rPr>
        <w:t>10.1.4.2 地下水环境影响预测验证</w:t>
      </w:r>
    </w:p>
    <w:p w14:paraId="572F51E1">
      <w:pPr>
        <w:autoSpaceDE w:val="0"/>
        <w:autoSpaceDN w:val="0"/>
        <w:adjustRightInd w:val="0"/>
        <w:ind w:firstLine="480"/>
        <w:jc w:val="left"/>
        <w:rPr>
          <w:rFonts w:cs="Times New Roman"/>
          <w:kern w:val="0"/>
          <w:szCs w:val="24"/>
        </w:rPr>
      </w:pPr>
      <w:r>
        <w:rPr>
          <w:rFonts w:cs="Times New Roman"/>
          <w:kern w:val="0"/>
          <w:szCs w:val="24"/>
        </w:rPr>
        <w:t>项目对周边地下水的影响情况与环评阶段对地下水环境影响的分析基本一致。目前主要问题是需要加强对周边地下水水位的定期监测，以进一步了解区域地下水水位变化情况，为地下水环境保护提供更多依据。</w:t>
      </w:r>
    </w:p>
    <w:p w14:paraId="4D64F895">
      <w:pPr>
        <w:autoSpaceDE w:val="0"/>
        <w:autoSpaceDN w:val="0"/>
        <w:adjustRightInd w:val="0"/>
        <w:ind w:firstLine="482"/>
        <w:jc w:val="left"/>
        <w:rPr>
          <w:rFonts w:cs="Times New Roman"/>
          <w:b/>
          <w:bCs/>
          <w:kern w:val="0"/>
          <w:szCs w:val="24"/>
        </w:rPr>
      </w:pPr>
      <w:r>
        <w:rPr>
          <w:rFonts w:cs="Times New Roman"/>
          <w:b/>
          <w:bCs/>
          <w:kern w:val="0"/>
          <w:szCs w:val="24"/>
        </w:rPr>
        <w:t>10.1.4.3 大气环境影响预测验证</w:t>
      </w:r>
    </w:p>
    <w:p w14:paraId="05F2F837">
      <w:pPr>
        <w:autoSpaceDE w:val="0"/>
        <w:autoSpaceDN w:val="0"/>
        <w:adjustRightInd w:val="0"/>
        <w:ind w:firstLine="480"/>
        <w:jc w:val="left"/>
        <w:rPr>
          <w:rFonts w:cs="Times New Roman"/>
          <w:kern w:val="0"/>
          <w:szCs w:val="24"/>
        </w:rPr>
      </w:pPr>
      <w:r>
        <w:rPr>
          <w:rFonts w:cs="Times New Roman"/>
          <w:kern w:val="0"/>
          <w:szCs w:val="24"/>
        </w:rPr>
        <w:t>目对周边环境空气的影响情况与环评阶段的预测分析基本一致，项目的开采开采及选矿活动不会对大气环境质量造成明显不利影响。</w:t>
      </w:r>
    </w:p>
    <w:p w14:paraId="55291B96">
      <w:pPr>
        <w:autoSpaceDE w:val="0"/>
        <w:autoSpaceDN w:val="0"/>
        <w:adjustRightInd w:val="0"/>
        <w:ind w:firstLine="482"/>
        <w:jc w:val="left"/>
        <w:rPr>
          <w:rFonts w:cs="Times New Roman"/>
          <w:b/>
          <w:bCs/>
          <w:kern w:val="0"/>
          <w:szCs w:val="24"/>
        </w:rPr>
      </w:pPr>
      <w:r>
        <w:rPr>
          <w:rFonts w:cs="Times New Roman"/>
          <w:b/>
          <w:bCs/>
          <w:kern w:val="0"/>
          <w:szCs w:val="24"/>
        </w:rPr>
        <w:t>10.1.4.4 地表水环境影响预测验证</w:t>
      </w:r>
    </w:p>
    <w:p w14:paraId="6A7CE1C1">
      <w:pPr>
        <w:autoSpaceDE w:val="0"/>
        <w:autoSpaceDN w:val="0"/>
        <w:adjustRightInd w:val="0"/>
        <w:ind w:firstLine="480"/>
        <w:jc w:val="left"/>
        <w:rPr>
          <w:rFonts w:cs="Times New Roman"/>
          <w:kern w:val="0"/>
          <w:szCs w:val="24"/>
        </w:rPr>
      </w:pPr>
      <w:r>
        <w:rPr>
          <w:rFonts w:cs="Times New Roman"/>
          <w:kern w:val="0"/>
          <w:szCs w:val="24"/>
        </w:rPr>
        <w:t>项目实际正常运行过程中不进行废水排放，可以实现废水在厂区的循环使用，项目对地表水的影响情况与环评阶段的预测分析基本一致。</w:t>
      </w:r>
    </w:p>
    <w:p w14:paraId="53ED89EB">
      <w:pPr>
        <w:autoSpaceDE w:val="0"/>
        <w:autoSpaceDN w:val="0"/>
        <w:adjustRightInd w:val="0"/>
        <w:ind w:firstLine="482"/>
        <w:jc w:val="left"/>
        <w:rPr>
          <w:rFonts w:cs="Times New Roman"/>
          <w:b/>
          <w:bCs/>
          <w:kern w:val="0"/>
          <w:szCs w:val="24"/>
        </w:rPr>
      </w:pPr>
      <w:r>
        <w:rPr>
          <w:rFonts w:cs="Times New Roman"/>
          <w:b/>
          <w:bCs/>
          <w:kern w:val="0"/>
          <w:szCs w:val="24"/>
        </w:rPr>
        <w:t>10.1.4.5 声环境影响预测验证</w:t>
      </w:r>
    </w:p>
    <w:p w14:paraId="19F48D3A">
      <w:pPr>
        <w:autoSpaceDE w:val="0"/>
        <w:autoSpaceDN w:val="0"/>
        <w:adjustRightInd w:val="0"/>
        <w:ind w:firstLine="480"/>
        <w:jc w:val="left"/>
        <w:rPr>
          <w:rFonts w:cs="Times New Roman"/>
          <w:kern w:val="0"/>
          <w:szCs w:val="24"/>
        </w:rPr>
      </w:pPr>
      <w:r>
        <w:rPr>
          <w:rFonts w:cs="Times New Roman"/>
          <w:kern w:val="0"/>
          <w:szCs w:val="24"/>
        </w:rPr>
        <w:t>项目对区域声环境的影响情况与环评阶段的预测分析基本一致，项目的开采及选矿活动不会对声环境质量造成明显不利影响。</w:t>
      </w:r>
    </w:p>
    <w:p w14:paraId="48A1CD1B">
      <w:pPr>
        <w:autoSpaceDE w:val="0"/>
        <w:autoSpaceDN w:val="0"/>
        <w:adjustRightInd w:val="0"/>
        <w:ind w:firstLine="482"/>
        <w:jc w:val="left"/>
        <w:rPr>
          <w:rFonts w:cs="Times New Roman"/>
          <w:b/>
          <w:bCs/>
          <w:kern w:val="0"/>
          <w:szCs w:val="24"/>
        </w:rPr>
      </w:pPr>
      <w:r>
        <w:rPr>
          <w:rFonts w:cs="Times New Roman"/>
          <w:b/>
          <w:bCs/>
          <w:kern w:val="0"/>
          <w:szCs w:val="24"/>
        </w:rPr>
        <w:t>10.1.4.6 固体废物环境影响预测验证</w:t>
      </w:r>
    </w:p>
    <w:p w14:paraId="0D452CB0">
      <w:pPr>
        <w:autoSpaceDE w:val="0"/>
        <w:autoSpaceDN w:val="0"/>
        <w:adjustRightInd w:val="0"/>
        <w:ind w:firstLine="480"/>
        <w:jc w:val="left"/>
        <w:rPr>
          <w:rFonts w:cs="Times New Roman"/>
          <w:kern w:val="0"/>
          <w:szCs w:val="24"/>
        </w:rPr>
      </w:pPr>
      <w:r>
        <w:rPr>
          <w:rFonts w:hint="eastAsia" w:cs="Times New Roman"/>
          <w:kern w:val="0"/>
          <w:szCs w:val="24"/>
        </w:rPr>
        <w:t>加强对生产的巡查，做到矿石不落地，减少固废的堆放产生的环境影响。</w:t>
      </w:r>
    </w:p>
    <w:p w14:paraId="7342B0D5">
      <w:pPr>
        <w:autoSpaceDE w:val="0"/>
        <w:autoSpaceDN w:val="0"/>
        <w:adjustRightInd w:val="0"/>
        <w:ind w:firstLine="482"/>
        <w:jc w:val="left"/>
        <w:rPr>
          <w:rFonts w:cs="Times New Roman"/>
          <w:b/>
          <w:bCs/>
          <w:kern w:val="0"/>
          <w:szCs w:val="24"/>
        </w:rPr>
      </w:pPr>
      <w:r>
        <w:rPr>
          <w:rFonts w:cs="Times New Roman"/>
          <w:b/>
          <w:bCs/>
          <w:kern w:val="0"/>
          <w:szCs w:val="24"/>
        </w:rPr>
        <w:t xml:space="preserve">10.1.5.6 </w:t>
      </w:r>
      <w:r>
        <w:rPr>
          <w:rFonts w:hint="eastAsia" w:cs="Times New Roman"/>
          <w:b/>
          <w:bCs/>
          <w:kern w:val="0"/>
          <w:szCs w:val="24"/>
        </w:rPr>
        <w:t>环境风险防范补救方案和改进措施</w:t>
      </w:r>
    </w:p>
    <w:p w14:paraId="67B69ADB">
      <w:pPr>
        <w:autoSpaceDE w:val="0"/>
        <w:autoSpaceDN w:val="0"/>
        <w:adjustRightInd w:val="0"/>
        <w:ind w:firstLine="480"/>
        <w:jc w:val="left"/>
        <w:rPr>
          <w:rFonts w:cs="Times New Roman"/>
          <w:kern w:val="0"/>
          <w:szCs w:val="24"/>
        </w:rPr>
      </w:pPr>
      <w:r>
        <w:rPr>
          <w:rFonts w:hint="eastAsia" w:cs="Times New Roman"/>
          <w:kern w:val="0"/>
          <w:szCs w:val="24"/>
        </w:rPr>
        <w:t>定期开展环境污染突发事故应急演练，根据演练结果，及时对应急预案进行修改，提高应急预案的可操作性和科学合理性。</w:t>
      </w:r>
    </w:p>
    <w:p w14:paraId="1D1C9E3D">
      <w:pPr>
        <w:pStyle w:val="4"/>
      </w:pPr>
      <w:r>
        <w:t xml:space="preserve">10.1.6 </w:t>
      </w:r>
      <w:r>
        <w:rPr>
          <w:rFonts w:hint="eastAsia"/>
        </w:rPr>
        <w:t>综合结论</w:t>
      </w:r>
    </w:p>
    <w:p w14:paraId="751A2F45">
      <w:pPr>
        <w:autoSpaceDE w:val="0"/>
        <w:autoSpaceDN w:val="0"/>
        <w:adjustRightInd w:val="0"/>
        <w:ind w:firstLine="480"/>
        <w:jc w:val="left"/>
        <w:rPr>
          <w:rFonts w:cs="Times New Roman"/>
          <w:kern w:val="0"/>
          <w:szCs w:val="24"/>
        </w:rPr>
      </w:pPr>
      <w:r>
        <w:rPr>
          <w:rFonts w:cs="Times New Roman"/>
          <w:kern w:val="0"/>
          <w:szCs w:val="24"/>
        </w:rPr>
        <w:t>对照安徽金安矿业有限公司草楼铁矿</w:t>
      </w:r>
      <w:r>
        <w:rPr>
          <w:rFonts w:hint="eastAsia" w:cs="Times New Roman"/>
          <w:kern w:val="0"/>
          <w:szCs w:val="24"/>
        </w:rPr>
        <w:t>各</w:t>
      </w:r>
      <w:r>
        <w:rPr>
          <w:rFonts w:cs="Times New Roman"/>
          <w:kern w:val="0"/>
          <w:szCs w:val="24"/>
        </w:rPr>
        <w:t>工程环评及其批复要求、 验收及其批复要求，后评价通过分析区域环境质量变化、环保措施有效性、环境影 响预测验证等，得出项目区域环境功能未发生变化；项目生产中落实的环境保护措 施是有效的，符合环境保护管理要求；项目实际运行产生的环境影响与环评预测结果基本一致。针对存在的环境问题提出了补救方案和改进措施，通过补救方案和改进措施的实施，可以进一步降低项目生产对周边环境的影响，为环境管理提供建议 和依据。</w:t>
      </w:r>
    </w:p>
    <w:p w14:paraId="089469F9">
      <w:pPr>
        <w:pStyle w:val="3"/>
      </w:pPr>
      <w:bookmarkStart w:id="101" w:name="_Toc85213540"/>
      <w:r>
        <w:t xml:space="preserve">10.2 </w:t>
      </w:r>
      <w:r>
        <w:rPr>
          <w:rFonts w:hint="eastAsia"/>
        </w:rPr>
        <w:t>建议</w:t>
      </w:r>
      <w:bookmarkEnd w:id="101"/>
    </w:p>
    <w:p w14:paraId="7EF136E2">
      <w:pPr>
        <w:autoSpaceDE w:val="0"/>
        <w:autoSpaceDN w:val="0"/>
        <w:adjustRightInd w:val="0"/>
        <w:ind w:firstLine="480"/>
        <w:jc w:val="left"/>
        <w:rPr>
          <w:rFonts w:cs="Times New Roman"/>
          <w:kern w:val="0"/>
          <w:szCs w:val="24"/>
        </w:rPr>
      </w:pPr>
      <w:r>
        <w:rPr>
          <w:rFonts w:cs="Times New Roman"/>
          <w:kern w:val="0"/>
          <w:szCs w:val="24"/>
        </w:rPr>
        <w:t>（1）建设单位应认真贯彻执行有关建设项目环境保护管理文件的精神，建立健 全各项环保规章制度，严格执行“三同时”。</w:t>
      </w:r>
    </w:p>
    <w:p w14:paraId="06D36A8D">
      <w:pPr>
        <w:autoSpaceDE w:val="0"/>
        <w:autoSpaceDN w:val="0"/>
        <w:adjustRightInd w:val="0"/>
        <w:ind w:firstLine="480"/>
        <w:jc w:val="left"/>
        <w:rPr>
          <w:rFonts w:cs="Times New Roman"/>
          <w:kern w:val="0"/>
          <w:szCs w:val="24"/>
        </w:rPr>
      </w:pPr>
      <w:r>
        <w:rPr>
          <w:rFonts w:cs="Times New Roman"/>
          <w:kern w:val="0"/>
          <w:szCs w:val="24"/>
        </w:rPr>
        <w:t>（2）加强生产设施及污染防治设施运行的管理，定期对污染防治设施进行保养 检修，确保污染物达标排放，避免污染事故发生。</w:t>
      </w:r>
    </w:p>
    <w:p w14:paraId="77AB4CCE">
      <w:pPr>
        <w:autoSpaceDE w:val="0"/>
        <w:autoSpaceDN w:val="0"/>
        <w:adjustRightInd w:val="0"/>
        <w:ind w:firstLine="480"/>
        <w:jc w:val="left"/>
        <w:rPr>
          <w:rFonts w:cs="Times New Roman"/>
          <w:kern w:val="0"/>
          <w:szCs w:val="24"/>
        </w:rPr>
      </w:pPr>
      <w:r>
        <w:rPr>
          <w:rFonts w:cs="Times New Roman"/>
          <w:kern w:val="0"/>
          <w:szCs w:val="24"/>
        </w:rPr>
        <w:t>（3）完善管理机制，强化企业职工自身的环保意识。环境管理专职人员应落实、 检查环保设施的运行状况，保证装置长期、安全、稳定运行，配合当地环保部门做 好本厂的环境管理、验收、监督和检查工作。</w:t>
      </w:r>
    </w:p>
    <w:p w14:paraId="01AE73C6">
      <w:pPr>
        <w:autoSpaceDE w:val="0"/>
        <w:autoSpaceDN w:val="0"/>
        <w:adjustRightInd w:val="0"/>
        <w:ind w:firstLine="480"/>
        <w:jc w:val="left"/>
        <w:rPr>
          <w:rFonts w:cs="Times New Roman"/>
          <w:kern w:val="0"/>
          <w:szCs w:val="24"/>
        </w:rPr>
      </w:pPr>
      <w:r>
        <w:rPr>
          <w:rFonts w:cs="Times New Roman"/>
          <w:kern w:val="0"/>
          <w:szCs w:val="24"/>
        </w:rPr>
        <w:t>（4）做好风险应急演练，提高风险防范能力，确保区域环境安全。</w:t>
      </w:r>
    </w:p>
    <w:p w14:paraId="0D5B13D5">
      <w:pPr>
        <w:ind w:firstLine="480"/>
        <w:rPr>
          <w:rFonts w:cs="Calibri"/>
          <w:szCs w:val="24"/>
        </w:rPr>
      </w:pPr>
    </w:p>
    <w:bookmarkEnd w:id="102"/>
    <w:sectPr>
      <w:pgSz w:w="11906" w:h="16838"/>
      <w:pgMar w:top="1440" w:right="1797" w:bottom="1440" w:left="1797" w:header="851" w:footer="992" w:gutter="0"/>
      <w:cols w:space="425"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font>
  <w:font w:name="Courier New">
    <w:panose1 w:val="02070309020205020404"/>
    <w:charset w:val="00"/>
    <w:family w:val="modern"/>
    <w:pitch w:val="default"/>
    <w:sig w:usb0="E0002EFF" w:usb1="C0007843" w:usb2="00000009" w:usb3="00000000" w:csb0="400001FF" w:csb1="FFFF0000"/>
  </w:font>
  <w:font w:name="仿宋_GB2312">
    <w:altName w:val="仿宋"/>
    <w:panose1 w:val="00000000000000000000"/>
    <w:charset w:val="86"/>
    <w:family w:val="modern"/>
    <w:pitch w:val="default"/>
    <w:sig w:usb0="00000000" w:usb1="00000000" w:usb2="00000000" w:usb3="00000000" w:csb0="00040000" w:csb1="00000000"/>
  </w:font>
  <w:font w:name="Arial">
    <w:panose1 w:val="020B0604020202020204"/>
    <w:charset w:val="00"/>
    <w:family w:val="swiss"/>
    <w:pitch w:val="default"/>
    <w:sig w:usb0="E0002EFF" w:usb1="C000785B" w:usb2="00000009" w:usb3="00000000" w:csb0="400001FF" w:csb1="FFFF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楷体">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CC33A3">
    <w:pPr>
      <w:pStyle w:val="19"/>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25F513">
    <w:pPr>
      <w:pStyle w:val="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2F84E">
    <w:pPr>
      <w:pStyle w:val="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3238287"/>
      <w:docPartObj>
        <w:docPartGallery w:val="AutoText"/>
      </w:docPartObj>
    </w:sdtPr>
    <w:sdtEndPr>
      <w:rPr>
        <w:sz w:val="20"/>
        <w:szCs w:val="20"/>
      </w:rPr>
    </w:sdtEndPr>
    <w:sdtContent>
      <w:p w14:paraId="29CD38EF">
        <w:pPr>
          <w:pStyle w:val="20"/>
          <w:ind w:firstLine="0" w:firstLineChars="0"/>
          <w:rPr>
            <w:sz w:val="20"/>
            <w:szCs w:val="20"/>
          </w:rPr>
        </w:pPr>
        <w:r>
          <w:rPr>
            <w:sz w:val="20"/>
            <w:szCs w:val="20"/>
          </w:rPr>
          <w:fldChar w:fldCharType="begin"/>
        </w:r>
        <w:r>
          <w:rPr>
            <w:sz w:val="20"/>
            <w:szCs w:val="20"/>
          </w:rPr>
          <w:instrText xml:space="preserve">PAGE   \* MERGEFORMAT</w:instrText>
        </w:r>
        <w:r>
          <w:rPr>
            <w:sz w:val="20"/>
            <w:szCs w:val="20"/>
          </w:rPr>
          <w:fldChar w:fldCharType="separate"/>
        </w:r>
        <w:r>
          <w:rPr>
            <w:sz w:val="20"/>
            <w:szCs w:val="20"/>
            <w:lang w:val="zh-CN"/>
          </w:rPr>
          <w:t>II</w:t>
        </w:r>
        <w:r>
          <w:rPr>
            <w:sz w:val="20"/>
            <w:szCs w:val="20"/>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30464861"/>
      <w:docPartObj>
        <w:docPartGallery w:val="AutoText"/>
      </w:docPartObj>
    </w:sdtPr>
    <w:sdtContent>
      <w:p w14:paraId="7BCAC38F">
        <w:pPr>
          <w:pStyle w:val="19"/>
          <w:ind w:firstLine="360"/>
          <w:jc w:val="center"/>
        </w:pPr>
        <w:r>
          <w:fldChar w:fldCharType="begin"/>
        </w:r>
        <w:r>
          <w:instrText xml:space="preserve">PAGE   \* MERGEFORMAT</w:instrText>
        </w:r>
        <w:r>
          <w:fldChar w:fldCharType="separate"/>
        </w:r>
        <w:r>
          <w:rPr>
            <w:lang w:val="zh-CN"/>
          </w:rPr>
          <w:t>27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28A0C5">
    <w:pPr>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3B5255">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D17B45">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66FE06">
    <w:pPr>
      <w:pStyle w:val="20"/>
      <w:ind w:firstLine="420"/>
      <w:rPr>
        <w:sz w:val="21"/>
        <w:szCs w:val="21"/>
      </w:rPr>
    </w:pPr>
    <w:r>
      <w:rPr>
        <w:rFonts w:hint="eastAsia"/>
        <w:sz w:val="21"/>
        <w:szCs w:val="21"/>
      </w:rPr>
      <w:t>安徽金安矿业有限公司草楼铁矿工程环境影响后评价报告书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01A0BE9"/>
    <w:multiLevelType w:val="multilevel"/>
    <w:tmpl w:val="301A0BE9"/>
    <w:lvl w:ilvl="0" w:tentative="0">
      <w:start w:val="1"/>
      <w:numFmt w:val="decimal"/>
      <w:lvlText w:val="（%1）"/>
      <w:lvlJc w:val="left"/>
      <w:pPr>
        <w:ind w:left="1697" w:hanging="42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4F583414"/>
    <w:multiLevelType w:val="multilevel"/>
    <w:tmpl w:val="4F583414"/>
    <w:lvl w:ilvl="0" w:tentative="0">
      <w:start w:val="1"/>
      <w:numFmt w:val="decimal"/>
      <w:lvlText w:val="（%1）"/>
      <w:lvlJc w:val="left"/>
      <w:pPr>
        <w:ind w:left="900" w:hanging="42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5E465BDC"/>
    <w:multiLevelType w:val="multilevel"/>
    <w:tmpl w:val="5E465BDC"/>
    <w:lvl w:ilvl="0" w:tentative="0">
      <w:start w:val="1"/>
      <w:numFmt w:val="decimal"/>
      <w:lvlText w:val="（%1）"/>
      <w:lvlJc w:val="left"/>
      <w:pPr>
        <w:ind w:left="900" w:hanging="42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586F"/>
    <w:rsid w:val="000069E5"/>
    <w:rsid w:val="000121F3"/>
    <w:rsid w:val="0001421C"/>
    <w:rsid w:val="000160EC"/>
    <w:rsid w:val="00020F8B"/>
    <w:rsid w:val="00027540"/>
    <w:rsid w:val="000400D0"/>
    <w:rsid w:val="00044CCE"/>
    <w:rsid w:val="00055E22"/>
    <w:rsid w:val="00070DAA"/>
    <w:rsid w:val="0007129A"/>
    <w:rsid w:val="00073324"/>
    <w:rsid w:val="00073DCC"/>
    <w:rsid w:val="00074641"/>
    <w:rsid w:val="0007493F"/>
    <w:rsid w:val="000858D3"/>
    <w:rsid w:val="00085F0F"/>
    <w:rsid w:val="00087EB6"/>
    <w:rsid w:val="000906CC"/>
    <w:rsid w:val="0009075F"/>
    <w:rsid w:val="00097514"/>
    <w:rsid w:val="00097757"/>
    <w:rsid w:val="000A3D86"/>
    <w:rsid w:val="000A408F"/>
    <w:rsid w:val="000A5C1D"/>
    <w:rsid w:val="000A5D93"/>
    <w:rsid w:val="000B4A19"/>
    <w:rsid w:val="000B7552"/>
    <w:rsid w:val="000C40F3"/>
    <w:rsid w:val="000C76BC"/>
    <w:rsid w:val="000D1947"/>
    <w:rsid w:val="000D2A31"/>
    <w:rsid w:val="000D6258"/>
    <w:rsid w:val="000D7337"/>
    <w:rsid w:val="000E0B15"/>
    <w:rsid w:val="000E45D0"/>
    <w:rsid w:val="000F44C5"/>
    <w:rsid w:val="000F5E04"/>
    <w:rsid w:val="000F7581"/>
    <w:rsid w:val="00102A79"/>
    <w:rsid w:val="001039F9"/>
    <w:rsid w:val="00103E70"/>
    <w:rsid w:val="00105CE7"/>
    <w:rsid w:val="00114D16"/>
    <w:rsid w:val="00121655"/>
    <w:rsid w:val="00121872"/>
    <w:rsid w:val="00124516"/>
    <w:rsid w:val="00131074"/>
    <w:rsid w:val="001326F7"/>
    <w:rsid w:val="001441C3"/>
    <w:rsid w:val="001444FC"/>
    <w:rsid w:val="00145739"/>
    <w:rsid w:val="00151553"/>
    <w:rsid w:val="00157B1A"/>
    <w:rsid w:val="00163607"/>
    <w:rsid w:val="001656B6"/>
    <w:rsid w:val="00171DBE"/>
    <w:rsid w:val="0017446F"/>
    <w:rsid w:val="0019676B"/>
    <w:rsid w:val="00197FB9"/>
    <w:rsid w:val="001A52AC"/>
    <w:rsid w:val="001A72BA"/>
    <w:rsid w:val="001B2337"/>
    <w:rsid w:val="001B3CCF"/>
    <w:rsid w:val="001B7392"/>
    <w:rsid w:val="001B7D22"/>
    <w:rsid w:val="001C328F"/>
    <w:rsid w:val="001C7D08"/>
    <w:rsid w:val="001D0154"/>
    <w:rsid w:val="001D7D5B"/>
    <w:rsid w:val="001D7F42"/>
    <w:rsid w:val="001E132C"/>
    <w:rsid w:val="001E521F"/>
    <w:rsid w:val="001E75CA"/>
    <w:rsid w:val="001F347C"/>
    <w:rsid w:val="001F67FE"/>
    <w:rsid w:val="001F7C1F"/>
    <w:rsid w:val="001F7FE2"/>
    <w:rsid w:val="00200A44"/>
    <w:rsid w:val="002022DB"/>
    <w:rsid w:val="002036B5"/>
    <w:rsid w:val="00205622"/>
    <w:rsid w:val="00205A8C"/>
    <w:rsid w:val="0020799C"/>
    <w:rsid w:val="00210049"/>
    <w:rsid w:val="00226517"/>
    <w:rsid w:val="00235491"/>
    <w:rsid w:val="00236225"/>
    <w:rsid w:val="00237A9E"/>
    <w:rsid w:val="002454FB"/>
    <w:rsid w:val="0024767B"/>
    <w:rsid w:val="00247B44"/>
    <w:rsid w:val="00250DB1"/>
    <w:rsid w:val="0025149E"/>
    <w:rsid w:val="00254719"/>
    <w:rsid w:val="002574A2"/>
    <w:rsid w:val="00260A54"/>
    <w:rsid w:val="002619DC"/>
    <w:rsid w:val="00261F34"/>
    <w:rsid w:val="00265788"/>
    <w:rsid w:val="00266459"/>
    <w:rsid w:val="0027021E"/>
    <w:rsid w:val="00271D1E"/>
    <w:rsid w:val="00276894"/>
    <w:rsid w:val="00280470"/>
    <w:rsid w:val="00280564"/>
    <w:rsid w:val="00284364"/>
    <w:rsid w:val="00294B80"/>
    <w:rsid w:val="002973B5"/>
    <w:rsid w:val="002A595C"/>
    <w:rsid w:val="002B1A55"/>
    <w:rsid w:val="002B341A"/>
    <w:rsid w:val="002C27E1"/>
    <w:rsid w:val="002C6F92"/>
    <w:rsid w:val="002D2341"/>
    <w:rsid w:val="002D2A75"/>
    <w:rsid w:val="002D64B3"/>
    <w:rsid w:val="002D732B"/>
    <w:rsid w:val="002D7A0B"/>
    <w:rsid w:val="002E7819"/>
    <w:rsid w:val="002F61DC"/>
    <w:rsid w:val="00301028"/>
    <w:rsid w:val="00302185"/>
    <w:rsid w:val="00304319"/>
    <w:rsid w:val="003078D3"/>
    <w:rsid w:val="003126D4"/>
    <w:rsid w:val="0031380B"/>
    <w:rsid w:val="00317032"/>
    <w:rsid w:val="00322BA3"/>
    <w:rsid w:val="00330FE7"/>
    <w:rsid w:val="00333EE2"/>
    <w:rsid w:val="00341C76"/>
    <w:rsid w:val="00342888"/>
    <w:rsid w:val="00355510"/>
    <w:rsid w:val="0035730F"/>
    <w:rsid w:val="00384A00"/>
    <w:rsid w:val="00384A4B"/>
    <w:rsid w:val="003879F0"/>
    <w:rsid w:val="00392421"/>
    <w:rsid w:val="00392B68"/>
    <w:rsid w:val="003A68F0"/>
    <w:rsid w:val="003A6E3F"/>
    <w:rsid w:val="003B2705"/>
    <w:rsid w:val="003B6D07"/>
    <w:rsid w:val="003C140D"/>
    <w:rsid w:val="003C2475"/>
    <w:rsid w:val="003C4F65"/>
    <w:rsid w:val="003D5435"/>
    <w:rsid w:val="003D58C2"/>
    <w:rsid w:val="003D78F0"/>
    <w:rsid w:val="003E11CE"/>
    <w:rsid w:val="003E2FFF"/>
    <w:rsid w:val="003F0F37"/>
    <w:rsid w:val="003F5F5F"/>
    <w:rsid w:val="003F7F15"/>
    <w:rsid w:val="0041200A"/>
    <w:rsid w:val="00413A1E"/>
    <w:rsid w:val="004176F8"/>
    <w:rsid w:val="004177B1"/>
    <w:rsid w:val="00417FAA"/>
    <w:rsid w:val="00420E88"/>
    <w:rsid w:val="004223C0"/>
    <w:rsid w:val="00422912"/>
    <w:rsid w:val="00441F89"/>
    <w:rsid w:val="00442E3A"/>
    <w:rsid w:val="00443D90"/>
    <w:rsid w:val="004507C6"/>
    <w:rsid w:val="00460810"/>
    <w:rsid w:val="00464DB2"/>
    <w:rsid w:val="004729FF"/>
    <w:rsid w:val="0047467F"/>
    <w:rsid w:val="00481A9C"/>
    <w:rsid w:val="004841C6"/>
    <w:rsid w:val="00493C14"/>
    <w:rsid w:val="004A5737"/>
    <w:rsid w:val="004A5D8E"/>
    <w:rsid w:val="004A6147"/>
    <w:rsid w:val="004B0942"/>
    <w:rsid w:val="004B6016"/>
    <w:rsid w:val="004D78EE"/>
    <w:rsid w:val="004E0839"/>
    <w:rsid w:val="004E1EB0"/>
    <w:rsid w:val="004E2E3E"/>
    <w:rsid w:val="004F265A"/>
    <w:rsid w:val="004F48B4"/>
    <w:rsid w:val="004F7D49"/>
    <w:rsid w:val="00500CD7"/>
    <w:rsid w:val="00501705"/>
    <w:rsid w:val="00502F3B"/>
    <w:rsid w:val="00505B20"/>
    <w:rsid w:val="00511463"/>
    <w:rsid w:val="005137F2"/>
    <w:rsid w:val="0052022F"/>
    <w:rsid w:val="00523601"/>
    <w:rsid w:val="0052597C"/>
    <w:rsid w:val="00525F5C"/>
    <w:rsid w:val="00527042"/>
    <w:rsid w:val="005317C0"/>
    <w:rsid w:val="0053586F"/>
    <w:rsid w:val="005544FB"/>
    <w:rsid w:val="005655B2"/>
    <w:rsid w:val="00566725"/>
    <w:rsid w:val="0057007C"/>
    <w:rsid w:val="00573DCD"/>
    <w:rsid w:val="00575E1B"/>
    <w:rsid w:val="005852C9"/>
    <w:rsid w:val="00587DA9"/>
    <w:rsid w:val="005977F2"/>
    <w:rsid w:val="0059796A"/>
    <w:rsid w:val="005A6A5B"/>
    <w:rsid w:val="005B062E"/>
    <w:rsid w:val="005B2F69"/>
    <w:rsid w:val="005B7D74"/>
    <w:rsid w:val="005C1CE8"/>
    <w:rsid w:val="005C2E11"/>
    <w:rsid w:val="005C406A"/>
    <w:rsid w:val="005C423B"/>
    <w:rsid w:val="005C672F"/>
    <w:rsid w:val="005D1A8F"/>
    <w:rsid w:val="005D4F05"/>
    <w:rsid w:val="005E351C"/>
    <w:rsid w:val="005E3789"/>
    <w:rsid w:val="005F0F51"/>
    <w:rsid w:val="005F1983"/>
    <w:rsid w:val="005F30AA"/>
    <w:rsid w:val="00603C3B"/>
    <w:rsid w:val="00607BD3"/>
    <w:rsid w:val="0062519A"/>
    <w:rsid w:val="00645639"/>
    <w:rsid w:val="006475C9"/>
    <w:rsid w:val="00647FB9"/>
    <w:rsid w:val="00650777"/>
    <w:rsid w:val="00653A34"/>
    <w:rsid w:val="006556C2"/>
    <w:rsid w:val="00675706"/>
    <w:rsid w:val="00677410"/>
    <w:rsid w:val="006906DA"/>
    <w:rsid w:val="006A49ED"/>
    <w:rsid w:val="006C1565"/>
    <w:rsid w:val="006C3D25"/>
    <w:rsid w:val="006C3EA1"/>
    <w:rsid w:val="006D73FE"/>
    <w:rsid w:val="006E018F"/>
    <w:rsid w:val="006E052E"/>
    <w:rsid w:val="006E1064"/>
    <w:rsid w:val="006E42C2"/>
    <w:rsid w:val="006F1D2F"/>
    <w:rsid w:val="00704EA7"/>
    <w:rsid w:val="007127D7"/>
    <w:rsid w:val="00721DB4"/>
    <w:rsid w:val="007375FD"/>
    <w:rsid w:val="007412D6"/>
    <w:rsid w:val="00741ADA"/>
    <w:rsid w:val="00743DF0"/>
    <w:rsid w:val="00747C4B"/>
    <w:rsid w:val="00751F7E"/>
    <w:rsid w:val="00753177"/>
    <w:rsid w:val="00755CFE"/>
    <w:rsid w:val="00760508"/>
    <w:rsid w:val="007714FF"/>
    <w:rsid w:val="00771AF0"/>
    <w:rsid w:val="00773A95"/>
    <w:rsid w:val="0078271D"/>
    <w:rsid w:val="00784C4C"/>
    <w:rsid w:val="007955FA"/>
    <w:rsid w:val="007A177C"/>
    <w:rsid w:val="007A63FB"/>
    <w:rsid w:val="007B0F24"/>
    <w:rsid w:val="007B79E4"/>
    <w:rsid w:val="007C21BF"/>
    <w:rsid w:val="007D2C1F"/>
    <w:rsid w:val="007D2C81"/>
    <w:rsid w:val="007E2873"/>
    <w:rsid w:val="007E4885"/>
    <w:rsid w:val="007E57B7"/>
    <w:rsid w:val="007E7C50"/>
    <w:rsid w:val="007F10A5"/>
    <w:rsid w:val="007F12C3"/>
    <w:rsid w:val="007F40CD"/>
    <w:rsid w:val="007F473F"/>
    <w:rsid w:val="0080205E"/>
    <w:rsid w:val="008033AC"/>
    <w:rsid w:val="0080603B"/>
    <w:rsid w:val="00806438"/>
    <w:rsid w:val="008078C7"/>
    <w:rsid w:val="00811CA2"/>
    <w:rsid w:val="008215C6"/>
    <w:rsid w:val="00824E68"/>
    <w:rsid w:val="008310E6"/>
    <w:rsid w:val="00832209"/>
    <w:rsid w:val="0084003B"/>
    <w:rsid w:val="00840722"/>
    <w:rsid w:val="008431A2"/>
    <w:rsid w:val="00844EBC"/>
    <w:rsid w:val="008474C2"/>
    <w:rsid w:val="008513F4"/>
    <w:rsid w:val="00856B02"/>
    <w:rsid w:val="00863E47"/>
    <w:rsid w:val="00865029"/>
    <w:rsid w:val="00873347"/>
    <w:rsid w:val="00874D7A"/>
    <w:rsid w:val="0088118D"/>
    <w:rsid w:val="00883153"/>
    <w:rsid w:val="00884114"/>
    <w:rsid w:val="00885C2F"/>
    <w:rsid w:val="008879B4"/>
    <w:rsid w:val="008948CC"/>
    <w:rsid w:val="008A27C2"/>
    <w:rsid w:val="008A513B"/>
    <w:rsid w:val="008B0AE7"/>
    <w:rsid w:val="008B3DA3"/>
    <w:rsid w:val="008B723A"/>
    <w:rsid w:val="008C3B00"/>
    <w:rsid w:val="008C558E"/>
    <w:rsid w:val="008C5B90"/>
    <w:rsid w:val="008C6199"/>
    <w:rsid w:val="008C6244"/>
    <w:rsid w:val="008C67C9"/>
    <w:rsid w:val="008D1839"/>
    <w:rsid w:val="008D6472"/>
    <w:rsid w:val="008D66B3"/>
    <w:rsid w:val="008F5D07"/>
    <w:rsid w:val="0090739F"/>
    <w:rsid w:val="009103DD"/>
    <w:rsid w:val="0091150B"/>
    <w:rsid w:val="00913EE4"/>
    <w:rsid w:val="00924179"/>
    <w:rsid w:val="00930017"/>
    <w:rsid w:val="00942967"/>
    <w:rsid w:val="00945758"/>
    <w:rsid w:val="00947CEA"/>
    <w:rsid w:val="0095215E"/>
    <w:rsid w:val="009678E7"/>
    <w:rsid w:val="009763E4"/>
    <w:rsid w:val="009900F7"/>
    <w:rsid w:val="00990101"/>
    <w:rsid w:val="00996DF8"/>
    <w:rsid w:val="009A06F5"/>
    <w:rsid w:val="009A6131"/>
    <w:rsid w:val="009A670A"/>
    <w:rsid w:val="009A707F"/>
    <w:rsid w:val="009B2DCE"/>
    <w:rsid w:val="009C2360"/>
    <w:rsid w:val="009C325E"/>
    <w:rsid w:val="009C7FE5"/>
    <w:rsid w:val="009D68D7"/>
    <w:rsid w:val="009E0D29"/>
    <w:rsid w:val="009E5161"/>
    <w:rsid w:val="009F139E"/>
    <w:rsid w:val="009F3F9D"/>
    <w:rsid w:val="00A04C02"/>
    <w:rsid w:val="00A05459"/>
    <w:rsid w:val="00A102F3"/>
    <w:rsid w:val="00A14272"/>
    <w:rsid w:val="00A14EA0"/>
    <w:rsid w:val="00A168BC"/>
    <w:rsid w:val="00A1727B"/>
    <w:rsid w:val="00A21C47"/>
    <w:rsid w:val="00A3117D"/>
    <w:rsid w:val="00A33D71"/>
    <w:rsid w:val="00A42C58"/>
    <w:rsid w:val="00A43D9F"/>
    <w:rsid w:val="00A4551E"/>
    <w:rsid w:val="00A4624C"/>
    <w:rsid w:val="00A46D9D"/>
    <w:rsid w:val="00A475E9"/>
    <w:rsid w:val="00A50F85"/>
    <w:rsid w:val="00A52E87"/>
    <w:rsid w:val="00A5621B"/>
    <w:rsid w:val="00A5676A"/>
    <w:rsid w:val="00A6613B"/>
    <w:rsid w:val="00A672E9"/>
    <w:rsid w:val="00A73161"/>
    <w:rsid w:val="00A81020"/>
    <w:rsid w:val="00A86458"/>
    <w:rsid w:val="00A8656F"/>
    <w:rsid w:val="00A86BCB"/>
    <w:rsid w:val="00A909FA"/>
    <w:rsid w:val="00A90B53"/>
    <w:rsid w:val="00A91FF6"/>
    <w:rsid w:val="00A94658"/>
    <w:rsid w:val="00A94993"/>
    <w:rsid w:val="00A96B3F"/>
    <w:rsid w:val="00AA0D6A"/>
    <w:rsid w:val="00AA28DD"/>
    <w:rsid w:val="00AC34AE"/>
    <w:rsid w:val="00AC4CC8"/>
    <w:rsid w:val="00AC5045"/>
    <w:rsid w:val="00AD344F"/>
    <w:rsid w:val="00AD3B54"/>
    <w:rsid w:val="00AD5F7D"/>
    <w:rsid w:val="00AD67A8"/>
    <w:rsid w:val="00AD6D3E"/>
    <w:rsid w:val="00AD7D8E"/>
    <w:rsid w:val="00AF080B"/>
    <w:rsid w:val="00AF1BCA"/>
    <w:rsid w:val="00AF2D5C"/>
    <w:rsid w:val="00AF3D78"/>
    <w:rsid w:val="00AF4502"/>
    <w:rsid w:val="00AF6BDD"/>
    <w:rsid w:val="00B114EB"/>
    <w:rsid w:val="00B24932"/>
    <w:rsid w:val="00B25555"/>
    <w:rsid w:val="00B2789C"/>
    <w:rsid w:val="00B30996"/>
    <w:rsid w:val="00B3640A"/>
    <w:rsid w:val="00B549A4"/>
    <w:rsid w:val="00B55A94"/>
    <w:rsid w:val="00B5733E"/>
    <w:rsid w:val="00B63B26"/>
    <w:rsid w:val="00B708D7"/>
    <w:rsid w:val="00B73C21"/>
    <w:rsid w:val="00B74021"/>
    <w:rsid w:val="00B74384"/>
    <w:rsid w:val="00B7783E"/>
    <w:rsid w:val="00B77A93"/>
    <w:rsid w:val="00B85ADD"/>
    <w:rsid w:val="00B94494"/>
    <w:rsid w:val="00B96A73"/>
    <w:rsid w:val="00B96BD7"/>
    <w:rsid w:val="00BA528E"/>
    <w:rsid w:val="00BA5D26"/>
    <w:rsid w:val="00BB1C52"/>
    <w:rsid w:val="00BB21EF"/>
    <w:rsid w:val="00BB3D1C"/>
    <w:rsid w:val="00BB43E2"/>
    <w:rsid w:val="00BB463B"/>
    <w:rsid w:val="00BC1072"/>
    <w:rsid w:val="00BC4B3F"/>
    <w:rsid w:val="00BC4EEA"/>
    <w:rsid w:val="00BC7895"/>
    <w:rsid w:val="00BD20B6"/>
    <w:rsid w:val="00BD3197"/>
    <w:rsid w:val="00BD34D3"/>
    <w:rsid w:val="00BD57A2"/>
    <w:rsid w:val="00BE0D73"/>
    <w:rsid w:val="00BE2D21"/>
    <w:rsid w:val="00BE3794"/>
    <w:rsid w:val="00BF06D5"/>
    <w:rsid w:val="00BF76CC"/>
    <w:rsid w:val="00C019CE"/>
    <w:rsid w:val="00C04B07"/>
    <w:rsid w:val="00C05A4F"/>
    <w:rsid w:val="00C11791"/>
    <w:rsid w:val="00C1231E"/>
    <w:rsid w:val="00C1381B"/>
    <w:rsid w:val="00C13F91"/>
    <w:rsid w:val="00C153D0"/>
    <w:rsid w:val="00C16EB6"/>
    <w:rsid w:val="00C20A68"/>
    <w:rsid w:val="00C2143A"/>
    <w:rsid w:val="00C346FC"/>
    <w:rsid w:val="00C63E0B"/>
    <w:rsid w:val="00C672A7"/>
    <w:rsid w:val="00C67E9A"/>
    <w:rsid w:val="00C730F7"/>
    <w:rsid w:val="00C82AE7"/>
    <w:rsid w:val="00C87807"/>
    <w:rsid w:val="00CA5D40"/>
    <w:rsid w:val="00CB09A2"/>
    <w:rsid w:val="00CB0CEE"/>
    <w:rsid w:val="00CC0E33"/>
    <w:rsid w:val="00CC45FD"/>
    <w:rsid w:val="00CD0B69"/>
    <w:rsid w:val="00CD146C"/>
    <w:rsid w:val="00CD5687"/>
    <w:rsid w:val="00CE7E47"/>
    <w:rsid w:val="00CF02D8"/>
    <w:rsid w:val="00CF30D3"/>
    <w:rsid w:val="00CF4BFD"/>
    <w:rsid w:val="00D04437"/>
    <w:rsid w:val="00D15208"/>
    <w:rsid w:val="00D15E60"/>
    <w:rsid w:val="00D352B2"/>
    <w:rsid w:val="00D40247"/>
    <w:rsid w:val="00D42BC0"/>
    <w:rsid w:val="00D43EC5"/>
    <w:rsid w:val="00D46C7B"/>
    <w:rsid w:val="00D51998"/>
    <w:rsid w:val="00D5292A"/>
    <w:rsid w:val="00D537A5"/>
    <w:rsid w:val="00D568DF"/>
    <w:rsid w:val="00D57FA4"/>
    <w:rsid w:val="00D60C62"/>
    <w:rsid w:val="00D6354D"/>
    <w:rsid w:val="00D708B6"/>
    <w:rsid w:val="00D75260"/>
    <w:rsid w:val="00D8159F"/>
    <w:rsid w:val="00D816FF"/>
    <w:rsid w:val="00D8181A"/>
    <w:rsid w:val="00D83484"/>
    <w:rsid w:val="00DA1975"/>
    <w:rsid w:val="00DA2A92"/>
    <w:rsid w:val="00DA5F70"/>
    <w:rsid w:val="00DB0A30"/>
    <w:rsid w:val="00DB665F"/>
    <w:rsid w:val="00DC282A"/>
    <w:rsid w:val="00DC47AE"/>
    <w:rsid w:val="00DD04F5"/>
    <w:rsid w:val="00DD2A6B"/>
    <w:rsid w:val="00DD5A72"/>
    <w:rsid w:val="00DD67AB"/>
    <w:rsid w:val="00DE1CCA"/>
    <w:rsid w:val="00DF629F"/>
    <w:rsid w:val="00DF65C0"/>
    <w:rsid w:val="00E03B9F"/>
    <w:rsid w:val="00E10A8D"/>
    <w:rsid w:val="00E1183C"/>
    <w:rsid w:val="00E12DA3"/>
    <w:rsid w:val="00E14D35"/>
    <w:rsid w:val="00E200D8"/>
    <w:rsid w:val="00E24DB5"/>
    <w:rsid w:val="00E30FBD"/>
    <w:rsid w:val="00E31565"/>
    <w:rsid w:val="00E35C92"/>
    <w:rsid w:val="00E4539B"/>
    <w:rsid w:val="00E45491"/>
    <w:rsid w:val="00E4790D"/>
    <w:rsid w:val="00E5002A"/>
    <w:rsid w:val="00E5114C"/>
    <w:rsid w:val="00E519A9"/>
    <w:rsid w:val="00E56BD5"/>
    <w:rsid w:val="00E57968"/>
    <w:rsid w:val="00E663D4"/>
    <w:rsid w:val="00E7111E"/>
    <w:rsid w:val="00E755BA"/>
    <w:rsid w:val="00E824D5"/>
    <w:rsid w:val="00E83C6F"/>
    <w:rsid w:val="00E86D7F"/>
    <w:rsid w:val="00E872C0"/>
    <w:rsid w:val="00E879D7"/>
    <w:rsid w:val="00E9679B"/>
    <w:rsid w:val="00E96C58"/>
    <w:rsid w:val="00E97603"/>
    <w:rsid w:val="00EA72CA"/>
    <w:rsid w:val="00EA7574"/>
    <w:rsid w:val="00EB03CD"/>
    <w:rsid w:val="00EB120E"/>
    <w:rsid w:val="00EB5EB8"/>
    <w:rsid w:val="00EB7B94"/>
    <w:rsid w:val="00EC4C91"/>
    <w:rsid w:val="00EC6364"/>
    <w:rsid w:val="00EC7094"/>
    <w:rsid w:val="00ED084C"/>
    <w:rsid w:val="00ED4B5F"/>
    <w:rsid w:val="00ED50D6"/>
    <w:rsid w:val="00ED52A9"/>
    <w:rsid w:val="00ED7040"/>
    <w:rsid w:val="00EE0182"/>
    <w:rsid w:val="00EE1491"/>
    <w:rsid w:val="00EE5528"/>
    <w:rsid w:val="00EE648D"/>
    <w:rsid w:val="00EF11CA"/>
    <w:rsid w:val="00F004B7"/>
    <w:rsid w:val="00F025D7"/>
    <w:rsid w:val="00F066FB"/>
    <w:rsid w:val="00F12129"/>
    <w:rsid w:val="00F13364"/>
    <w:rsid w:val="00F15813"/>
    <w:rsid w:val="00F2013B"/>
    <w:rsid w:val="00F221A8"/>
    <w:rsid w:val="00F22CC7"/>
    <w:rsid w:val="00F25487"/>
    <w:rsid w:val="00F270E2"/>
    <w:rsid w:val="00F35FA1"/>
    <w:rsid w:val="00F45601"/>
    <w:rsid w:val="00F47AAF"/>
    <w:rsid w:val="00F53018"/>
    <w:rsid w:val="00F534AD"/>
    <w:rsid w:val="00F54ED8"/>
    <w:rsid w:val="00F65651"/>
    <w:rsid w:val="00F67948"/>
    <w:rsid w:val="00F700DF"/>
    <w:rsid w:val="00F70BF9"/>
    <w:rsid w:val="00F73A76"/>
    <w:rsid w:val="00F743BE"/>
    <w:rsid w:val="00F837DC"/>
    <w:rsid w:val="00F83D36"/>
    <w:rsid w:val="00F86526"/>
    <w:rsid w:val="00F8760C"/>
    <w:rsid w:val="00F9436C"/>
    <w:rsid w:val="00F9703D"/>
    <w:rsid w:val="00FA1F2B"/>
    <w:rsid w:val="00FB5124"/>
    <w:rsid w:val="00FB6C39"/>
    <w:rsid w:val="00FD427E"/>
    <w:rsid w:val="00FD663F"/>
    <w:rsid w:val="00FE0EF5"/>
    <w:rsid w:val="00FE113C"/>
    <w:rsid w:val="00FE1DD7"/>
    <w:rsid w:val="00FE1F21"/>
    <w:rsid w:val="00FF2C9B"/>
    <w:rsid w:val="00FF2CE4"/>
    <w:rsid w:val="00FF7F8F"/>
    <w:rsid w:val="6DAD22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qFormat="1" w:uiPriority="0"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name="Date"/>
    <w:lsdException w:qFormat="1" w:unhideWhenUsed="0" w:uiPriority="0" w:semiHidden="0" w:name="Body Text First Indent"/>
    <w:lsdException w:qFormat="1"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40"/>
    <w:qFormat/>
    <w:uiPriority w:val="0"/>
    <w:pPr>
      <w:keepNext/>
      <w:keepLines/>
      <w:spacing w:before="340" w:after="330" w:line="578" w:lineRule="auto"/>
      <w:jc w:val="center"/>
      <w:outlineLvl w:val="0"/>
    </w:pPr>
    <w:rPr>
      <w:b/>
      <w:bCs/>
      <w:kern w:val="44"/>
      <w:sz w:val="44"/>
      <w:szCs w:val="44"/>
    </w:rPr>
  </w:style>
  <w:style w:type="paragraph" w:styleId="3">
    <w:name w:val="heading 2"/>
    <w:basedOn w:val="1"/>
    <w:next w:val="1"/>
    <w:link w:val="41"/>
    <w:unhideWhenUsed/>
    <w:qFormat/>
    <w:uiPriority w:val="0"/>
    <w:pPr>
      <w:keepNext/>
      <w:keepLines/>
      <w:spacing w:before="260" w:after="260" w:line="415" w:lineRule="auto"/>
      <w:ind w:firstLine="0" w:firstLineChars="0"/>
      <w:jc w:val="left"/>
      <w:outlineLvl w:val="1"/>
    </w:pPr>
    <w:rPr>
      <w:rFonts w:cstheme="majorBidi"/>
      <w:b/>
      <w:bCs/>
      <w:sz w:val="32"/>
      <w:szCs w:val="32"/>
    </w:rPr>
  </w:style>
  <w:style w:type="paragraph" w:styleId="4">
    <w:name w:val="heading 3"/>
    <w:basedOn w:val="1"/>
    <w:next w:val="1"/>
    <w:link w:val="42"/>
    <w:unhideWhenUsed/>
    <w:qFormat/>
    <w:uiPriority w:val="0"/>
    <w:pPr>
      <w:keepNext/>
      <w:keepLines/>
      <w:spacing w:before="260" w:after="260" w:line="415" w:lineRule="auto"/>
      <w:ind w:firstLine="0" w:firstLineChars="0"/>
      <w:jc w:val="left"/>
      <w:outlineLvl w:val="2"/>
    </w:pPr>
    <w:rPr>
      <w:b/>
      <w:bCs/>
      <w:sz w:val="28"/>
      <w:szCs w:val="32"/>
    </w:rPr>
  </w:style>
  <w:style w:type="paragraph" w:styleId="5">
    <w:name w:val="heading 4"/>
    <w:basedOn w:val="1"/>
    <w:next w:val="1"/>
    <w:link w:val="43"/>
    <w:unhideWhenUsed/>
    <w:qFormat/>
    <w:uiPriority w:val="0"/>
    <w:pPr>
      <w:keepNext/>
      <w:keepLines/>
      <w:ind w:firstLine="0" w:firstLineChars="0"/>
      <w:jc w:val="left"/>
      <w:outlineLvl w:val="3"/>
    </w:pPr>
    <w:rPr>
      <w:rFonts w:cstheme="majorBidi"/>
      <w:b/>
      <w:bCs/>
      <w:sz w:val="28"/>
      <w:szCs w:val="28"/>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1440"/>
      <w:jc w:val="left"/>
    </w:pPr>
    <w:rPr>
      <w:rFonts w:asciiTheme="minorHAnsi" w:eastAsiaTheme="minorHAnsi"/>
      <w:sz w:val="18"/>
      <w:szCs w:val="18"/>
    </w:rPr>
  </w:style>
  <w:style w:type="paragraph" w:styleId="7">
    <w:name w:val="Normal Indent"/>
    <w:basedOn w:val="1"/>
    <w:link w:val="71"/>
    <w:qFormat/>
    <w:uiPriority w:val="0"/>
    <w:pPr>
      <w:adjustRightInd w:val="0"/>
      <w:spacing w:line="312" w:lineRule="atLeast"/>
      <w:ind w:firstLine="420" w:firstLineChars="0"/>
      <w:textAlignment w:val="baseline"/>
    </w:pPr>
    <w:rPr>
      <w:rFonts w:eastAsia="仿宋_GB2312" w:cs="Times New Roman"/>
      <w:kern w:val="0"/>
      <w:sz w:val="28"/>
      <w:szCs w:val="20"/>
      <w:lang w:val="zh-CN" w:eastAsia="zh-CN"/>
    </w:rPr>
  </w:style>
  <w:style w:type="paragraph" w:styleId="8">
    <w:name w:val="caption"/>
    <w:basedOn w:val="1"/>
    <w:next w:val="1"/>
    <w:link w:val="85"/>
    <w:qFormat/>
    <w:uiPriority w:val="0"/>
    <w:pPr>
      <w:spacing w:line="240" w:lineRule="auto"/>
      <w:ind w:firstLine="0" w:firstLineChars="0"/>
    </w:pPr>
    <w:rPr>
      <w:rFonts w:ascii="Arial" w:hAnsi="Arial" w:eastAsia="黑体" w:cs="Arial"/>
      <w:sz w:val="20"/>
      <w:szCs w:val="20"/>
    </w:rPr>
  </w:style>
  <w:style w:type="paragraph" w:styleId="9">
    <w:name w:val="annotation text"/>
    <w:basedOn w:val="1"/>
    <w:link w:val="46"/>
    <w:unhideWhenUsed/>
    <w:qFormat/>
    <w:uiPriority w:val="0"/>
    <w:pPr>
      <w:jc w:val="left"/>
    </w:pPr>
  </w:style>
  <w:style w:type="paragraph" w:styleId="10">
    <w:name w:val="Body Text"/>
    <w:basedOn w:val="1"/>
    <w:link w:val="92"/>
    <w:qFormat/>
    <w:uiPriority w:val="0"/>
    <w:pPr>
      <w:widowControl/>
      <w:spacing w:line="288" w:lineRule="auto"/>
      <w:ind w:firstLine="420"/>
    </w:pPr>
    <w:rPr>
      <w:kern w:val="0"/>
      <w:szCs w:val="24"/>
    </w:rPr>
  </w:style>
  <w:style w:type="paragraph" w:styleId="11">
    <w:name w:val="Body Text Indent"/>
    <w:basedOn w:val="1"/>
    <w:link w:val="61"/>
    <w:qFormat/>
    <w:uiPriority w:val="0"/>
    <w:pPr>
      <w:spacing w:after="120"/>
      <w:ind w:left="420" w:leftChars="200"/>
    </w:pPr>
    <w:rPr>
      <w:rFonts w:ascii="宋体" w:cs="Times New Roman"/>
      <w:szCs w:val="28"/>
      <w:lang w:val="zh-CN" w:eastAsia="zh-CN"/>
    </w:rPr>
  </w:style>
  <w:style w:type="paragraph" w:styleId="12">
    <w:name w:val="toc 5"/>
    <w:basedOn w:val="1"/>
    <w:next w:val="1"/>
    <w:unhideWhenUsed/>
    <w:qFormat/>
    <w:uiPriority w:val="39"/>
    <w:pPr>
      <w:ind w:left="960"/>
      <w:jc w:val="left"/>
    </w:pPr>
    <w:rPr>
      <w:rFonts w:asciiTheme="minorHAnsi" w:eastAsiaTheme="minorHAnsi"/>
      <w:sz w:val="18"/>
      <w:szCs w:val="18"/>
    </w:rPr>
  </w:style>
  <w:style w:type="paragraph" w:styleId="13">
    <w:name w:val="toc 3"/>
    <w:basedOn w:val="1"/>
    <w:next w:val="1"/>
    <w:autoRedefine/>
    <w:unhideWhenUsed/>
    <w:qFormat/>
    <w:uiPriority w:val="39"/>
    <w:pPr>
      <w:ind w:left="840" w:leftChars="400"/>
    </w:pPr>
  </w:style>
  <w:style w:type="paragraph" w:styleId="14">
    <w:name w:val="Plain Text"/>
    <w:basedOn w:val="1"/>
    <w:link w:val="66"/>
    <w:qFormat/>
    <w:uiPriority w:val="0"/>
    <w:pPr>
      <w:spacing w:line="240" w:lineRule="auto"/>
      <w:ind w:firstLine="0" w:firstLineChars="0"/>
    </w:pPr>
    <w:rPr>
      <w:rFonts w:ascii="宋体" w:hAnsi="Courier New" w:eastAsia="仿宋_GB2312" w:cs="Times New Roman"/>
      <w:sz w:val="28"/>
      <w:szCs w:val="20"/>
    </w:rPr>
  </w:style>
  <w:style w:type="paragraph" w:styleId="15">
    <w:name w:val="toc 8"/>
    <w:basedOn w:val="1"/>
    <w:next w:val="1"/>
    <w:unhideWhenUsed/>
    <w:qFormat/>
    <w:uiPriority w:val="39"/>
    <w:pPr>
      <w:ind w:left="1680"/>
      <w:jc w:val="left"/>
    </w:pPr>
    <w:rPr>
      <w:rFonts w:asciiTheme="minorHAnsi" w:eastAsiaTheme="minorHAnsi"/>
      <w:sz w:val="18"/>
      <w:szCs w:val="18"/>
    </w:rPr>
  </w:style>
  <w:style w:type="paragraph" w:styleId="16">
    <w:name w:val="Date"/>
    <w:basedOn w:val="1"/>
    <w:next w:val="1"/>
    <w:link w:val="51"/>
    <w:semiHidden/>
    <w:unhideWhenUsed/>
    <w:qFormat/>
    <w:uiPriority w:val="0"/>
    <w:pPr>
      <w:ind w:left="100" w:leftChars="2500"/>
    </w:pPr>
  </w:style>
  <w:style w:type="paragraph" w:styleId="17">
    <w:name w:val="Body Text Indent 2"/>
    <w:basedOn w:val="1"/>
    <w:link w:val="90"/>
    <w:qFormat/>
    <w:uiPriority w:val="0"/>
    <w:pPr>
      <w:ind w:left="450" w:firstLine="420"/>
    </w:pPr>
    <w:rPr>
      <w:snapToGrid w:val="0"/>
      <w:szCs w:val="24"/>
    </w:rPr>
  </w:style>
  <w:style w:type="paragraph" w:styleId="18">
    <w:name w:val="Balloon Text"/>
    <w:basedOn w:val="1"/>
    <w:link w:val="48"/>
    <w:unhideWhenUsed/>
    <w:qFormat/>
    <w:uiPriority w:val="0"/>
    <w:pPr>
      <w:spacing w:line="240" w:lineRule="auto"/>
    </w:pPr>
    <w:rPr>
      <w:sz w:val="18"/>
      <w:szCs w:val="18"/>
    </w:rPr>
  </w:style>
  <w:style w:type="paragraph" w:styleId="19">
    <w:name w:val="footer"/>
    <w:basedOn w:val="1"/>
    <w:link w:val="45"/>
    <w:unhideWhenUsed/>
    <w:qFormat/>
    <w:uiPriority w:val="99"/>
    <w:pPr>
      <w:tabs>
        <w:tab w:val="center" w:pos="4153"/>
        <w:tab w:val="right" w:pos="8306"/>
      </w:tabs>
      <w:snapToGrid w:val="0"/>
      <w:spacing w:line="240" w:lineRule="auto"/>
      <w:jc w:val="left"/>
    </w:pPr>
    <w:rPr>
      <w:sz w:val="18"/>
      <w:szCs w:val="18"/>
    </w:rPr>
  </w:style>
  <w:style w:type="paragraph" w:styleId="20">
    <w:name w:val="header"/>
    <w:basedOn w:val="1"/>
    <w:link w:val="44"/>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21">
    <w:name w:val="toc 1"/>
    <w:basedOn w:val="1"/>
    <w:next w:val="1"/>
    <w:autoRedefine/>
    <w:unhideWhenUsed/>
    <w:qFormat/>
    <w:uiPriority w:val="39"/>
  </w:style>
  <w:style w:type="paragraph" w:styleId="22">
    <w:name w:val="toc 4"/>
    <w:basedOn w:val="1"/>
    <w:next w:val="1"/>
    <w:unhideWhenUsed/>
    <w:qFormat/>
    <w:uiPriority w:val="39"/>
    <w:pPr>
      <w:ind w:left="720"/>
      <w:jc w:val="left"/>
    </w:pPr>
    <w:rPr>
      <w:rFonts w:asciiTheme="minorHAnsi" w:eastAsiaTheme="minorHAnsi"/>
      <w:sz w:val="18"/>
      <w:szCs w:val="18"/>
    </w:rPr>
  </w:style>
  <w:style w:type="paragraph" w:styleId="23">
    <w:name w:val="toc 6"/>
    <w:basedOn w:val="1"/>
    <w:next w:val="1"/>
    <w:unhideWhenUsed/>
    <w:qFormat/>
    <w:uiPriority w:val="39"/>
    <w:pPr>
      <w:ind w:left="1200"/>
      <w:jc w:val="left"/>
    </w:pPr>
    <w:rPr>
      <w:rFonts w:asciiTheme="minorHAnsi" w:eastAsiaTheme="minorHAnsi"/>
      <w:sz w:val="18"/>
      <w:szCs w:val="18"/>
    </w:rPr>
  </w:style>
  <w:style w:type="paragraph" w:styleId="24">
    <w:name w:val="Body Text Indent 3"/>
    <w:basedOn w:val="1"/>
    <w:link w:val="83"/>
    <w:qFormat/>
    <w:uiPriority w:val="0"/>
    <w:pPr>
      <w:spacing w:after="120" w:line="240" w:lineRule="auto"/>
      <w:ind w:left="420" w:leftChars="200" w:firstLine="0" w:firstLineChars="0"/>
    </w:pPr>
    <w:rPr>
      <w:rFonts w:cs="Times New Roman"/>
      <w:sz w:val="16"/>
      <w:szCs w:val="16"/>
    </w:rPr>
  </w:style>
  <w:style w:type="paragraph" w:styleId="25">
    <w:name w:val="table of figures"/>
    <w:basedOn w:val="1"/>
    <w:next w:val="1"/>
    <w:semiHidden/>
    <w:unhideWhenUsed/>
    <w:qFormat/>
    <w:uiPriority w:val="0"/>
    <w:pPr>
      <w:ind w:left="200" w:leftChars="200" w:hanging="200" w:hangingChars="200"/>
    </w:pPr>
    <w:rPr>
      <w:szCs w:val="24"/>
    </w:rPr>
  </w:style>
  <w:style w:type="paragraph" w:styleId="26">
    <w:name w:val="toc 2"/>
    <w:basedOn w:val="1"/>
    <w:next w:val="1"/>
    <w:autoRedefine/>
    <w:unhideWhenUsed/>
    <w:qFormat/>
    <w:uiPriority w:val="39"/>
    <w:pPr>
      <w:ind w:left="420" w:leftChars="200"/>
    </w:pPr>
  </w:style>
  <w:style w:type="paragraph" w:styleId="27">
    <w:name w:val="toc 9"/>
    <w:basedOn w:val="1"/>
    <w:next w:val="1"/>
    <w:unhideWhenUsed/>
    <w:qFormat/>
    <w:uiPriority w:val="39"/>
    <w:pPr>
      <w:ind w:left="1920"/>
      <w:jc w:val="left"/>
    </w:pPr>
    <w:rPr>
      <w:rFonts w:asciiTheme="minorHAnsi" w:eastAsiaTheme="minorHAnsi"/>
      <w:sz w:val="18"/>
      <w:szCs w:val="18"/>
    </w:rPr>
  </w:style>
  <w:style w:type="paragraph" w:styleId="28">
    <w:name w:val="Title"/>
    <w:basedOn w:val="1"/>
    <w:next w:val="1"/>
    <w:link w:val="99"/>
    <w:qFormat/>
    <w:uiPriority w:val="0"/>
    <w:pPr>
      <w:spacing w:before="240" w:after="60"/>
      <w:jc w:val="center"/>
      <w:outlineLvl w:val="0"/>
    </w:pPr>
    <w:rPr>
      <w:rFonts w:eastAsiaTheme="minorEastAsia"/>
      <w:b/>
      <w:bCs/>
      <w:szCs w:val="32"/>
    </w:rPr>
  </w:style>
  <w:style w:type="paragraph" w:styleId="29">
    <w:name w:val="annotation subject"/>
    <w:basedOn w:val="9"/>
    <w:next w:val="9"/>
    <w:link w:val="47"/>
    <w:unhideWhenUsed/>
    <w:qFormat/>
    <w:uiPriority w:val="0"/>
    <w:rPr>
      <w:b/>
      <w:bCs/>
    </w:rPr>
  </w:style>
  <w:style w:type="paragraph" w:styleId="30">
    <w:name w:val="Body Text First Indent"/>
    <w:basedOn w:val="10"/>
    <w:link w:val="100"/>
    <w:qFormat/>
    <w:uiPriority w:val="0"/>
    <w:pPr>
      <w:spacing w:line="240" w:lineRule="auto"/>
      <w:ind w:firstLine="100" w:firstLineChars="100"/>
    </w:pPr>
    <w:rPr>
      <w:sz w:val="21"/>
    </w:rPr>
  </w:style>
  <w:style w:type="paragraph" w:styleId="31">
    <w:name w:val="Body Text First Indent 2"/>
    <w:basedOn w:val="11"/>
    <w:link w:val="63"/>
    <w:unhideWhenUsed/>
    <w:qFormat/>
    <w:uiPriority w:val="0"/>
    <w:pPr>
      <w:ind w:firstLine="420"/>
    </w:pPr>
    <w:rPr>
      <w:rFonts w:ascii="Times New Roman" w:cstheme="minorBidi"/>
      <w:szCs w:val="22"/>
      <w:lang w:val="en-US" w:eastAsia="zh-CN"/>
    </w:rPr>
  </w:style>
  <w:style w:type="table" w:styleId="33">
    <w:name w:val="Table Grid"/>
    <w:basedOn w:val="3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qFormat/>
    <w:uiPriority w:val="22"/>
    <w:rPr>
      <w:b/>
      <w:bCs/>
    </w:rPr>
  </w:style>
  <w:style w:type="character" w:styleId="36">
    <w:name w:val="page number"/>
    <w:basedOn w:val="34"/>
    <w:qFormat/>
    <w:uiPriority w:val="0"/>
  </w:style>
  <w:style w:type="character" w:styleId="37">
    <w:name w:val="Emphasis"/>
    <w:basedOn w:val="34"/>
    <w:qFormat/>
    <w:uiPriority w:val="20"/>
    <w:rPr>
      <w:i/>
      <w:iCs/>
    </w:rPr>
  </w:style>
  <w:style w:type="character" w:styleId="38">
    <w:name w:val="Hyperlink"/>
    <w:basedOn w:val="34"/>
    <w:unhideWhenUsed/>
    <w:qFormat/>
    <w:uiPriority w:val="99"/>
    <w:rPr>
      <w:color w:val="0563C1" w:themeColor="hyperlink"/>
      <w:u w:val="single"/>
      <w14:textFill>
        <w14:solidFill>
          <w14:schemeClr w14:val="hlink"/>
        </w14:solidFill>
      </w14:textFill>
    </w:rPr>
  </w:style>
  <w:style w:type="character" w:styleId="39">
    <w:name w:val="annotation reference"/>
    <w:basedOn w:val="34"/>
    <w:unhideWhenUsed/>
    <w:qFormat/>
    <w:uiPriority w:val="0"/>
    <w:rPr>
      <w:sz w:val="21"/>
      <w:szCs w:val="21"/>
    </w:rPr>
  </w:style>
  <w:style w:type="character" w:customStyle="1" w:styleId="40">
    <w:name w:val="标题 1 字符"/>
    <w:basedOn w:val="34"/>
    <w:link w:val="2"/>
    <w:qFormat/>
    <w:uiPriority w:val="9"/>
    <w:rPr>
      <w:rFonts w:ascii="Times New Roman" w:hAnsi="Times New Roman" w:eastAsia="宋体"/>
      <w:b/>
      <w:bCs/>
      <w:kern w:val="44"/>
      <w:sz w:val="44"/>
      <w:szCs w:val="44"/>
    </w:rPr>
  </w:style>
  <w:style w:type="character" w:customStyle="1" w:styleId="41">
    <w:name w:val="标题 2 字符"/>
    <w:basedOn w:val="34"/>
    <w:link w:val="3"/>
    <w:qFormat/>
    <w:uiPriority w:val="0"/>
    <w:rPr>
      <w:rFonts w:ascii="Times New Roman" w:hAnsi="Times New Roman" w:eastAsia="宋体" w:cstheme="majorBidi"/>
      <w:b/>
      <w:bCs/>
      <w:sz w:val="32"/>
      <w:szCs w:val="32"/>
    </w:rPr>
  </w:style>
  <w:style w:type="character" w:customStyle="1" w:styleId="42">
    <w:name w:val="标题 3 字符"/>
    <w:basedOn w:val="34"/>
    <w:link w:val="4"/>
    <w:qFormat/>
    <w:uiPriority w:val="0"/>
    <w:rPr>
      <w:rFonts w:ascii="Times New Roman" w:hAnsi="Times New Roman" w:eastAsia="宋体"/>
      <w:b/>
      <w:bCs/>
      <w:sz w:val="28"/>
      <w:szCs w:val="32"/>
    </w:rPr>
  </w:style>
  <w:style w:type="character" w:customStyle="1" w:styleId="43">
    <w:name w:val="标题 4 字符"/>
    <w:basedOn w:val="34"/>
    <w:link w:val="5"/>
    <w:qFormat/>
    <w:uiPriority w:val="0"/>
    <w:rPr>
      <w:rFonts w:ascii="Times New Roman" w:hAnsi="Times New Roman" w:eastAsia="宋体" w:cstheme="majorBidi"/>
      <w:b/>
      <w:bCs/>
      <w:sz w:val="28"/>
      <w:szCs w:val="28"/>
    </w:rPr>
  </w:style>
  <w:style w:type="character" w:customStyle="1" w:styleId="44">
    <w:name w:val="页眉 字符"/>
    <w:basedOn w:val="34"/>
    <w:link w:val="20"/>
    <w:qFormat/>
    <w:uiPriority w:val="99"/>
    <w:rPr>
      <w:rFonts w:ascii="Times New Roman" w:hAnsi="Times New Roman" w:eastAsia="宋体"/>
      <w:sz w:val="18"/>
      <w:szCs w:val="18"/>
    </w:rPr>
  </w:style>
  <w:style w:type="character" w:customStyle="1" w:styleId="45">
    <w:name w:val="页脚 字符"/>
    <w:basedOn w:val="34"/>
    <w:link w:val="19"/>
    <w:qFormat/>
    <w:uiPriority w:val="99"/>
    <w:rPr>
      <w:rFonts w:ascii="Times New Roman" w:hAnsi="Times New Roman" w:eastAsia="宋体"/>
      <w:sz w:val="18"/>
      <w:szCs w:val="18"/>
    </w:rPr>
  </w:style>
  <w:style w:type="character" w:customStyle="1" w:styleId="46">
    <w:name w:val="批注文字 字符"/>
    <w:basedOn w:val="34"/>
    <w:link w:val="9"/>
    <w:qFormat/>
    <w:uiPriority w:val="0"/>
    <w:rPr>
      <w:rFonts w:ascii="Times New Roman" w:hAnsi="Times New Roman" w:eastAsia="宋体"/>
      <w:sz w:val="24"/>
    </w:rPr>
  </w:style>
  <w:style w:type="character" w:customStyle="1" w:styleId="47">
    <w:name w:val="批注主题 字符"/>
    <w:basedOn w:val="46"/>
    <w:link w:val="29"/>
    <w:qFormat/>
    <w:uiPriority w:val="0"/>
    <w:rPr>
      <w:rFonts w:ascii="Times New Roman" w:hAnsi="Times New Roman" w:eastAsia="宋体"/>
      <w:b/>
      <w:bCs/>
      <w:sz w:val="24"/>
    </w:rPr>
  </w:style>
  <w:style w:type="character" w:customStyle="1" w:styleId="48">
    <w:name w:val="批注框文本 字符"/>
    <w:basedOn w:val="34"/>
    <w:link w:val="18"/>
    <w:qFormat/>
    <w:uiPriority w:val="0"/>
    <w:rPr>
      <w:rFonts w:ascii="Times New Roman" w:hAnsi="Times New Roman" w:eastAsia="宋体"/>
      <w:sz w:val="18"/>
      <w:szCs w:val="18"/>
    </w:rPr>
  </w:style>
  <w:style w:type="paragraph" w:styleId="49">
    <w:name w:val="No Spacing"/>
    <w:qFormat/>
    <w:uiPriority w:val="1"/>
    <w:pPr>
      <w:widowControl w:val="0"/>
      <w:spacing w:line="360" w:lineRule="auto"/>
      <w:jc w:val="center"/>
    </w:pPr>
    <w:rPr>
      <w:rFonts w:ascii="Times New Roman" w:hAnsi="Times New Roman" w:eastAsia="宋体" w:cstheme="minorBidi"/>
      <w:b/>
      <w:kern w:val="2"/>
      <w:sz w:val="24"/>
      <w:szCs w:val="22"/>
      <w:lang w:val="en-US" w:eastAsia="zh-CN" w:bidi="ar-SA"/>
    </w:rPr>
  </w:style>
  <w:style w:type="paragraph" w:styleId="50">
    <w:name w:val="List Paragraph"/>
    <w:basedOn w:val="1"/>
    <w:qFormat/>
    <w:uiPriority w:val="99"/>
    <w:pPr>
      <w:ind w:firstLine="420"/>
    </w:pPr>
  </w:style>
  <w:style w:type="character" w:customStyle="1" w:styleId="51">
    <w:name w:val="日期 字符"/>
    <w:basedOn w:val="34"/>
    <w:link w:val="16"/>
    <w:semiHidden/>
    <w:qFormat/>
    <w:uiPriority w:val="0"/>
    <w:rPr>
      <w:rFonts w:ascii="Times New Roman" w:hAnsi="Times New Roman" w:eastAsia="宋体"/>
      <w:sz w:val="24"/>
    </w:rPr>
  </w:style>
  <w:style w:type="paragraph" w:customStyle="1" w:styleId="52">
    <w:name w:val="表名"/>
    <w:basedOn w:val="1"/>
    <w:next w:val="1"/>
    <w:link w:val="53"/>
    <w:qFormat/>
    <w:uiPriority w:val="0"/>
    <w:pPr>
      <w:keepNext/>
      <w:spacing w:before="120" w:line="240" w:lineRule="auto"/>
      <w:ind w:firstLine="0" w:firstLineChars="0"/>
      <w:jc w:val="center"/>
    </w:pPr>
    <w:rPr>
      <w:rFonts w:ascii="宋体" w:cs="Times New Roman"/>
      <w:b/>
      <w:szCs w:val="28"/>
      <w:lang w:val="zh-CN" w:eastAsia="zh-CN"/>
    </w:rPr>
  </w:style>
  <w:style w:type="character" w:customStyle="1" w:styleId="53">
    <w:name w:val="表名 Char"/>
    <w:link w:val="52"/>
    <w:qFormat/>
    <w:uiPriority w:val="0"/>
    <w:rPr>
      <w:rFonts w:ascii="宋体" w:hAnsi="Times New Roman" w:eastAsia="宋体" w:cs="Times New Roman"/>
      <w:b/>
      <w:sz w:val="24"/>
      <w:szCs w:val="28"/>
      <w:lang w:val="zh-CN" w:eastAsia="zh-CN"/>
    </w:rPr>
  </w:style>
  <w:style w:type="paragraph" w:customStyle="1" w:styleId="54">
    <w:name w:val="表体"/>
    <w:link w:val="55"/>
    <w:qFormat/>
    <w:uiPriority w:val="0"/>
    <w:pPr>
      <w:spacing w:before="40" w:after="40"/>
      <w:jc w:val="center"/>
    </w:pPr>
    <w:rPr>
      <w:rFonts w:ascii="宋体" w:hAnsi="Times New Roman" w:eastAsia="宋体" w:cs="Times New Roman"/>
      <w:color w:val="000080"/>
      <w:kern w:val="2"/>
      <w:sz w:val="21"/>
      <w:szCs w:val="24"/>
      <w:lang w:val="en-US" w:eastAsia="zh-CN" w:bidi="ar-SA"/>
    </w:rPr>
  </w:style>
  <w:style w:type="character" w:customStyle="1" w:styleId="55">
    <w:name w:val="表体 Char"/>
    <w:link w:val="54"/>
    <w:qFormat/>
    <w:uiPriority w:val="0"/>
    <w:rPr>
      <w:rFonts w:ascii="宋体" w:hAnsi="Times New Roman" w:eastAsia="宋体" w:cs="Times New Roman"/>
      <w:color w:val="000080"/>
      <w:szCs w:val="24"/>
    </w:rPr>
  </w:style>
  <w:style w:type="paragraph" w:customStyle="1" w:styleId="56">
    <w:name w:val="Default"/>
    <w:qFormat/>
    <w:uiPriority w:val="0"/>
    <w:pPr>
      <w:widowControl w:val="0"/>
      <w:autoSpaceDE w:val="0"/>
      <w:autoSpaceDN w:val="0"/>
      <w:adjustRightInd w:val="0"/>
    </w:pPr>
    <w:rPr>
      <w:rFonts w:ascii="宋体" w:hAnsi="宋体" w:eastAsia="宋体" w:cs="宋体"/>
      <w:color w:val="000000"/>
      <w:kern w:val="0"/>
      <w:sz w:val="24"/>
      <w:szCs w:val="24"/>
      <w:lang w:val="en-US" w:eastAsia="zh-CN" w:bidi="ar-SA"/>
    </w:rPr>
  </w:style>
  <w:style w:type="paragraph" w:customStyle="1" w:styleId="57">
    <w:name w:val="表内字体"/>
    <w:basedOn w:val="1"/>
    <w:qFormat/>
    <w:uiPriority w:val="0"/>
    <w:pPr>
      <w:spacing w:line="240" w:lineRule="auto"/>
      <w:ind w:firstLine="0" w:firstLineChars="0"/>
      <w:jc w:val="center"/>
    </w:pPr>
    <w:rPr>
      <w:rFonts w:hAnsi="宋体" w:eastAsia="华文中宋" w:cs="Times New Roman"/>
      <w:sz w:val="21"/>
      <w:szCs w:val="28"/>
    </w:rPr>
  </w:style>
  <w:style w:type="paragraph" w:customStyle="1" w:styleId="58">
    <w:name w:val="A正文"/>
    <w:basedOn w:val="1"/>
    <w:qFormat/>
    <w:uiPriority w:val="0"/>
    <w:pPr>
      <w:widowControl/>
      <w:ind w:firstLine="420"/>
      <w:jc w:val="left"/>
    </w:pPr>
    <w:rPr>
      <w:kern w:val="0"/>
      <w:szCs w:val="24"/>
    </w:rPr>
  </w:style>
  <w:style w:type="paragraph" w:customStyle="1" w:styleId="59">
    <w:name w:val="+正文"/>
    <w:basedOn w:val="1"/>
    <w:qFormat/>
    <w:uiPriority w:val="0"/>
    <w:pPr>
      <w:spacing w:line="440" w:lineRule="exact"/>
      <w:ind w:firstLine="420"/>
    </w:pPr>
    <w:rPr>
      <w:rFonts w:cs="Times New Roman"/>
      <w:szCs w:val="28"/>
    </w:rPr>
  </w:style>
  <w:style w:type="paragraph" w:customStyle="1" w:styleId="60">
    <w:name w:val="纯文本2"/>
    <w:basedOn w:val="1"/>
    <w:qFormat/>
    <w:uiPriority w:val="0"/>
    <w:pPr>
      <w:spacing w:line="240" w:lineRule="auto"/>
      <w:ind w:firstLine="0" w:firstLineChars="0"/>
    </w:pPr>
    <w:rPr>
      <w:rFonts w:ascii="宋体" w:hAnsi="Courier New" w:eastAsia="仿宋_GB2312" w:cs="Times New Roman"/>
      <w:kern w:val="0"/>
      <w:sz w:val="28"/>
      <w:szCs w:val="20"/>
    </w:rPr>
  </w:style>
  <w:style w:type="character" w:customStyle="1" w:styleId="61">
    <w:name w:val="正文文本缩进 字符1"/>
    <w:link w:val="11"/>
    <w:qFormat/>
    <w:uiPriority w:val="0"/>
    <w:rPr>
      <w:rFonts w:ascii="宋体" w:hAnsi="Times New Roman" w:eastAsia="宋体" w:cs="Times New Roman"/>
      <w:sz w:val="24"/>
      <w:szCs w:val="28"/>
      <w:lang w:val="zh-CN" w:eastAsia="zh-CN"/>
    </w:rPr>
  </w:style>
  <w:style w:type="character" w:customStyle="1" w:styleId="62">
    <w:name w:val="正文文本缩进 字符"/>
    <w:basedOn w:val="34"/>
    <w:qFormat/>
    <w:uiPriority w:val="99"/>
    <w:rPr>
      <w:rFonts w:ascii="Times New Roman" w:hAnsi="Times New Roman" w:eastAsia="宋体"/>
      <w:sz w:val="24"/>
    </w:rPr>
  </w:style>
  <w:style w:type="character" w:customStyle="1" w:styleId="63">
    <w:name w:val="正文文本首行缩进 2 字符"/>
    <w:basedOn w:val="61"/>
    <w:link w:val="31"/>
    <w:qFormat/>
    <w:uiPriority w:val="0"/>
    <w:rPr>
      <w:rFonts w:ascii="Times New Roman" w:hAnsi="Times New Roman" w:eastAsia="宋体" w:cs="Times New Roman"/>
      <w:sz w:val="24"/>
      <w:szCs w:val="28"/>
      <w:lang w:val="zh-CN" w:eastAsia="zh-CN"/>
    </w:rPr>
  </w:style>
  <w:style w:type="paragraph" w:customStyle="1" w:styleId="64">
    <w:name w:val="表注"/>
    <w:basedOn w:val="1"/>
    <w:next w:val="1"/>
    <w:link w:val="65"/>
    <w:qFormat/>
    <w:uiPriority w:val="0"/>
    <w:pPr>
      <w:keepLines/>
      <w:spacing w:line="240" w:lineRule="auto"/>
      <w:ind w:left="300" w:leftChars="100" w:right="50" w:rightChars="50" w:hanging="200" w:hangingChars="200"/>
    </w:pPr>
    <w:rPr>
      <w:rFonts w:ascii="宋体" w:cs="Times New Roman"/>
      <w:color w:val="FF0000"/>
      <w:sz w:val="21"/>
      <w:szCs w:val="21"/>
      <w:lang w:val="zh-CN" w:eastAsia="zh-CN"/>
    </w:rPr>
  </w:style>
  <w:style w:type="character" w:customStyle="1" w:styleId="65">
    <w:name w:val="表注 Char Char"/>
    <w:link w:val="64"/>
    <w:qFormat/>
    <w:uiPriority w:val="0"/>
    <w:rPr>
      <w:rFonts w:ascii="宋体" w:hAnsi="Times New Roman" w:eastAsia="宋体" w:cs="Times New Roman"/>
      <w:color w:val="FF0000"/>
      <w:szCs w:val="21"/>
      <w:lang w:val="zh-CN" w:eastAsia="zh-CN"/>
    </w:rPr>
  </w:style>
  <w:style w:type="character" w:customStyle="1" w:styleId="66">
    <w:name w:val="纯文本 字符1"/>
    <w:link w:val="14"/>
    <w:qFormat/>
    <w:uiPriority w:val="0"/>
    <w:rPr>
      <w:rFonts w:ascii="宋体" w:hAnsi="Courier New" w:eastAsia="仿宋_GB2312" w:cs="Times New Roman"/>
      <w:sz w:val="28"/>
      <w:szCs w:val="20"/>
    </w:rPr>
  </w:style>
  <w:style w:type="character" w:customStyle="1" w:styleId="67">
    <w:name w:val="纯文本 字符"/>
    <w:basedOn w:val="34"/>
    <w:qFormat/>
    <w:uiPriority w:val="0"/>
    <w:rPr>
      <w:rFonts w:hAnsi="Courier New" w:cs="Courier New" w:asciiTheme="minorEastAsia"/>
      <w:sz w:val="24"/>
    </w:rPr>
  </w:style>
  <w:style w:type="paragraph" w:customStyle="1" w:styleId="68">
    <w:name w:val="默认段落字体 Para Char Char Char Char Char Char Char"/>
    <w:basedOn w:val="1"/>
    <w:qFormat/>
    <w:uiPriority w:val="0"/>
    <w:pPr>
      <w:adjustRightInd w:val="0"/>
      <w:ind w:firstLine="0" w:firstLineChars="0"/>
    </w:pPr>
    <w:rPr>
      <w:rFonts w:cs="Times New Roman"/>
      <w:kern w:val="0"/>
      <w:szCs w:val="20"/>
    </w:rPr>
  </w:style>
  <w:style w:type="paragraph" w:customStyle="1" w:styleId="69">
    <w:name w:val="样式12"/>
    <w:basedOn w:val="1"/>
    <w:link w:val="70"/>
    <w:qFormat/>
    <w:uiPriority w:val="0"/>
    <w:rPr>
      <w:rFonts w:ascii="宋体" w:hAnsi="宋体" w:cs="Times New Roman"/>
      <w:szCs w:val="24"/>
      <w:lang w:val="zh-CN" w:eastAsia="zh-CN"/>
    </w:rPr>
  </w:style>
  <w:style w:type="character" w:customStyle="1" w:styleId="70">
    <w:name w:val="样式12 Char"/>
    <w:link w:val="69"/>
    <w:qFormat/>
    <w:uiPriority w:val="0"/>
    <w:rPr>
      <w:rFonts w:ascii="宋体" w:hAnsi="宋体" w:eastAsia="宋体" w:cs="Times New Roman"/>
      <w:sz w:val="24"/>
      <w:szCs w:val="24"/>
      <w:lang w:val="zh-CN" w:eastAsia="zh-CN"/>
    </w:rPr>
  </w:style>
  <w:style w:type="character" w:customStyle="1" w:styleId="71">
    <w:name w:val="正文缩进 字符"/>
    <w:link w:val="7"/>
    <w:qFormat/>
    <w:uiPriority w:val="0"/>
    <w:rPr>
      <w:rFonts w:ascii="Times New Roman" w:hAnsi="Times New Roman" w:eastAsia="仿宋_GB2312" w:cs="Times New Roman"/>
      <w:kern w:val="0"/>
      <w:sz w:val="28"/>
      <w:szCs w:val="20"/>
      <w:lang w:val="zh-CN" w:eastAsia="zh-CN"/>
    </w:rPr>
  </w:style>
  <w:style w:type="paragraph" w:customStyle="1" w:styleId="72">
    <w:name w:val="吴表格"/>
    <w:basedOn w:val="1"/>
    <w:qFormat/>
    <w:uiPriority w:val="0"/>
    <w:pPr>
      <w:spacing w:line="240" w:lineRule="auto"/>
      <w:ind w:firstLine="0" w:firstLineChars="0"/>
      <w:jc w:val="center"/>
    </w:pPr>
    <w:rPr>
      <w:sz w:val="21"/>
      <w:szCs w:val="21"/>
    </w:rPr>
  </w:style>
  <w:style w:type="character" w:customStyle="1" w:styleId="73">
    <w:name w:val="正文缩进 Char"/>
    <w:qFormat/>
    <w:uiPriority w:val="0"/>
    <w:rPr>
      <w:rFonts w:eastAsia="宋体"/>
      <w:kern w:val="2"/>
      <w:sz w:val="21"/>
      <w:szCs w:val="24"/>
      <w:lang w:val="en-US" w:eastAsia="zh-CN" w:bidi="ar-SA"/>
    </w:rPr>
  </w:style>
  <w:style w:type="character" w:customStyle="1" w:styleId="74">
    <w:name w:val="纯文本 Char Char"/>
    <w:qFormat/>
    <w:uiPriority w:val="0"/>
    <w:rPr>
      <w:rFonts w:ascii="宋体" w:hAnsi="Courier New" w:eastAsia="宋体" w:cs="Courier New"/>
      <w:kern w:val="2"/>
      <w:sz w:val="21"/>
      <w:szCs w:val="21"/>
      <w:lang w:val="en-US" w:eastAsia="zh-CN" w:bidi="ar-SA"/>
    </w:rPr>
  </w:style>
  <w:style w:type="paragraph" w:customStyle="1" w:styleId="75">
    <w:name w:val="表"/>
    <w:basedOn w:val="1"/>
    <w:qFormat/>
    <w:uiPriority w:val="0"/>
    <w:pPr>
      <w:spacing w:line="240" w:lineRule="auto"/>
      <w:ind w:firstLine="0" w:firstLineChars="0"/>
    </w:pPr>
    <w:rPr>
      <w:rFonts w:cs="Times New Roman"/>
      <w:szCs w:val="20"/>
    </w:rPr>
  </w:style>
  <w:style w:type="paragraph" w:customStyle="1" w:styleId="76">
    <w:name w:val="Char Char Char Char"/>
    <w:basedOn w:val="1"/>
    <w:qFormat/>
    <w:uiPriority w:val="0"/>
    <w:pPr>
      <w:spacing w:line="240" w:lineRule="auto"/>
      <w:ind w:firstLine="0" w:firstLineChars="0"/>
    </w:pPr>
    <w:rPr>
      <w:rFonts w:cs="Times New Roman"/>
      <w:sz w:val="21"/>
      <w:szCs w:val="24"/>
    </w:rPr>
  </w:style>
  <w:style w:type="paragraph" w:customStyle="1" w:styleId="77">
    <w:name w:val="表格文字0"/>
    <w:basedOn w:val="1"/>
    <w:next w:val="1"/>
    <w:link w:val="78"/>
    <w:autoRedefine/>
    <w:uiPriority w:val="0"/>
    <w:pPr>
      <w:tabs>
        <w:tab w:val="center" w:pos="4153"/>
        <w:tab w:val="right" w:pos="8306"/>
      </w:tabs>
      <w:snapToGrid w:val="0"/>
      <w:ind w:firstLine="480"/>
    </w:pPr>
    <w:rPr>
      <w:rFonts w:cs="Times New Roman"/>
      <w:color w:val="000000"/>
      <w:kern w:val="0"/>
      <w:szCs w:val="24"/>
    </w:rPr>
  </w:style>
  <w:style w:type="character" w:customStyle="1" w:styleId="78">
    <w:name w:val="表格文字0 Char"/>
    <w:link w:val="77"/>
    <w:qFormat/>
    <w:uiPriority w:val="0"/>
    <w:rPr>
      <w:rFonts w:ascii="Times New Roman" w:hAnsi="Times New Roman" w:eastAsia="宋体" w:cs="Times New Roman"/>
      <w:color w:val="000000"/>
      <w:kern w:val="0"/>
      <w:sz w:val="24"/>
      <w:szCs w:val="24"/>
    </w:rPr>
  </w:style>
  <w:style w:type="paragraph" w:customStyle="1" w:styleId="79">
    <w:name w:val="报告正文"/>
    <w:basedOn w:val="1"/>
    <w:link w:val="80"/>
    <w:qFormat/>
    <w:uiPriority w:val="0"/>
    <w:pPr>
      <w:adjustRightInd w:val="0"/>
      <w:snapToGrid w:val="0"/>
      <w:spacing w:before="78" w:line="300" w:lineRule="auto"/>
      <w:ind w:firstLine="556" w:firstLineChars="0"/>
    </w:pPr>
    <w:rPr>
      <w:rFonts w:cs="Times New Roman"/>
      <w:sz w:val="28"/>
      <w:szCs w:val="20"/>
    </w:rPr>
  </w:style>
  <w:style w:type="character" w:customStyle="1" w:styleId="80">
    <w:name w:val="报告正文 Char"/>
    <w:link w:val="79"/>
    <w:uiPriority w:val="0"/>
    <w:rPr>
      <w:rFonts w:ascii="Times New Roman" w:hAnsi="Times New Roman" w:eastAsia="宋体" w:cs="Times New Roman"/>
      <w:sz w:val="28"/>
      <w:szCs w:val="20"/>
    </w:rPr>
  </w:style>
  <w:style w:type="paragraph" w:customStyle="1" w:styleId="81">
    <w:name w:val="表头"/>
    <w:basedOn w:val="1"/>
    <w:link w:val="82"/>
    <w:uiPriority w:val="0"/>
    <w:pPr>
      <w:spacing w:before="20" w:beforeLines="20" w:after="20" w:afterLines="20" w:line="460" w:lineRule="exact"/>
      <w:ind w:firstLine="0" w:firstLineChars="0"/>
      <w:jc w:val="center"/>
    </w:pPr>
    <w:rPr>
      <w:rFonts w:ascii="宋体" w:hAnsi="宋体" w:cs="Times New Roman"/>
      <w:b/>
      <w:color w:val="000000"/>
      <w:szCs w:val="28"/>
    </w:rPr>
  </w:style>
  <w:style w:type="character" w:customStyle="1" w:styleId="82">
    <w:name w:val="表头 Char2"/>
    <w:link w:val="81"/>
    <w:qFormat/>
    <w:uiPriority w:val="0"/>
    <w:rPr>
      <w:rFonts w:ascii="宋体" w:hAnsi="宋体" w:eastAsia="宋体" w:cs="Times New Roman"/>
      <w:b/>
      <w:color w:val="000000"/>
      <w:sz w:val="24"/>
      <w:szCs w:val="28"/>
    </w:rPr>
  </w:style>
  <w:style w:type="character" w:customStyle="1" w:styleId="83">
    <w:name w:val="正文文本缩进 3 字符"/>
    <w:basedOn w:val="34"/>
    <w:link w:val="24"/>
    <w:qFormat/>
    <w:uiPriority w:val="0"/>
    <w:rPr>
      <w:rFonts w:ascii="Times New Roman" w:hAnsi="Times New Roman" w:eastAsia="宋体" w:cs="Times New Roman"/>
      <w:sz w:val="16"/>
      <w:szCs w:val="16"/>
    </w:rPr>
  </w:style>
  <w:style w:type="paragraph" w:customStyle="1" w:styleId="84">
    <w:name w:val="xl24"/>
    <w:basedOn w:val="1"/>
    <w:qFormat/>
    <w:uiPriority w:val="0"/>
    <w:pPr>
      <w:widowControl/>
      <w:spacing w:before="100" w:beforeAutospacing="1" w:after="100" w:afterAutospacing="1" w:line="240" w:lineRule="auto"/>
      <w:ind w:firstLine="0" w:firstLineChars="0"/>
      <w:jc w:val="center"/>
    </w:pPr>
    <w:rPr>
      <w:rFonts w:ascii="宋体" w:hAnsi="宋体" w:cs="Times New Roman"/>
      <w:kern w:val="0"/>
      <w:szCs w:val="24"/>
    </w:rPr>
  </w:style>
  <w:style w:type="character" w:customStyle="1" w:styleId="85">
    <w:name w:val="题注 字符"/>
    <w:link w:val="8"/>
    <w:qFormat/>
    <w:uiPriority w:val="0"/>
    <w:rPr>
      <w:rFonts w:ascii="Arial" w:hAnsi="Arial" w:eastAsia="黑体" w:cs="Arial"/>
      <w:sz w:val="20"/>
      <w:szCs w:val="20"/>
    </w:rPr>
  </w:style>
  <w:style w:type="paragraph" w:customStyle="1" w:styleId="86">
    <w:name w:val="TOC Heading"/>
    <w:basedOn w:val="2"/>
    <w:next w:val="1"/>
    <w:unhideWhenUsed/>
    <w:qFormat/>
    <w:uiPriority w:val="39"/>
    <w:pPr>
      <w:widowControl/>
      <w:spacing w:before="240" w:after="0" w:line="259" w:lineRule="auto"/>
      <w:ind w:firstLine="0" w:firstLineChars="0"/>
      <w:jc w:val="left"/>
      <w:outlineLvl w:val="9"/>
    </w:pPr>
    <w:rPr>
      <w:rFonts w:asciiTheme="majorHAnsi" w:hAnsiTheme="majorHAnsi" w:eastAsiaTheme="majorEastAsia" w:cstheme="majorBidi"/>
      <w:b w:val="0"/>
      <w:bCs w:val="0"/>
      <w:color w:val="2F5597" w:themeColor="accent1" w:themeShade="BF"/>
      <w:kern w:val="0"/>
      <w:sz w:val="32"/>
      <w:szCs w:val="32"/>
    </w:rPr>
  </w:style>
  <w:style w:type="table" w:customStyle="1" w:styleId="87">
    <w:name w:val="网格型1"/>
    <w:basedOn w:val="3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8">
    <w:name w:val="1表头 Char"/>
    <w:link w:val="89"/>
    <w:qFormat/>
    <w:uiPriority w:val="0"/>
    <w:rPr>
      <w:rFonts w:ascii="Times New Roman" w:hAnsi="Times New Roman"/>
      <w:b/>
      <w:sz w:val="24"/>
    </w:rPr>
  </w:style>
  <w:style w:type="paragraph" w:customStyle="1" w:styleId="89">
    <w:name w:val="1表头"/>
    <w:basedOn w:val="1"/>
    <w:link w:val="88"/>
    <w:qFormat/>
    <w:uiPriority w:val="0"/>
    <w:pPr>
      <w:ind w:firstLine="0" w:firstLineChars="0"/>
      <w:jc w:val="center"/>
    </w:pPr>
    <w:rPr>
      <w:rFonts w:eastAsiaTheme="minorEastAsia"/>
      <w:b/>
    </w:rPr>
  </w:style>
  <w:style w:type="character" w:customStyle="1" w:styleId="90">
    <w:name w:val="正文文本缩进 2 字符"/>
    <w:basedOn w:val="34"/>
    <w:link w:val="17"/>
    <w:uiPriority w:val="0"/>
    <w:rPr>
      <w:rFonts w:ascii="Times New Roman" w:hAnsi="Times New Roman" w:eastAsia="宋体"/>
      <w:snapToGrid w:val="0"/>
      <w:sz w:val="24"/>
      <w:szCs w:val="24"/>
    </w:rPr>
  </w:style>
  <w:style w:type="paragraph" w:customStyle="1" w:styleId="91">
    <w:name w:val="TOC 71"/>
    <w:basedOn w:val="1"/>
    <w:next w:val="1"/>
    <w:unhideWhenUsed/>
    <w:qFormat/>
    <w:uiPriority w:val="39"/>
    <w:pPr>
      <w:spacing w:line="240" w:lineRule="auto"/>
      <w:ind w:left="2520" w:leftChars="1200" w:firstLine="0" w:firstLineChars="0"/>
    </w:pPr>
    <w:rPr>
      <w:rFonts w:ascii="Calibri" w:hAnsi="Calibri"/>
      <w:sz w:val="21"/>
    </w:rPr>
  </w:style>
  <w:style w:type="character" w:customStyle="1" w:styleId="92">
    <w:name w:val="正文文本 字符"/>
    <w:basedOn w:val="34"/>
    <w:link w:val="10"/>
    <w:uiPriority w:val="0"/>
    <w:rPr>
      <w:rFonts w:ascii="Times New Roman" w:hAnsi="Times New Roman" w:eastAsia="宋体"/>
      <w:kern w:val="0"/>
      <w:sz w:val="24"/>
      <w:szCs w:val="24"/>
    </w:rPr>
  </w:style>
  <w:style w:type="paragraph" w:customStyle="1" w:styleId="93">
    <w:name w:val="TOC 51"/>
    <w:basedOn w:val="1"/>
    <w:next w:val="1"/>
    <w:unhideWhenUsed/>
    <w:qFormat/>
    <w:uiPriority w:val="39"/>
    <w:pPr>
      <w:spacing w:line="240" w:lineRule="auto"/>
      <w:ind w:left="1680" w:leftChars="800" w:firstLine="0" w:firstLineChars="0"/>
    </w:pPr>
    <w:rPr>
      <w:rFonts w:ascii="Calibri" w:hAnsi="Calibri"/>
      <w:sz w:val="21"/>
    </w:rPr>
  </w:style>
  <w:style w:type="paragraph" w:customStyle="1" w:styleId="94">
    <w:name w:val="TOC 81"/>
    <w:basedOn w:val="1"/>
    <w:next w:val="1"/>
    <w:unhideWhenUsed/>
    <w:qFormat/>
    <w:uiPriority w:val="39"/>
    <w:pPr>
      <w:spacing w:line="240" w:lineRule="auto"/>
      <w:ind w:left="2940" w:leftChars="1400" w:firstLine="0" w:firstLineChars="0"/>
    </w:pPr>
    <w:rPr>
      <w:rFonts w:ascii="Calibri" w:hAnsi="Calibri"/>
      <w:sz w:val="21"/>
    </w:rPr>
  </w:style>
  <w:style w:type="paragraph" w:customStyle="1" w:styleId="95">
    <w:name w:val="TOC 41"/>
    <w:basedOn w:val="1"/>
    <w:next w:val="1"/>
    <w:unhideWhenUsed/>
    <w:qFormat/>
    <w:uiPriority w:val="39"/>
    <w:pPr>
      <w:spacing w:line="240" w:lineRule="auto"/>
      <w:ind w:left="1260" w:leftChars="600" w:firstLine="0" w:firstLineChars="0"/>
    </w:pPr>
    <w:rPr>
      <w:rFonts w:ascii="Calibri" w:hAnsi="Calibri"/>
      <w:sz w:val="21"/>
    </w:rPr>
  </w:style>
  <w:style w:type="paragraph" w:customStyle="1" w:styleId="96">
    <w:name w:val="TOC 61"/>
    <w:basedOn w:val="1"/>
    <w:next w:val="1"/>
    <w:unhideWhenUsed/>
    <w:qFormat/>
    <w:uiPriority w:val="39"/>
    <w:pPr>
      <w:spacing w:line="240" w:lineRule="auto"/>
      <w:ind w:left="2100" w:leftChars="1000" w:firstLine="0" w:firstLineChars="0"/>
    </w:pPr>
    <w:rPr>
      <w:rFonts w:ascii="Calibri" w:hAnsi="Calibri"/>
      <w:sz w:val="21"/>
    </w:rPr>
  </w:style>
  <w:style w:type="paragraph" w:customStyle="1" w:styleId="97">
    <w:name w:val="TOC 91"/>
    <w:basedOn w:val="1"/>
    <w:next w:val="1"/>
    <w:unhideWhenUsed/>
    <w:qFormat/>
    <w:uiPriority w:val="39"/>
    <w:pPr>
      <w:spacing w:line="240" w:lineRule="auto"/>
      <w:ind w:left="3360" w:leftChars="1600" w:firstLine="0" w:firstLineChars="0"/>
    </w:pPr>
    <w:rPr>
      <w:rFonts w:ascii="Calibri" w:hAnsi="Calibri"/>
      <w:sz w:val="21"/>
    </w:rPr>
  </w:style>
  <w:style w:type="paragraph" w:customStyle="1" w:styleId="98">
    <w:name w:val="标题1"/>
    <w:basedOn w:val="1"/>
    <w:next w:val="1"/>
    <w:qFormat/>
    <w:uiPriority w:val="0"/>
    <w:pPr>
      <w:ind w:firstLine="0" w:firstLineChars="0"/>
      <w:jc w:val="left"/>
      <w:outlineLvl w:val="2"/>
    </w:pPr>
    <w:rPr>
      <w:b/>
      <w:bCs/>
      <w:szCs w:val="32"/>
    </w:rPr>
  </w:style>
  <w:style w:type="character" w:customStyle="1" w:styleId="99">
    <w:name w:val="标题 字符"/>
    <w:basedOn w:val="34"/>
    <w:link w:val="28"/>
    <w:uiPriority w:val="0"/>
    <w:rPr>
      <w:rFonts w:ascii="Times New Roman" w:hAnsi="Times New Roman"/>
      <w:b/>
      <w:bCs/>
      <w:sz w:val="24"/>
      <w:szCs w:val="32"/>
    </w:rPr>
  </w:style>
  <w:style w:type="character" w:customStyle="1" w:styleId="100">
    <w:name w:val="正文文本首行缩进 字符"/>
    <w:basedOn w:val="92"/>
    <w:link w:val="30"/>
    <w:uiPriority w:val="0"/>
    <w:rPr>
      <w:rFonts w:ascii="Times New Roman" w:hAnsi="Times New Roman" w:eastAsia="宋体"/>
      <w:kern w:val="0"/>
      <w:sz w:val="24"/>
      <w:szCs w:val="24"/>
    </w:rPr>
  </w:style>
  <w:style w:type="table" w:customStyle="1" w:styleId="101">
    <w:name w:val="网格型11"/>
    <w:basedOn w:val="32"/>
    <w:qFormat/>
    <w:uiPriority w:val="3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2">
    <w:name w:val="超链接1"/>
    <w:basedOn w:val="34"/>
    <w:unhideWhenUsed/>
    <w:qFormat/>
    <w:uiPriority w:val="99"/>
    <w:rPr>
      <w:color w:val="0563C1"/>
      <w:u w:val="single"/>
    </w:rPr>
  </w:style>
  <w:style w:type="paragraph" w:customStyle="1" w:styleId="103">
    <w:name w:val="标号正文"/>
    <w:basedOn w:val="1"/>
    <w:next w:val="1"/>
    <w:qFormat/>
    <w:uiPriority w:val="0"/>
    <w:pPr>
      <w:tabs>
        <w:tab w:val="left" w:pos="1540"/>
      </w:tabs>
      <w:overflowPunct w:val="0"/>
      <w:snapToGrid w:val="0"/>
      <w:ind w:firstLine="1040"/>
      <w:jc w:val="left"/>
    </w:pPr>
    <w:rPr>
      <w:rFonts w:ascii="Arial" w:hAnsi="Arial"/>
      <w:szCs w:val="20"/>
    </w:rPr>
  </w:style>
  <w:style w:type="paragraph" w:customStyle="1" w:styleId="104">
    <w:name w:val="吴正文"/>
    <w:basedOn w:val="1"/>
    <w:link w:val="105"/>
    <w:qFormat/>
    <w:uiPriority w:val="0"/>
    <w:pPr>
      <w:widowControl/>
    </w:pPr>
    <w:rPr>
      <w:rFonts w:cs="Times New Roman"/>
      <w:szCs w:val="24"/>
    </w:rPr>
  </w:style>
  <w:style w:type="character" w:customStyle="1" w:styleId="105">
    <w:name w:val="吴正文 Char"/>
    <w:link w:val="104"/>
    <w:qFormat/>
    <w:uiPriority w:val="0"/>
    <w:rPr>
      <w:rFonts w:ascii="Times New Roman" w:hAnsi="Times New Roman" w:eastAsia="宋体" w:cs="Times New Roman"/>
      <w:sz w:val="24"/>
      <w:szCs w:val="24"/>
    </w:rPr>
  </w:style>
  <w:style w:type="paragraph" w:customStyle="1" w:styleId="106">
    <w:name w:val="吴表头"/>
    <w:basedOn w:val="1"/>
    <w:qFormat/>
    <w:uiPriority w:val="0"/>
    <w:pPr>
      <w:adjustRightInd w:val="0"/>
      <w:snapToGrid w:val="0"/>
      <w:jc w:val="center"/>
    </w:pPr>
    <w:rPr>
      <w:rFonts w:cs="Times New Roman"/>
      <w:b/>
      <w:szCs w:val="24"/>
    </w:rPr>
  </w:style>
  <w:style w:type="paragraph" w:customStyle="1" w:styleId="107">
    <w:name w:val="Char1"/>
    <w:basedOn w:val="108"/>
    <w:next w:val="109"/>
    <w:qFormat/>
    <w:uiPriority w:val="0"/>
    <w:pPr>
      <w:framePr w:hSpace="180" w:wrap="around" w:vAnchor="text" w:hAnchor="text" w:xAlign="center" w:y="1"/>
      <w:autoSpaceDE w:val="0"/>
      <w:autoSpaceDN w:val="0"/>
      <w:spacing w:line="240" w:lineRule="auto"/>
      <w:ind w:firstLine="0" w:firstLineChars="0"/>
    </w:pPr>
    <w:rPr>
      <w:szCs w:val="21"/>
      <w:lang w:eastAsia="en-US"/>
    </w:rPr>
  </w:style>
  <w:style w:type="paragraph" w:customStyle="1" w:styleId="108">
    <w:name w:val="1表格"/>
    <w:basedOn w:val="1"/>
    <w:qFormat/>
    <w:uiPriority w:val="0"/>
    <w:pPr>
      <w:adjustRightInd w:val="0"/>
      <w:snapToGrid w:val="0"/>
      <w:ind w:firstLine="420"/>
      <w:jc w:val="center"/>
      <w:textAlignment w:val="baseline"/>
    </w:pPr>
    <w:rPr>
      <w:rFonts w:cs="Times New Roman"/>
      <w:spacing w:val="4"/>
      <w:sz w:val="21"/>
      <w:szCs w:val="20"/>
    </w:rPr>
  </w:style>
  <w:style w:type="paragraph" w:customStyle="1" w:styleId="109">
    <w:name w:val="A表格"/>
    <w:basedOn w:val="1"/>
    <w:qFormat/>
    <w:uiPriority w:val="0"/>
    <w:pPr>
      <w:spacing w:line="240" w:lineRule="auto"/>
      <w:ind w:firstLine="0" w:firstLineChars="0"/>
      <w:jc w:val="center"/>
    </w:pPr>
    <w:rPr>
      <w:rFonts w:cs="Times New Roman"/>
      <w:sz w:val="21"/>
      <w:szCs w:val="21"/>
    </w:rPr>
  </w:style>
  <w:style w:type="paragraph" w:customStyle="1" w:styleId="110">
    <w:name w:val="简单回函地址"/>
    <w:basedOn w:val="1"/>
    <w:qFormat/>
    <w:uiPriority w:val="0"/>
    <w:pPr>
      <w:ind w:firstLine="420"/>
    </w:pPr>
    <w:rPr>
      <w:szCs w:val="24"/>
    </w:rPr>
  </w:style>
  <w:style w:type="paragraph" w:customStyle="1" w:styleId="111">
    <w:name w:val="表格字体"/>
    <w:qFormat/>
    <w:uiPriority w:val="0"/>
    <w:pPr>
      <w:widowControl w:val="0"/>
      <w:jc w:val="center"/>
    </w:pPr>
    <w:rPr>
      <w:rFonts w:ascii="Times New Roman" w:hAnsi="Times New Roman" w:eastAsia="宋体" w:cs="宋体"/>
      <w:color w:val="000000"/>
      <w:kern w:val="21"/>
      <w:sz w:val="21"/>
      <w:szCs w:val="21"/>
      <w:lang w:val="en-GB" w:eastAsia="zh-CN" w:bidi="ar-SA"/>
    </w:rPr>
  </w:style>
  <w:style w:type="paragraph" w:customStyle="1" w:styleId="112">
    <w:name w:val="样式 首行缩进:  2 字符1"/>
    <w:basedOn w:val="1"/>
    <w:qFormat/>
    <w:uiPriority w:val="0"/>
    <w:pPr>
      <w:topLinePunct/>
      <w:spacing w:line="529" w:lineRule="exact"/>
      <w:ind w:firstLine="480"/>
    </w:pPr>
    <w:rPr>
      <w:szCs w:val="24"/>
    </w:rPr>
  </w:style>
  <w:style w:type="paragraph" w:customStyle="1" w:styleId="113">
    <w:name w:val="YZM表内容"/>
    <w:basedOn w:val="1"/>
    <w:qFormat/>
    <w:uiPriority w:val="0"/>
    <w:pPr>
      <w:spacing w:beforeLines="50"/>
      <w:ind w:firstLine="420"/>
      <w:jc w:val="center"/>
    </w:pPr>
    <w:rPr>
      <w:rFonts w:ascii="黑体" w:hAnsi="宋体" w:eastAsia="黑体"/>
      <w:bCs/>
      <w:szCs w:val="24"/>
    </w:rPr>
  </w:style>
  <w:style w:type="paragraph" w:customStyle="1" w:styleId="114">
    <w:name w:val="表文字"/>
    <w:basedOn w:val="1"/>
    <w:link w:val="138"/>
    <w:qFormat/>
    <w:uiPriority w:val="0"/>
    <w:pPr>
      <w:topLinePunct/>
      <w:adjustRightInd w:val="0"/>
      <w:spacing w:line="240" w:lineRule="exact"/>
      <w:ind w:firstLine="420"/>
      <w:jc w:val="center"/>
      <w:textAlignment w:val="baseline"/>
    </w:pPr>
    <w:rPr>
      <w:szCs w:val="21"/>
    </w:rPr>
  </w:style>
  <w:style w:type="paragraph" w:customStyle="1" w:styleId="115">
    <w:name w:val="正文 New New New New New New New"/>
    <w:qFormat/>
    <w:uiPriority w:val="0"/>
    <w:pPr>
      <w:widowControl w:val="0"/>
      <w:spacing w:line="360" w:lineRule="auto"/>
      <w:ind w:firstLine="200" w:firstLineChars="200"/>
    </w:pPr>
    <w:rPr>
      <w:rFonts w:ascii="Times New Roman" w:hAnsi="Times New Roman" w:eastAsia="宋体" w:cs="Times New Roman"/>
      <w:kern w:val="0"/>
      <w:sz w:val="24"/>
      <w:szCs w:val="22"/>
      <w:lang w:val="en-US" w:eastAsia="zh-CN" w:bidi="ar-SA"/>
    </w:rPr>
  </w:style>
  <w:style w:type="paragraph" w:customStyle="1" w:styleId="116">
    <w:name w:val="表格文字"/>
    <w:qFormat/>
    <w:uiPriority w:val="0"/>
    <w:pPr>
      <w:spacing w:beforeLines="10" w:afterLines="10" w:line="0" w:lineRule="atLeast"/>
      <w:jc w:val="center"/>
    </w:pPr>
    <w:rPr>
      <w:rFonts w:ascii="Times New Roman" w:hAnsi="Times New Roman" w:eastAsia="宋体" w:cs="Times New Roman"/>
      <w:kern w:val="2"/>
      <w:sz w:val="18"/>
      <w:szCs w:val="21"/>
      <w:lang w:val="en-US" w:eastAsia="zh-CN" w:bidi="ar-SA"/>
    </w:rPr>
  </w:style>
  <w:style w:type="table" w:customStyle="1" w:styleId="117">
    <w:name w:val="网格型111"/>
    <w:basedOn w:val="32"/>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8">
    <w:name w:val="表格"/>
    <w:basedOn w:val="25"/>
    <w:qFormat/>
    <w:uiPriority w:val="0"/>
    <w:pPr>
      <w:spacing w:line="400" w:lineRule="exact"/>
      <w:ind w:left="0" w:leftChars="0" w:firstLine="0" w:firstLineChars="0"/>
      <w:jc w:val="center"/>
    </w:pPr>
    <w:rPr>
      <w:sz w:val="21"/>
      <w:szCs w:val="21"/>
    </w:rPr>
  </w:style>
  <w:style w:type="paragraph" w:customStyle="1" w:styleId="119">
    <w:name w:val="1"/>
    <w:basedOn w:val="1"/>
    <w:next w:val="14"/>
    <w:qFormat/>
    <w:uiPriority w:val="0"/>
    <w:pPr>
      <w:widowControl/>
      <w:ind w:firstLine="0" w:firstLineChars="0"/>
      <w:jc w:val="left"/>
    </w:pPr>
    <w:rPr>
      <w:rFonts w:ascii="宋体" w:hAnsi="Courier New"/>
      <w:kern w:val="0"/>
      <w:szCs w:val="21"/>
    </w:rPr>
  </w:style>
  <w:style w:type="paragraph" w:customStyle="1" w:styleId="120">
    <w:name w:val="样式 样式 正文首行缩进 + 首行缩进:  2 字符 + 首行缩进:  2 字符"/>
    <w:basedOn w:val="1"/>
    <w:qFormat/>
    <w:uiPriority w:val="0"/>
    <w:pPr>
      <w:widowControl/>
      <w:topLinePunct/>
      <w:ind w:firstLine="480"/>
      <w:jc w:val="left"/>
    </w:pPr>
    <w:rPr>
      <w:rFonts w:hAnsi="宋体" w:eastAsia="Times New Roman"/>
      <w:kern w:val="0"/>
      <w:szCs w:val="20"/>
    </w:rPr>
  </w:style>
  <w:style w:type="paragraph" w:customStyle="1" w:styleId="121">
    <w:name w:val="11111111111"/>
    <w:basedOn w:val="1"/>
    <w:qFormat/>
    <w:uiPriority w:val="0"/>
    <w:pPr>
      <w:spacing w:line="480" w:lineRule="exact"/>
      <w:ind w:firstLine="0" w:firstLineChars="0"/>
      <w:jc w:val="center"/>
    </w:pPr>
    <w:rPr>
      <w:rFonts w:ascii="Calibri" w:hAnsi="Calibri" w:cs="Times New Roman"/>
      <w:b/>
      <w:sz w:val="21"/>
      <w:szCs w:val="24"/>
    </w:rPr>
  </w:style>
  <w:style w:type="character" w:customStyle="1" w:styleId="122">
    <w:name w:val="未处理的提及1"/>
    <w:basedOn w:val="34"/>
    <w:semiHidden/>
    <w:unhideWhenUsed/>
    <w:qFormat/>
    <w:uiPriority w:val="99"/>
    <w:rPr>
      <w:color w:val="605E5C"/>
      <w:shd w:val="clear" w:color="auto" w:fill="E1DFDD"/>
    </w:rPr>
  </w:style>
  <w:style w:type="paragraph" w:customStyle="1" w:styleId="123">
    <w:name w:val="Char"/>
    <w:basedOn w:val="1"/>
    <w:qFormat/>
    <w:uiPriority w:val="0"/>
    <w:pPr>
      <w:widowControl/>
      <w:spacing w:after="160" w:line="240" w:lineRule="exact"/>
      <w:ind w:firstLine="0" w:firstLineChars="0"/>
      <w:jc w:val="left"/>
    </w:pPr>
    <w:rPr>
      <w:rFonts w:ascii="Verdana" w:hAnsi="Verdana" w:eastAsia="仿宋_GB2312" w:cs="Times New Roman"/>
      <w:kern w:val="0"/>
      <w:sz w:val="30"/>
      <w:szCs w:val="30"/>
      <w:lang w:eastAsia="en-US"/>
    </w:rPr>
  </w:style>
  <w:style w:type="paragraph" w:customStyle="1" w:styleId="124">
    <w:name w:val="无间隔1"/>
    <w:qFormat/>
    <w:uiPriority w:val="1"/>
    <w:pPr>
      <w:widowControl w:val="0"/>
      <w:spacing w:line="360" w:lineRule="auto"/>
      <w:jc w:val="center"/>
    </w:pPr>
    <w:rPr>
      <w:rFonts w:ascii="Times New Roman" w:hAnsi="Times New Roman" w:eastAsia="宋体" w:cs="Times New Roman"/>
      <w:kern w:val="2"/>
      <w:sz w:val="24"/>
      <w:szCs w:val="24"/>
      <w:lang w:val="en-US" w:eastAsia="zh-CN" w:bidi="ar-SA"/>
    </w:rPr>
  </w:style>
  <w:style w:type="character" w:customStyle="1" w:styleId="125">
    <w:name w:val="标题 2 Char"/>
    <w:qFormat/>
    <w:uiPriority w:val="0"/>
    <w:rPr>
      <w:rFonts w:ascii="宋体"/>
      <w:b/>
      <w:color w:val="000080"/>
      <w:kern w:val="30"/>
      <w:sz w:val="30"/>
      <w:szCs w:val="32"/>
    </w:rPr>
  </w:style>
  <w:style w:type="paragraph" w:customStyle="1" w:styleId="126">
    <w:name w:val="列出段落1"/>
    <w:basedOn w:val="1"/>
    <w:qFormat/>
    <w:uiPriority w:val="0"/>
    <w:pPr>
      <w:ind w:firstLine="420"/>
    </w:pPr>
    <w:rPr>
      <w:rFonts w:ascii="宋体" w:cs="Times New Roman"/>
      <w:szCs w:val="28"/>
    </w:rPr>
  </w:style>
  <w:style w:type="paragraph" w:customStyle="1" w:styleId="127">
    <w:name w:val="表后空行"/>
    <w:basedOn w:val="1"/>
    <w:next w:val="1"/>
    <w:qFormat/>
    <w:uiPriority w:val="0"/>
    <w:pPr>
      <w:spacing w:line="240" w:lineRule="auto"/>
    </w:pPr>
    <w:rPr>
      <w:rFonts w:ascii="宋体" w:cs="Times New Roman"/>
      <w:kern w:val="18"/>
      <w:sz w:val="21"/>
      <w:szCs w:val="21"/>
    </w:rPr>
  </w:style>
  <w:style w:type="paragraph" w:customStyle="1" w:styleId="128">
    <w:name w:val="图表名"/>
    <w:basedOn w:val="1"/>
    <w:link w:val="129"/>
    <w:qFormat/>
    <w:uiPriority w:val="0"/>
    <w:pPr>
      <w:ind w:firstLine="0" w:firstLineChars="0"/>
      <w:jc w:val="center"/>
    </w:pPr>
    <w:rPr>
      <w:rFonts w:cs="Times New Roman"/>
      <w:b/>
      <w:szCs w:val="24"/>
    </w:rPr>
  </w:style>
  <w:style w:type="character" w:customStyle="1" w:styleId="129">
    <w:name w:val="图表名 Char"/>
    <w:link w:val="128"/>
    <w:qFormat/>
    <w:locked/>
    <w:uiPriority w:val="0"/>
    <w:rPr>
      <w:rFonts w:ascii="Times New Roman" w:hAnsi="Times New Roman" w:eastAsia="宋体" w:cs="Times New Roman"/>
      <w:b/>
      <w:sz w:val="24"/>
      <w:szCs w:val="24"/>
    </w:rPr>
  </w:style>
  <w:style w:type="paragraph" w:customStyle="1" w:styleId="130">
    <w:name w:val="样式 首行缩进:  2 字符"/>
    <w:basedOn w:val="1"/>
    <w:link w:val="131"/>
    <w:qFormat/>
    <w:uiPriority w:val="0"/>
    <w:pPr>
      <w:spacing w:line="480" w:lineRule="exact"/>
    </w:pPr>
    <w:rPr>
      <w:rFonts w:ascii="仿宋_GB2312" w:eastAsia="仿宋_GB2312" w:cs="Times New Roman"/>
      <w:kern w:val="0"/>
      <w:sz w:val="28"/>
      <w:szCs w:val="20"/>
    </w:rPr>
  </w:style>
  <w:style w:type="character" w:customStyle="1" w:styleId="131">
    <w:name w:val="样式 首行缩进:  2 字符 Char"/>
    <w:link w:val="130"/>
    <w:qFormat/>
    <w:uiPriority w:val="0"/>
    <w:rPr>
      <w:rFonts w:ascii="仿宋_GB2312" w:hAnsi="Times New Roman" w:eastAsia="仿宋_GB2312" w:cs="Times New Roman"/>
      <w:kern w:val="0"/>
      <w:sz w:val="28"/>
      <w:szCs w:val="20"/>
    </w:rPr>
  </w:style>
  <w:style w:type="character" w:customStyle="1" w:styleId="132">
    <w:name w:val="吴正文 Char Char"/>
    <w:qFormat/>
    <w:uiPriority w:val="0"/>
    <w:rPr>
      <w:kern w:val="2"/>
      <w:sz w:val="24"/>
      <w:szCs w:val="24"/>
    </w:rPr>
  </w:style>
  <w:style w:type="character" w:customStyle="1" w:styleId="133">
    <w:name w:val="标题 字符1"/>
    <w:basedOn w:val="34"/>
    <w:qFormat/>
    <w:uiPriority w:val="10"/>
    <w:rPr>
      <w:rFonts w:asciiTheme="majorHAnsi" w:hAnsiTheme="majorHAnsi" w:eastAsiaTheme="majorEastAsia" w:cstheme="majorBidi"/>
      <w:b/>
      <w:bCs/>
      <w:sz w:val="32"/>
      <w:szCs w:val="32"/>
    </w:rPr>
  </w:style>
  <w:style w:type="table" w:customStyle="1" w:styleId="134">
    <w:name w:val="网格型2"/>
    <w:basedOn w:val="3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5">
    <w:name w:val="未处理的提及2"/>
    <w:basedOn w:val="34"/>
    <w:semiHidden/>
    <w:unhideWhenUsed/>
    <w:qFormat/>
    <w:uiPriority w:val="99"/>
    <w:rPr>
      <w:color w:val="605E5C"/>
      <w:shd w:val="clear" w:color="auto" w:fill="E1DFDD"/>
    </w:rPr>
  </w:style>
  <w:style w:type="character" w:customStyle="1" w:styleId="136">
    <w:name w:val="正文（首行缩进） Char Char"/>
    <w:link w:val="137"/>
    <w:qFormat/>
    <w:uiPriority w:val="0"/>
    <w:rPr>
      <w:rFonts w:ascii="宋体" w:hAnsi="宋体"/>
      <w:color w:val="000000"/>
      <w:sz w:val="24"/>
    </w:rPr>
  </w:style>
  <w:style w:type="paragraph" w:customStyle="1" w:styleId="137">
    <w:name w:val="正文（首行缩进）"/>
    <w:basedOn w:val="1"/>
    <w:link w:val="136"/>
    <w:qFormat/>
    <w:uiPriority w:val="0"/>
    <w:pPr>
      <w:widowControl/>
      <w:jc w:val="left"/>
    </w:pPr>
    <w:rPr>
      <w:rFonts w:ascii="宋体" w:hAnsi="宋体" w:eastAsiaTheme="minorEastAsia"/>
      <w:color w:val="000000"/>
    </w:rPr>
  </w:style>
  <w:style w:type="character" w:customStyle="1" w:styleId="138">
    <w:name w:val="表文字 Char1"/>
    <w:link w:val="114"/>
    <w:qFormat/>
    <w:uiPriority w:val="0"/>
    <w:rPr>
      <w:rFonts w:ascii="Times New Roman" w:hAnsi="Times New Roman" w:eastAsia="宋体"/>
      <w:sz w:val="24"/>
      <w:szCs w:val="21"/>
    </w:rPr>
  </w:style>
  <w:style w:type="table" w:customStyle="1" w:styleId="139">
    <w:name w:val="Table Normal"/>
    <w:semiHidden/>
    <w:unhideWhenUsed/>
    <w:qFormat/>
    <w:uiPriority w:val="0"/>
    <w:rPr>
      <w:rFonts w:ascii="Arial" w:hAnsi="Arial" w:cs="Arial"/>
      <w:snapToGrid w:val="0"/>
      <w:color w:val="000000"/>
      <w:kern w:val="0"/>
      <w:szCs w:val="21"/>
    </w:rPr>
    <w:tblPr>
      <w:tblCellMar>
        <w:top w:w="0" w:type="dxa"/>
        <w:left w:w="0" w:type="dxa"/>
        <w:bottom w:w="0" w:type="dxa"/>
        <w:right w:w="0" w:type="dxa"/>
      </w:tblCellMar>
    </w:tblPr>
  </w:style>
  <w:style w:type="table" w:customStyle="1" w:styleId="140">
    <w:name w:val="Table Normal1"/>
    <w:basedOn w:val="32"/>
    <w:semiHidden/>
    <w:qFormat/>
    <w:uiPriority w:val="0"/>
    <w:pPr>
      <w:widowControl w:val="0"/>
    </w:pPr>
    <w:rPr>
      <w:rFonts w:ascii="Calibri" w:hAnsi="Calibri" w:eastAsia="宋体" w:cs="Calibri"/>
      <w:kern w:val="0"/>
      <w:sz w:val="22"/>
      <w:lang w:eastAsia="en-US"/>
    </w:rPr>
    <w:tblPr>
      <w:tblCellMar>
        <w:left w:w="0" w:type="dxa"/>
        <w:right w:w="0" w:type="dxa"/>
      </w:tblCellMar>
    </w:tblPr>
  </w:style>
  <w:style w:type="table" w:customStyle="1" w:styleId="141">
    <w:name w:val="Table Normal2"/>
    <w:basedOn w:val="32"/>
    <w:semiHidden/>
    <w:qFormat/>
    <w:uiPriority w:val="0"/>
    <w:pPr>
      <w:widowControl w:val="0"/>
    </w:pPr>
    <w:rPr>
      <w:rFonts w:ascii="Calibri" w:hAnsi="Calibri" w:eastAsia="宋体" w:cs="Calibri"/>
      <w:kern w:val="0"/>
      <w:sz w:val="22"/>
      <w:lang w:eastAsia="en-US"/>
    </w:rPr>
    <w:tblPr>
      <w:tblCellMar>
        <w:left w:w="0" w:type="dxa"/>
        <w:right w:w="0" w:type="dxa"/>
      </w:tblCellMar>
    </w:tblPr>
  </w:style>
  <w:style w:type="table" w:customStyle="1" w:styleId="142">
    <w:name w:val="Table Normal3"/>
    <w:semiHidden/>
    <w:unhideWhenUsed/>
    <w:qFormat/>
    <w:uiPriority w:val="0"/>
    <w:rPr>
      <w:rFonts w:ascii="Arial" w:hAnsi="Arial" w:eastAsia="等线" w:cs="Arial"/>
      <w:snapToGrid w:val="0"/>
      <w:color w:val="000000"/>
      <w:kern w:val="0"/>
      <w:szCs w:val="21"/>
      <w:lang w:eastAsia="en-US"/>
    </w:rPr>
    <w:tblPr>
      <w:tblCellMar>
        <w:top w:w="0" w:type="dxa"/>
        <w:left w:w="0" w:type="dxa"/>
        <w:bottom w:w="0" w:type="dxa"/>
        <w:right w:w="0" w:type="dxa"/>
      </w:tblCellMar>
    </w:tblPr>
  </w:style>
  <w:style w:type="table" w:customStyle="1" w:styleId="143">
    <w:name w:val="Table Normal4"/>
    <w:semiHidden/>
    <w:unhideWhenUsed/>
    <w:qFormat/>
    <w:uiPriority w:val="0"/>
    <w:pPr>
      <w:spacing w:after="160" w:line="278" w:lineRule="auto"/>
    </w:pPr>
    <w:rPr>
      <w:rFonts w:ascii="Arial" w:hAnsi="Arial" w:cs="Arial"/>
      <w:snapToGrid w:val="0"/>
      <w:color w:val="000000"/>
      <w:kern w:val="0"/>
      <w:szCs w:val="21"/>
    </w:r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4" Type="http://schemas.openxmlformats.org/officeDocument/2006/relationships/fontTable" Target="fontTable.xml"/><Relationship Id="rId73" Type="http://schemas.openxmlformats.org/officeDocument/2006/relationships/customXml" Target="../customXml/item2.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52.png"/><Relationship Id="rId7" Type="http://schemas.openxmlformats.org/officeDocument/2006/relationships/header" Target="header3.xml"/><Relationship Id="rId69" Type="http://schemas.openxmlformats.org/officeDocument/2006/relationships/image" Target="media/image51.jpeg"/><Relationship Id="rId68" Type="http://schemas.openxmlformats.org/officeDocument/2006/relationships/image" Target="media/image50.png"/><Relationship Id="rId67" Type="http://schemas.openxmlformats.org/officeDocument/2006/relationships/image" Target="media/image49.jpeg"/><Relationship Id="rId66" Type="http://schemas.openxmlformats.org/officeDocument/2006/relationships/image" Target="media/image48.jpeg"/><Relationship Id="rId65" Type="http://schemas.openxmlformats.org/officeDocument/2006/relationships/image" Target="media/image47.jpe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png"/><Relationship Id="rId6" Type="http://schemas.openxmlformats.org/officeDocument/2006/relationships/header" Target="header2.xml"/><Relationship Id="rId59" Type="http://schemas.openxmlformats.org/officeDocument/2006/relationships/chart" Target="charts/chart4.xml"/><Relationship Id="rId58" Type="http://schemas.openxmlformats.org/officeDocument/2006/relationships/chart" Target="charts/chart3.xml"/><Relationship Id="rId57" Type="http://schemas.openxmlformats.org/officeDocument/2006/relationships/chart" Target="charts/chart2.xml"/><Relationship Id="rId56" Type="http://schemas.openxmlformats.org/officeDocument/2006/relationships/chart" Target="charts/chart1.xml"/><Relationship Id="rId55" Type="http://schemas.openxmlformats.org/officeDocument/2006/relationships/image" Target="media/image41.wmf"/><Relationship Id="rId54" Type="http://schemas.openxmlformats.org/officeDocument/2006/relationships/image" Target="media/image40.wmf"/><Relationship Id="rId53" Type="http://schemas.openxmlformats.org/officeDocument/2006/relationships/image" Target="media/image39.wmf"/><Relationship Id="rId52" Type="http://schemas.openxmlformats.org/officeDocument/2006/relationships/image" Target="media/image38.wmf"/><Relationship Id="rId51" Type="http://schemas.openxmlformats.org/officeDocument/2006/relationships/image" Target="media/image37.wmf"/><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emf"/><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24037;&#20316;&#31807;1"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24037;&#20316;&#31807;1"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24037;&#20316;&#31807;1"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24037;&#20316;&#31807;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Sheet1!$I$1</c:f>
              <c:strCache>
                <c:ptCount val="1"/>
                <c:pt idx="0">
                  <c:v>昼间</c:v>
                </c:pt>
              </c:strCache>
            </c:strRef>
          </c:tx>
          <c:spPr>
            <a:ln w="28575" cap="rnd">
              <a:solidFill>
                <a:schemeClr val="accent1"/>
              </a:solidFill>
              <a:round/>
            </a:ln>
            <a:effectLst/>
          </c:spPr>
          <c:marker>
            <c:symbol val="none"/>
          </c:marker>
          <c:dLbls>
            <c:delete val="1"/>
          </c:dLbls>
          <c:val>
            <c:numRef>
              <c:f>Sheet1!#REF!</c:f>
              <c:numCache>
                <c:formatCode>General</c:formatCode>
                <c:ptCount val="1"/>
                <c:pt idx="0">
                  <c:v>1</c:v>
                </c:pt>
              </c:numCache>
            </c:numRef>
          </c:val>
          <c:smooth val="0"/>
          <c:extLst>
            <c:ext xmlns:c15="http://schemas.microsoft.com/office/drawing/2012/chart" uri="{02D57815-91ED-43cb-92C2-25804820EDAC}">
              <c15:filteredCategoryTitle>
                <c15:cat>
                  <c:numRef>
                    <c:extLst>
                      <c:ext uri="{02D57815-91ED-43cb-92C2-25804820EDAC}">
                        <c15:formulaRef>
                          <c15:sqref>Sheet1!#REF!</c15:sqref>
                        </c15:formulaRef>
                      </c:ext>
                    </c:extLst>
                    <c:numCache>
                      <c:ptCount val="0"/>
                    </c:numCache>
                  </c:numRef>
                </c15:cat>
              </c15:filteredCategoryTitle>
            </c:ext>
          </c:extLst>
        </c:ser>
        <c:ser>
          <c:idx val="1"/>
          <c:order val="1"/>
          <c:tx>
            <c:strRef>
              <c:f>Sheet1!$J$1</c:f>
              <c:strCache>
                <c:ptCount val="1"/>
                <c:pt idx="0">
                  <c:v>夜间</c:v>
                </c:pt>
              </c:strCache>
            </c:strRef>
          </c:tx>
          <c:spPr>
            <a:ln w="28575" cap="rnd">
              <a:solidFill>
                <a:schemeClr val="accent2"/>
              </a:solidFill>
              <a:round/>
            </a:ln>
            <a:effectLst/>
          </c:spPr>
          <c:marker>
            <c:symbol val="none"/>
          </c:marker>
          <c:dLbls>
            <c:delete val="1"/>
          </c:dLbls>
          <c:val>
            <c:numRef>
              <c:f>Sheet1!#REF!</c:f>
              <c:numCache>
                <c:formatCode>General</c:formatCode>
                <c:ptCount val="1"/>
                <c:pt idx="0">
                  <c:v>1</c:v>
                </c:pt>
              </c:numCache>
            </c:numRef>
          </c:val>
          <c:smooth val="0"/>
          <c:extLst>
            <c:ext xmlns:c15="http://schemas.microsoft.com/office/drawing/2012/chart" uri="{02D57815-91ED-43cb-92C2-25804820EDAC}">
              <c15:filteredCategoryTitle>
                <c15:cat>
                  <c:numRef>
                    <c:extLst>
                      <c:ext uri="{02D57815-91ED-43cb-92C2-25804820EDAC}">
                        <c15:formulaRef>
                          <c15:sqref>Sheet1!#REF!</c15:sqref>
                        </c15:formulaRef>
                      </c:ext>
                    </c:extLst>
                    <c:numCache>
                      <c:ptCount val="0"/>
                    </c:numCache>
                  </c:numRef>
                </c15:cat>
              </c15:filteredCategoryTitle>
            </c:ext>
          </c:extLst>
        </c:ser>
        <c:dLbls>
          <c:showLegendKey val="0"/>
          <c:showVal val="0"/>
          <c:showCatName val="0"/>
          <c:showSerName val="0"/>
          <c:showPercent val="0"/>
          <c:showBubbleSize val="0"/>
        </c:dLbls>
        <c:marker val="0"/>
        <c:smooth val="0"/>
        <c:axId val="698238911"/>
        <c:axId val="1267909471"/>
      </c:lineChart>
      <c:catAx>
        <c:axId val="698238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67909471"/>
        <c:crosses val="autoZero"/>
        <c:auto val="1"/>
        <c:lblAlgn val="ctr"/>
        <c:lblOffset val="100"/>
        <c:noMultiLvlLbl val="0"/>
      </c:catAx>
      <c:valAx>
        <c:axId val="1267909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98238911"/>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Sheet1!$I$1</c:f>
              <c:strCache>
                <c:ptCount val="1"/>
                <c:pt idx="0">
                  <c:v>昼间</c:v>
                </c:pt>
              </c:strCache>
            </c:strRef>
          </c:tx>
          <c:spPr>
            <a:ln w="28575" cap="rnd">
              <a:solidFill>
                <a:schemeClr val="accent1"/>
              </a:solidFill>
              <a:round/>
            </a:ln>
            <a:effectLst/>
          </c:spPr>
          <c:marker>
            <c:symbol val="none"/>
          </c:marker>
          <c:dLbls>
            <c:delete val="1"/>
          </c:dLbls>
          <c:cat>
            <c:multiLvlStrRef>
              <c:f>Sheet1!$G$2:$H$6</c:f>
              <c:multiLvlStrCache>
                <c:ptCount val="5"/>
                <c:lvl>
                  <c:pt idx="0">
                    <c:v>2013年</c:v>
                  </c:pt>
                  <c:pt idx="1">
                    <c:v>2022年6月22日</c:v>
                  </c:pt>
                  <c:pt idx="2">
                    <c:v>2023年5月8日</c:v>
                  </c:pt>
                  <c:pt idx="3">
                    <c:v>2023年12月12日</c:v>
                  </c:pt>
                  <c:pt idx="4">
                    <c:v>2024年3月4日</c:v>
                  </c:pt>
                </c:lvl>
                <c:lvl>
                  <c:pt idx="0">
                    <c:v>北厂界</c:v>
                  </c:pt>
                </c:lvl>
              </c:multiLvlStrCache>
            </c:multiLvlStrRef>
          </c:cat>
          <c:val>
            <c:numRef>
              <c:f>Sheet1!$I$2:$I$6</c:f>
              <c:numCache>
                <c:formatCode>General</c:formatCode>
                <c:ptCount val="5"/>
                <c:pt idx="0">
                  <c:v>54.3</c:v>
                </c:pt>
                <c:pt idx="1">
                  <c:v>56</c:v>
                </c:pt>
                <c:pt idx="2">
                  <c:v>59</c:v>
                </c:pt>
                <c:pt idx="3">
                  <c:v>58</c:v>
                </c:pt>
                <c:pt idx="4">
                  <c:v>57</c:v>
                </c:pt>
              </c:numCache>
            </c:numRef>
          </c:val>
          <c:smooth val="0"/>
        </c:ser>
        <c:ser>
          <c:idx val="1"/>
          <c:order val="1"/>
          <c:tx>
            <c:strRef>
              <c:f>Sheet1!$J$1</c:f>
              <c:strCache>
                <c:ptCount val="1"/>
                <c:pt idx="0">
                  <c:v>夜间</c:v>
                </c:pt>
              </c:strCache>
            </c:strRef>
          </c:tx>
          <c:spPr>
            <a:ln w="28575" cap="rnd">
              <a:solidFill>
                <a:schemeClr val="accent2"/>
              </a:solidFill>
              <a:round/>
            </a:ln>
            <a:effectLst/>
          </c:spPr>
          <c:marker>
            <c:symbol val="none"/>
          </c:marker>
          <c:dLbls>
            <c:delete val="1"/>
          </c:dLbls>
          <c:cat>
            <c:multiLvlStrRef>
              <c:f>Sheet1!$G$2:$H$6</c:f>
              <c:multiLvlStrCache>
                <c:ptCount val="5"/>
                <c:lvl>
                  <c:pt idx="0">
                    <c:v>2013年</c:v>
                  </c:pt>
                  <c:pt idx="1">
                    <c:v>2022年6月22日</c:v>
                  </c:pt>
                  <c:pt idx="2">
                    <c:v>2023年5月8日</c:v>
                  </c:pt>
                  <c:pt idx="3">
                    <c:v>2023年12月12日</c:v>
                  </c:pt>
                  <c:pt idx="4">
                    <c:v>2024年3月4日</c:v>
                  </c:pt>
                </c:lvl>
                <c:lvl>
                  <c:pt idx="0">
                    <c:v>北厂界</c:v>
                  </c:pt>
                </c:lvl>
              </c:multiLvlStrCache>
            </c:multiLvlStrRef>
          </c:cat>
          <c:val>
            <c:numRef>
              <c:f>Sheet1!$J$2:$J$6</c:f>
              <c:numCache>
                <c:formatCode>General</c:formatCode>
                <c:ptCount val="5"/>
                <c:pt idx="0">
                  <c:v>46.7</c:v>
                </c:pt>
                <c:pt idx="1">
                  <c:v>47</c:v>
                </c:pt>
                <c:pt idx="2">
                  <c:v>47</c:v>
                </c:pt>
                <c:pt idx="3">
                  <c:v>47</c:v>
                </c:pt>
                <c:pt idx="4">
                  <c:v>46</c:v>
                </c:pt>
              </c:numCache>
            </c:numRef>
          </c:val>
          <c:smooth val="0"/>
        </c:ser>
        <c:dLbls>
          <c:showLegendKey val="0"/>
          <c:showVal val="0"/>
          <c:showCatName val="0"/>
          <c:showSerName val="0"/>
          <c:showPercent val="0"/>
          <c:showBubbleSize val="0"/>
        </c:dLbls>
        <c:marker val="0"/>
        <c:smooth val="0"/>
        <c:axId val="1274305503"/>
        <c:axId val="1274302143"/>
      </c:lineChart>
      <c:catAx>
        <c:axId val="1274305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74302143"/>
        <c:crosses val="autoZero"/>
        <c:auto val="1"/>
        <c:lblAlgn val="ctr"/>
        <c:lblOffset val="100"/>
        <c:noMultiLvlLbl val="0"/>
      </c:catAx>
      <c:valAx>
        <c:axId val="127430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74305503"/>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Sheet1!$I$1</c:f>
              <c:strCache>
                <c:ptCount val="1"/>
                <c:pt idx="0">
                  <c:v>昼间</c:v>
                </c:pt>
              </c:strCache>
            </c:strRef>
          </c:tx>
          <c:spPr>
            <a:ln w="28575" cap="rnd">
              <a:solidFill>
                <a:schemeClr val="accent1"/>
              </a:solidFill>
              <a:round/>
            </a:ln>
            <a:effectLst/>
          </c:spPr>
          <c:marker>
            <c:symbol val="none"/>
          </c:marker>
          <c:dLbls>
            <c:delete val="1"/>
          </c:dLbls>
          <c:cat>
            <c:multiLvlStrRef>
              <c:f>Sheet1!$G$2:$H$6</c:f>
              <c:multiLvlStrCache>
                <c:ptCount val="5"/>
                <c:lvl>
                  <c:pt idx="0">
                    <c:v>2013年</c:v>
                  </c:pt>
                  <c:pt idx="1">
                    <c:v>2022年6月22日</c:v>
                  </c:pt>
                  <c:pt idx="2">
                    <c:v>2023年5月8日</c:v>
                  </c:pt>
                  <c:pt idx="3">
                    <c:v>2023年12月12日</c:v>
                  </c:pt>
                  <c:pt idx="4">
                    <c:v>2024年3月4日</c:v>
                  </c:pt>
                </c:lvl>
                <c:lvl>
                  <c:pt idx="0">
                    <c:v>北厂界</c:v>
                  </c:pt>
                </c:lvl>
              </c:multiLvlStrCache>
            </c:multiLvlStrRef>
          </c:cat>
          <c:val>
            <c:numRef>
              <c:f>Sheet1!$I$2:$I$6</c:f>
              <c:numCache>
                <c:formatCode>General</c:formatCode>
                <c:ptCount val="5"/>
                <c:pt idx="0">
                  <c:v>54.3</c:v>
                </c:pt>
                <c:pt idx="1">
                  <c:v>56</c:v>
                </c:pt>
                <c:pt idx="2">
                  <c:v>59</c:v>
                </c:pt>
                <c:pt idx="3">
                  <c:v>58</c:v>
                </c:pt>
                <c:pt idx="4">
                  <c:v>57</c:v>
                </c:pt>
              </c:numCache>
            </c:numRef>
          </c:val>
          <c:smooth val="0"/>
        </c:ser>
        <c:ser>
          <c:idx val="1"/>
          <c:order val="1"/>
          <c:tx>
            <c:strRef>
              <c:f>Sheet1!$J$1</c:f>
              <c:strCache>
                <c:ptCount val="1"/>
                <c:pt idx="0">
                  <c:v>夜间</c:v>
                </c:pt>
              </c:strCache>
            </c:strRef>
          </c:tx>
          <c:spPr>
            <a:ln w="28575" cap="rnd">
              <a:solidFill>
                <a:schemeClr val="accent2"/>
              </a:solidFill>
              <a:round/>
            </a:ln>
            <a:effectLst/>
          </c:spPr>
          <c:marker>
            <c:symbol val="none"/>
          </c:marker>
          <c:dLbls>
            <c:delete val="1"/>
          </c:dLbls>
          <c:cat>
            <c:multiLvlStrRef>
              <c:f>Sheet1!$G$2:$H$6</c:f>
              <c:multiLvlStrCache>
                <c:ptCount val="5"/>
                <c:lvl>
                  <c:pt idx="0">
                    <c:v>2013年</c:v>
                  </c:pt>
                  <c:pt idx="1">
                    <c:v>2022年6月22日</c:v>
                  </c:pt>
                  <c:pt idx="2">
                    <c:v>2023年5月8日</c:v>
                  </c:pt>
                  <c:pt idx="3">
                    <c:v>2023年12月12日</c:v>
                  </c:pt>
                  <c:pt idx="4">
                    <c:v>2024年3月4日</c:v>
                  </c:pt>
                </c:lvl>
                <c:lvl>
                  <c:pt idx="0">
                    <c:v>北厂界</c:v>
                  </c:pt>
                </c:lvl>
              </c:multiLvlStrCache>
            </c:multiLvlStrRef>
          </c:cat>
          <c:val>
            <c:numRef>
              <c:f>Sheet1!$J$2:$J$6</c:f>
              <c:numCache>
                <c:formatCode>General</c:formatCode>
                <c:ptCount val="5"/>
                <c:pt idx="0">
                  <c:v>46.7</c:v>
                </c:pt>
                <c:pt idx="1">
                  <c:v>47</c:v>
                </c:pt>
                <c:pt idx="2">
                  <c:v>47</c:v>
                </c:pt>
                <c:pt idx="3">
                  <c:v>47</c:v>
                </c:pt>
                <c:pt idx="4">
                  <c:v>46</c:v>
                </c:pt>
              </c:numCache>
            </c:numRef>
          </c:val>
          <c:smooth val="0"/>
        </c:ser>
        <c:dLbls>
          <c:showLegendKey val="0"/>
          <c:showVal val="0"/>
          <c:showCatName val="0"/>
          <c:showSerName val="0"/>
          <c:showPercent val="0"/>
          <c:showBubbleSize val="0"/>
        </c:dLbls>
        <c:marker val="0"/>
        <c:smooth val="0"/>
        <c:axId val="1267899871"/>
        <c:axId val="1267900831"/>
      </c:lineChart>
      <c:catAx>
        <c:axId val="126789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67900831"/>
        <c:crosses val="autoZero"/>
        <c:auto val="1"/>
        <c:lblAlgn val="ctr"/>
        <c:lblOffset val="100"/>
        <c:noMultiLvlLbl val="0"/>
      </c:catAx>
      <c:valAx>
        <c:axId val="12679008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67899871"/>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Sheet1!$I$1</c:f>
              <c:strCache>
                <c:ptCount val="1"/>
                <c:pt idx="0">
                  <c:v>昼间</c:v>
                </c:pt>
              </c:strCache>
            </c:strRef>
          </c:tx>
          <c:spPr>
            <a:ln w="28575" cap="rnd">
              <a:solidFill>
                <a:schemeClr val="accent1"/>
              </a:solidFill>
              <a:round/>
            </a:ln>
            <a:effectLst/>
          </c:spPr>
          <c:marker>
            <c:symbol val="none"/>
          </c:marker>
          <c:dLbls>
            <c:delete val="1"/>
          </c:dLbls>
          <c:cat>
            <c:multiLvlStrRef>
              <c:f>Sheet1!$G$2:$H$6</c:f>
              <c:multiLvlStrCache>
                <c:ptCount val="5"/>
                <c:lvl>
                  <c:pt idx="0">
                    <c:v>2013年</c:v>
                  </c:pt>
                  <c:pt idx="1">
                    <c:v>2022年6月22日</c:v>
                  </c:pt>
                  <c:pt idx="2">
                    <c:v>2023年5月8日</c:v>
                  </c:pt>
                  <c:pt idx="3">
                    <c:v>2023年12月12日</c:v>
                  </c:pt>
                  <c:pt idx="4">
                    <c:v>2024年3月4日</c:v>
                  </c:pt>
                </c:lvl>
                <c:lvl>
                  <c:pt idx="0">
                    <c:v>北厂界</c:v>
                  </c:pt>
                </c:lvl>
              </c:multiLvlStrCache>
            </c:multiLvlStrRef>
          </c:cat>
          <c:val>
            <c:numRef>
              <c:f>Sheet1!$I$2:$I$6</c:f>
              <c:numCache>
                <c:formatCode>General</c:formatCode>
                <c:ptCount val="5"/>
                <c:pt idx="0">
                  <c:v>54.3</c:v>
                </c:pt>
                <c:pt idx="1">
                  <c:v>56</c:v>
                </c:pt>
                <c:pt idx="2">
                  <c:v>59</c:v>
                </c:pt>
                <c:pt idx="3">
                  <c:v>58</c:v>
                </c:pt>
                <c:pt idx="4">
                  <c:v>57</c:v>
                </c:pt>
              </c:numCache>
            </c:numRef>
          </c:val>
          <c:smooth val="0"/>
        </c:ser>
        <c:ser>
          <c:idx val="1"/>
          <c:order val="1"/>
          <c:tx>
            <c:strRef>
              <c:f>Sheet1!$J$1</c:f>
              <c:strCache>
                <c:ptCount val="1"/>
                <c:pt idx="0">
                  <c:v>夜间</c:v>
                </c:pt>
              </c:strCache>
            </c:strRef>
          </c:tx>
          <c:spPr>
            <a:ln w="28575" cap="rnd">
              <a:solidFill>
                <a:schemeClr val="accent2"/>
              </a:solidFill>
              <a:round/>
            </a:ln>
            <a:effectLst/>
          </c:spPr>
          <c:marker>
            <c:symbol val="none"/>
          </c:marker>
          <c:dLbls>
            <c:delete val="1"/>
          </c:dLbls>
          <c:cat>
            <c:multiLvlStrRef>
              <c:f>Sheet1!$G$2:$H$6</c:f>
              <c:multiLvlStrCache>
                <c:ptCount val="5"/>
                <c:lvl>
                  <c:pt idx="0">
                    <c:v>2013年</c:v>
                  </c:pt>
                  <c:pt idx="1">
                    <c:v>2022年6月22日</c:v>
                  </c:pt>
                  <c:pt idx="2">
                    <c:v>2023年5月8日</c:v>
                  </c:pt>
                  <c:pt idx="3">
                    <c:v>2023年12月12日</c:v>
                  </c:pt>
                  <c:pt idx="4">
                    <c:v>2024年3月4日</c:v>
                  </c:pt>
                </c:lvl>
                <c:lvl>
                  <c:pt idx="0">
                    <c:v>北厂界</c:v>
                  </c:pt>
                </c:lvl>
              </c:multiLvlStrCache>
            </c:multiLvlStrRef>
          </c:cat>
          <c:val>
            <c:numRef>
              <c:f>Sheet1!$J$2:$J$6</c:f>
              <c:numCache>
                <c:formatCode>General</c:formatCode>
                <c:ptCount val="5"/>
                <c:pt idx="0">
                  <c:v>46.7</c:v>
                </c:pt>
                <c:pt idx="1">
                  <c:v>47</c:v>
                </c:pt>
                <c:pt idx="2">
                  <c:v>47</c:v>
                </c:pt>
                <c:pt idx="3">
                  <c:v>47</c:v>
                </c:pt>
                <c:pt idx="4">
                  <c:v>46</c:v>
                </c:pt>
              </c:numCache>
            </c:numRef>
          </c:val>
          <c:smooth val="0"/>
        </c:ser>
        <c:dLbls>
          <c:showLegendKey val="0"/>
          <c:showVal val="0"/>
          <c:showCatName val="0"/>
          <c:showSerName val="0"/>
          <c:showPercent val="0"/>
          <c:showBubbleSize val="0"/>
        </c:dLbls>
        <c:marker val="0"/>
        <c:smooth val="0"/>
        <c:axId val="1216239055"/>
        <c:axId val="1216233775"/>
      </c:lineChart>
      <c:catAx>
        <c:axId val="1216239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16233775"/>
        <c:crosses val="autoZero"/>
        <c:auto val="1"/>
        <c:lblAlgn val="ctr"/>
        <c:lblOffset val="100"/>
        <c:noMultiLvlLbl val="0"/>
      </c:catAx>
      <c:valAx>
        <c:axId val="12162337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216239055"/>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1C94CC-2CE2-4DD4-8BDE-D9DE271F550E}">
  <ds:schemaRefs/>
</ds:datastoreItem>
</file>

<file path=docProps/app.xml><?xml version="1.0" encoding="utf-8"?>
<Properties xmlns="http://schemas.openxmlformats.org/officeDocument/2006/extended-properties" xmlns:vt="http://schemas.openxmlformats.org/officeDocument/2006/docPropsVTypes">
  <Template>Normal.dotm</Template>
  <Pages>182</Pages>
  <Words>77722</Words>
  <Characters>93683</Characters>
  <Lines>764</Lines>
  <Paragraphs>215</Paragraphs>
  <TotalTime>859</TotalTime>
  <ScaleCrop>false</ScaleCrop>
  <LinksUpToDate>false</LinksUpToDate>
  <CharactersWithSpaces>96291</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2024-08-12T00:49:00Z</dcterms:created>
  <dc:creator>烨</dc:creator>
  <cp:lastModifiedBy>Administrator</cp:lastModifiedBy>
  <cp:lastPrinted>2021-10-17T08:20:00Z</cp:lastPrinted>
  <dcterms:modified xsi:type="dcterms:W3CDTF">2024-08-22T07:56:37Z</dcterms:modified>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97C3F32829FF47FABC5374AE1EDF854B_12</vt:lpwstr>
  </property>
</Properties>
</file>